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C0DD1" w14:textId="77777777" w:rsidR="00BB3F6D" w:rsidRDefault="00BB3F6D">
      <w:pPr>
        <w:spacing w:line="300" w:lineRule="auto"/>
        <w:rPr>
          <w:rFonts w:ascii="Avenir" w:eastAsia="Avenir" w:hAnsi="Avenir" w:cs="Avenir"/>
          <w:b/>
          <w:sz w:val="24"/>
          <w:szCs w:val="24"/>
        </w:rPr>
      </w:pPr>
    </w:p>
    <w:p w14:paraId="133C0DD2" w14:textId="77777777" w:rsidR="00BB3F6D" w:rsidRDefault="00BB3F6D">
      <w:pPr>
        <w:spacing w:line="300" w:lineRule="auto"/>
        <w:rPr>
          <w:rFonts w:ascii="Avenir" w:eastAsia="Avenir" w:hAnsi="Avenir" w:cs="Avenir"/>
          <w:b/>
          <w:sz w:val="24"/>
          <w:szCs w:val="24"/>
        </w:rPr>
      </w:pPr>
    </w:p>
    <w:p w14:paraId="133C0DD3" w14:textId="77777777" w:rsidR="00BB3F6D" w:rsidRDefault="00254063">
      <w:pPr>
        <w:spacing w:line="300" w:lineRule="auto"/>
        <w:jc w:val="center"/>
        <w:rPr>
          <w:rFonts w:ascii="Avenir" w:eastAsia="Avenir" w:hAnsi="Avenir" w:cs="Avenir"/>
          <w:b/>
          <w:sz w:val="24"/>
          <w:szCs w:val="24"/>
        </w:rPr>
      </w:pPr>
      <w:r>
        <w:rPr>
          <w:rFonts w:ascii="Avenir" w:eastAsia="Avenir" w:hAnsi="Avenir" w:cs="Avenir"/>
          <w:b/>
          <w:sz w:val="24"/>
          <w:szCs w:val="24"/>
        </w:rPr>
        <w:t>TEACHER OBSERVATION AND COMMENTARY GUIDE</w:t>
      </w:r>
    </w:p>
    <w:p w14:paraId="133C0DD4" w14:textId="77777777" w:rsidR="00BB3F6D" w:rsidRDefault="00BB3F6D">
      <w:pPr>
        <w:spacing w:line="300" w:lineRule="auto"/>
        <w:rPr>
          <w:rFonts w:ascii="Avenir" w:eastAsia="Avenir" w:hAnsi="Avenir" w:cs="Avenir"/>
          <w:b/>
          <w:sz w:val="24"/>
          <w:szCs w:val="24"/>
        </w:rPr>
      </w:pPr>
    </w:p>
    <w:p w14:paraId="133C0DD5" w14:textId="77777777" w:rsidR="00BB3F6D" w:rsidRDefault="00254063">
      <w:pPr>
        <w:spacing w:line="300" w:lineRule="auto"/>
        <w:rPr>
          <w:rFonts w:ascii="Avenir" w:eastAsia="Avenir" w:hAnsi="Avenir" w:cs="Avenir"/>
          <w:b/>
          <w:sz w:val="24"/>
          <w:szCs w:val="24"/>
        </w:rPr>
      </w:pPr>
      <w:r>
        <w:rPr>
          <w:rFonts w:ascii="Avenir" w:eastAsia="Avenir" w:hAnsi="Avenir" w:cs="Avenir"/>
          <w:b/>
          <w:sz w:val="24"/>
          <w:szCs w:val="24"/>
        </w:rPr>
        <w:t>Phase 2: Validation with a collection of locks with restrictions</w:t>
      </w:r>
    </w:p>
    <w:tbl>
      <w:tblPr>
        <w:tblStyle w:val="a"/>
        <w:tblW w:w="9345" w:type="dxa"/>
        <w:tblLayout w:type="fixed"/>
        <w:tblLook w:val="0400" w:firstRow="0" w:lastRow="0" w:firstColumn="0" w:lastColumn="0" w:noHBand="0" w:noVBand="1"/>
      </w:tblPr>
      <w:tblGrid>
        <w:gridCol w:w="135"/>
        <w:gridCol w:w="135"/>
        <w:gridCol w:w="9075"/>
      </w:tblGrid>
      <w:tr w:rsidR="00BB3F6D" w14:paraId="133C0DE2" w14:textId="77777777">
        <w:trPr>
          <w:trHeight w:val="3743"/>
        </w:trPr>
        <w:tc>
          <w:tcPr>
            <w:tcW w:w="135" w:type="dxa"/>
            <w:shd w:val="clear" w:color="auto" w:fill="5E3BFF"/>
          </w:tcPr>
          <w:p w14:paraId="133C0DD6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  <w:p w14:paraId="133C0DD7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135" w:type="dxa"/>
          </w:tcPr>
          <w:p w14:paraId="133C0DD8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9075" w:type="dxa"/>
          </w:tcPr>
          <w:p w14:paraId="133C0DD9" w14:textId="77777777" w:rsidR="00BB3F6D" w:rsidRDefault="00254063">
            <w:pPr>
              <w:pStyle w:val="Heading1"/>
              <w:spacing w:before="240" w:after="240" w:line="240" w:lineRule="auto"/>
              <w:rPr>
                <w:rFonts w:ascii="Avenir" w:eastAsia="Avenir" w:hAnsi="Avenir" w:cs="Avenir"/>
                <w:color w:val="5E3BFF"/>
                <w:sz w:val="24"/>
                <w:szCs w:val="24"/>
              </w:rPr>
            </w:pPr>
            <w:r>
              <w:rPr>
                <w:rFonts w:ascii="Avenir" w:eastAsia="Avenir" w:hAnsi="Avenir" w:cs="Avenir"/>
                <w:color w:val="5E3BFF"/>
                <w:sz w:val="24"/>
                <w:szCs w:val="24"/>
              </w:rPr>
              <w:t>Main objectives and issues</w:t>
            </w:r>
          </w:p>
          <w:p w14:paraId="133C0DDA" w14:textId="77777777" w:rsidR="00BB3F6D" w:rsidRDefault="00254063">
            <w:pPr>
              <w:spacing w:after="60" w:line="264" w:lineRule="auto"/>
              <w:ind w:left="12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  <w:r>
              <w:rPr>
                <w:rFonts w:ascii="Avenir" w:eastAsia="Avenir" w:hAnsi="Avenir" w:cs="Avenir"/>
                <w:b/>
                <w:sz w:val="20"/>
                <w:szCs w:val="20"/>
              </w:rPr>
              <w:t>For the teacher</w:t>
            </w:r>
          </w:p>
          <w:p w14:paraId="133C0DDB" w14:textId="77777777" w:rsidR="00BB3F6D" w:rsidRDefault="00254063">
            <w:pPr>
              <w:numPr>
                <w:ilvl w:val="0"/>
                <w:numId w:val="1"/>
              </w:numPr>
              <w:spacing w:after="60" w:line="264" w:lineRule="auto"/>
              <w:jc w:val="both"/>
              <w:rPr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 xml:space="preserve">Share the different techniques for counting the number of codes on a padlock that have emerged in the work </w:t>
            </w:r>
            <w:proofErr w:type="gramStart"/>
            <w:r>
              <w:rPr>
                <w:rFonts w:ascii="Avenir" w:eastAsia="Avenir" w:hAnsi="Avenir" w:cs="Avenir"/>
                <w:sz w:val="20"/>
                <w:szCs w:val="20"/>
              </w:rPr>
              <w:t>groups'</w:t>
            </w:r>
            <w:proofErr w:type="gramEnd"/>
            <w:r>
              <w:rPr>
                <w:rFonts w:ascii="Avenir" w:eastAsia="Avenir" w:hAnsi="Avenir" w:cs="Avenir"/>
                <w:sz w:val="20"/>
                <w:szCs w:val="20"/>
              </w:rPr>
              <w:t xml:space="preserve"> presentation.</w:t>
            </w:r>
          </w:p>
          <w:p w14:paraId="133C0DDC" w14:textId="77777777" w:rsidR="00BB3F6D" w:rsidRDefault="00254063">
            <w:pPr>
              <w:numPr>
                <w:ilvl w:val="0"/>
                <w:numId w:val="1"/>
              </w:numPr>
              <w:spacing w:after="60" w:line="264" w:lineRule="auto"/>
              <w:jc w:val="both"/>
              <w:rPr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Introduce names and specific terminology to refer to the different characteristics/variables of the padlocks and the different techniques for counting the codes of each padlock.</w:t>
            </w:r>
          </w:p>
          <w:p w14:paraId="133C0DDD" w14:textId="77777777" w:rsidR="00BB3F6D" w:rsidRDefault="00254063">
            <w:pPr>
              <w:numPr>
                <w:ilvl w:val="0"/>
                <w:numId w:val="1"/>
              </w:numPr>
              <w:spacing w:after="60" w:line="264" w:lineRule="auto"/>
              <w:jc w:val="both"/>
              <w:rPr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Begin to establish “padlock models” by analyzing their main variables and associating those that are equivalent (No. of elements, repeated or non-repeated elements, etc.)</w:t>
            </w:r>
          </w:p>
          <w:p w14:paraId="133C0DDE" w14:textId="77777777" w:rsidR="00BB3F6D" w:rsidRDefault="00254063">
            <w:pPr>
              <w:spacing w:after="60" w:line="264" w:lineRule="auto"/>
              <w:ind w:left="12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  <w:r>
              <w:rPr>
                <w:rFonts w:ascii="Avenir" w:eastAsia="Avenir" w:hAnsi="Avenir" w:cs="Avenir"/>
                <w:b/>
                <w:sz w:val="20"/>
                <w:szCs w:val="20"/>
              </w:rPr>
              <w:t>For students</w:t>
            </w:r>
          </w:p>
          <w:p w14:paraId="133C0DDF" w14:textId="77777777" w:rsidR="00BB3F6D" w:rsidRDefault="00254063">
            <w:pPr>
              <w:numPr>
                <w:ilvl w:val="0"/>
                <w:numId w:val="1"/>
              </w:numPr>
              <w:spacing w:after="60" w:line="264" w:lineRule="auto"/>
              <w:jc w:val="both"/>
              <w:rPr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 xml:space="preserve">Study the validity and possible extension of the techniques used and types of justifications for an extended collection of locks (based on the study of </w:t>
            </w:r>
            <w:r>
              <w:rPr>
                <w:rFonts w:ascii="Avenir" w:eastAsia="Avenir" w:hAnsi="Avenir" w:cs="Avenir"/>
                <w:b/>
                <w:sz w:val="20"/>
                <w:szCs w:val="20"/>
              </w:rPr>
              <w:t>Q</w:t>
            </w:r>
            <w:proofErr w:type="gramStart"/>
            <w:r>
              <w:rPr>
                <w:rFonts w:ascii="Avenir" w:eastAsia="Avenir" w:hAnsi="Avenir" w:cs="Avenir"/>
                <w:b/>
                <w:sz w:val="20"/>
                <w:szCs w:val="20"/>
              </w:rPr>
              <w:t xml:space="preserve">2 </w:t>
            </w:r>
            <w:r>
              <w:rPr>
                <w:rFonts w:ascii="Avenir" w:eastAsia="Avenir" w:hAnsi="Avenir" w:cs="Avenir"/>
                <w:sz w:val="20"/>
                <w:szCs w:val="20"/>
              </w:rPr>
              <w:t>)</w:t>
            </w:r>
            <w:proofErr w:type="gramEnd"/>
            <w:r>
              <w:rPr>
                <w:rFonts w:ascii="Avenir" w:eastAsia="Avenir" w:hAnsi="Avenir" w:cs="Avenir"/>
                <w:sz w:val="20"/>
                <w:szCs w:val="20"/>
              </w:rPr>
              <w:t xml:space="preserve">. In our case, this extended collection will be with the same locks as in </w:t>
            </w:r>
            <w:r>
              <w:rPr>
                <w:rFonts w:ascii="Avenir" w:eastAsia="Avenir" w:hAnsi="Avenir" w:cs="Avenir"/>
                <w:b/>
                <w:sz w:val="20"/>
                <w:szCs w:val="20"/>
              </w:rPr>
              <w:t xml:space="preserve">Phase 1 </w:t>
            </w:r>
            <w:r>
              <w:rPr>
                <w:rFonts w:ascii="Avenir" w:eastAsia="Avenir" w:hAnsi="Avenir" w:cs="Avenir"/>
                <w:sz w:val="20"/>
                <w:szCs w:val="20"/>
              </w:rPr>
              <w:t>with restrictions.</w:t>
            </w:r>
          </w:p>
          <w:p w14:paraId="133C0DE0" w14:textId="77777777" w:rsidR="00BB3F6D" w:rsidRDefault="00254063">
            <w:pPr>
              <w:numPr>
                <w:ilvl w:val="0"/>
                <w:numId w:val="1"/>
              </w:numPr>
              <w:spacing w:after="60" w:line="264" w:lineRule="auto"/>
              <w:jc w:val="both"/>
              <w:rPr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Take responsibility for the entire collection of padlocks (with and without restrictions) to learn and delve into the characteristics of each one.</w:t>
            </w:r>
          </w:p>
          <w:p w14:paraId="133C0DE1" w14:textId="77777777" w:rsidR="00BB3F6D" w:rsidRDefault="00254063">
            <w:pPr>
              <w:numPr>
                <w:ilvl w:val="0"/>
                <w:numId w:val="1"/>
              </w:numPr>
              <w:spacing w:after="60" w:line="264" w:lineRule="auto"/>
              <w:jc w:val="both"/>
              <w:rPr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Develop verbal, communicative and analytical skills to formulate, discuss, write and present different questions and answers in work groups and class groups.</w:t>
            </w:r>
          </w:p>
        </w:tc>
      </w:tr>
      <w:tr w:rsidR="00BB3F6D" w14:paraId="133C0DE6" w14:textId="77777777">
        <w:trPr>
          <w:trHeight w:val="44"/>
        </w:trPr>
        <w:tc>
          <w:tcPr>
            <w:tcW w:w="135" w:type="dxa"/>
          </w:tcPr>
          <w:p w14:paraId="133C0DE3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135" w:type="dxa"/>
          </w:tcPr>
          <w:p w14:paraId="133C0DE4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9075" w:type="dxa"/>
          </w:tcPr>
          <w:p w14:paraId="133C0DE5" w14:textId="77777777" w:rsidR="00BB3F6D" w:rsidRDefault="00BB3F6D">
            <w:pPr>
              <w:spacing w:line="300" w:lineRule="auto"/>
              <w:rPr>
                <w:rFonts w:ascii="Avenir" w:eastAsia="Avenir" w:hAnsi="Avenir" w:cs="Avenir"/>
                <w:sz w:val="20"/>
                <w:szCs w:val="20"/>
              </w:rPr>
            </w:pPr>
          </w:p>
        </w:tc>
      </w:tr>
      <w:tr w:rsidR="00BB3F6D" w14:paraId="133C0E2F" w14:textId="77777777">
        <w:trPr>
          <w:trHeight w:val="1023"/>
        </w:trPr>
        <w:tc>
          <w:tcPr>
            <w:tcW w:w="135" w:type="dxa"/>
            <w:shd w:val="clear" w:color="auto" w:fill="FDCAF3"/>
          </w:tcPr>
          <w:p w14:paraId="133C0DE7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135" w:type="dxa"/>
          </w:tcPr>
          <w:p w14:paraId="133C0DE8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9075" w:type="dxa"/>
          </w:tcPr>
          <w:p w14:paraId="133C0DE9" w14:textId="77777777" w:rsidR="00BB3F6D" w:rsidRDefault="00254063">
            <w:pPr>
              <w:pStyle w:val="Heading1"/>
              <w:spacing w:before="240" w:after="240" w:line="240" w:lineRule="auto"/>
              <w:rPr>
                <w:rFonts w:ascii="Avenir" w:eastAsia="Avenir" w:hAnsi="Avenir" w:cs="Avenir"/>
                <w:color w:val="262626"/>
                <w:sz w:val="24"/>
                <w:szCs w:val="24"/>
              </w:rPr>
            </w:pPr>
            <w:r>
              <w:rPr>
                <w:rFonts w:ascii="Avenir" w:eastAsia="Avenir" w:hAnsi="Avenir" w:cs="Avenir"/>
                <w:color w:val="262626"/>
                <w:sz w:val="24"/>
                <w:szCs w:val="24"/>
              </w:rPr>
              <w:t>Phase structure: main moments, timing and classroom dynamics</w:t>
            </w:r>
          </w:p>
          <w:p w14:paraId="133C0DEA" w14:textId="77777777" w:rsidR="00BB3F6D" w:rsidRDefault="00254063">
            <w:pPr>
              <w:pStyle w:val="Heading2"/>
              <w:tabs>
                <w:tab w:val="left" w:pos="7076"/>
                <w:tab w:val="left" w:pos="7643"/>
              </w:tabs>
              <w:spacing w:before="160"/>
              <w:rPr>
                <w:rFonts w:ascii="Avenir" w:eastAsia="Avenir" w:hAnsi="Avenir" w:cs="Avenir"/>
                <w:color w:val="262626"/>
                <w:sz w:val="20"/>
                <w:szCs w:val="20"/>
              </w:rPr>
            </w:pPr>
            <w:r>
              <w:rPr>
                <w:rFonts w:ascii="Avenir" w:eastAsia="Avenir" w:hAnsi="Avenir" w:cs="Avenir"/>
                <w:b/>
                <w:color w:val="262626"/>
                <w:sz w:val="20"/>
                <w:szCs w:val="20"/>
              </w:rPr>
              <w:t xml:space="preserve">[1] Comparison of R1 and sharing of different counting techniques </w:t>
            </w:r>
            <w:r>
              <w:rPr>
                <w:rFonts w:ascii="Avenir" w:eastAsia="Avenir" w:hAnsi="Avenir" w:cs="Avenir"/>
                <w:color w:val="262626"/>
                <w:sz w:val="20"/>
                <w:szCs w:val="20"/>
              </w:rPr>
              <w:t>15 min</w:t>
            </w:r>
          </w:p>
          <w:p w14:paraId="133C0DEB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EC" w14:textId="77777777" w:rsidR="00BB3F6D" w:rsidRDefault="00254063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START: END:</w:t>
            </w:r>
          </w:p>
          <w:p w14:paraId="133C0DED" w14:textId="77777777" w:rsidR="00BB3F6D" w:rsidRDefault="00254063">
            <w:pPr>
              <w:spacing w:after="200" w:line="300" w:lineRule="auto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ptos" w:eastAsia="Aptos" w:hAnsi="Aptos" w:cs="Aptos"/>
                <w:sz w:val="20"/>
                <w:szCs w:val="20"/>
              </w:rPr>
              <w:br/>
              <w:t>COMMENTS:</w:t>
            </w:r>
          </w:p>
          <w:p w14:paraId="133C0DEE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EF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0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1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2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3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4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5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6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DF7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8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9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A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B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C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D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E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DFF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0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1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2" w14:textId="77777777" w:rsidR="00BB3F6D" w:rsidRDefault="00254063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16"/>
                <w:szCs w:val="16"/>
              </w:rPr>
            </w:pPr>
            <w:r>
              <w:rPr>
                <w:rFonts w:ascii="Avenir" w:eastAsia="Avenir" w:hAnsi="Avenir" w:cs="Avenir"/>
                <w:b/>
                <w:sz w:val="20"/>
                <w:szCs w:val="20"/>
              </w:rPr>
              <w:t xml:space="preserve">[2] Presentation of Q2 and restrictions or new information on padlock codes </w:t>
            </w:r>
            <w:r>
              <w:rPr>
                <w:rFonts w:ascii="Avenir" w:eastAsia="Avenir" w:hAnsi="Avenir" w:cs="Avenir"/>
                <w:sz w:val="20"/>
                <w:szCs w:val="20"/>
              </w:rPr>
              <w:t>10 min</w:t>
            </w:r>
          </w:p>
          <w:p w14:paraId="133C0E03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16"/>
                <w:szCs w:val="16"/>
              </w:rPr>
            </w:pPr>
          </w:p>
          <w:p w14:paraId="133C0E04" w14:textId="77777777" w:rsidR="00BB3F6D" w:rsidRDefault="00254063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START: END:</w:t>
            </w:r>
          </w:p>
          <w:p w14:paraId="133C0E05" w14:textId="77777777" w:rsidR="00BB3F6D" w:rsidRDefault="00254063">
            <w:pPr>
              <w:spacing w:after="200" w:line="300" w:lineRule="auto"/>
              <w:rPr>
                <w:rFonts w:ascii="Avenir" w:eastAsia="Avenir" w:hAnsi="Avenir" w:cs="Avenir"/>
                <w:b/>
                <w:sz w:val="20"/>
                <w:szCs w:val="20"/>
              </w:rPr>
            </w:pPr>
            <w:r>
              <w:rPr>
                <w:rFonts w:ascii="Aptos" w:eastAsia="Aptos" w:hAnsi="Aptos" w:cs="Aptos"/>
                <w:sz w:val="20"/>
                <w:szCs w:val="20"/>
              </w:rPr>
              <w:br/>
              <w:t>COMMENTS:</w:t>
            </w:r>
          </w:p>
          <w:p w14:paraId="133C0E06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7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8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9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A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B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C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D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E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0F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10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11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12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13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14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15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b/>
                <w:sz w:val="20"/>
                <w:szCs w:val="20"/>
              </w:rPr>
            </w:pPr>
          </w:p>
          <w:p w14:paraId="133C0E16" w14:textId="77777777" w:rsidR="00BB3F6D" w:rsidRDefault="00254063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venir" w:eastAsia="Avenir" w:hAnsi="Avenir" w:cs="Avenir"/>
                <w:b/>
                <w:sz w:val="20"/>
                <w:szCs w:val="20"/>
              </w:rPr>
              <w:t xml:space="preserve">[3] </w:t>
            </w:r>
            <w:r>
              <w:rPr>
                <w:rFonts w:ascii="Avenir" w:eastAsia="Avenir" w:hAnsi="Avenir" w:cs="Avenir"/>
                <w:b/>
                <w:color w:val="262626"/>
                <w:sz w:val="20"/>
                <w:szCs w:val="20"/>
              </w:rPr>
              <w:t>Group study of Q2, now taking responsibility for all the locks</w:t>
            </w:r>
            <w:r>
              <w:rPr>
                <w:rFonts w:ascii="Avenir" w:eastAsia="Avenir" w:hAnsi="Avenir" w:cs="Avenir"/>
                <w:b/>
                <w:sz w:val="20"/>
                <w:szCs w:val="20"/>
              </w:rPr>
              <w:t xml:space="preserve">                      </w:t>
            </w:r>
            <w:r>
              <w:rPr>
                <w:rFonts w:ascii="Avenir" w:eastAsia="Avenir" w:hAnsi="Avenir" w:cs="Avenir"/>
                <w:sz w:val="20"/>
                <w:szCs w:val="20"/>
              </w:rPr>
              <w:t>45-60 minutes</w:t>
            </w:r>
          </w:p>
          <w:p w14:paraId="133C0E17" w14:textId="77777777" w:rsidR="00BB3F6D" w:rsidRDefault="00254063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START: END:</w:t>
            </w:r>
          </w:p>
          <w:p w14:paraId="133C0E18" w14:textId="77777777" w:rsidR="00BB3F6D" w:rsidRDefault="00254063">
            <w:pPr>
              <w:spacing w:after="200" w:line="300" w:lineRule="auto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ptos" w:eastAsia="Aptos" w:hAnsi="Aptos" w:cs="Aptos"/>
                <w:sz w:val="20"/>
                <w:szCs w:val="20"/>
              </w:rPr>
              <w:br/>
              <w:t>COMMENTS</w:t>
            </w:r>
          </w:p>
          <w:p w14:paraId="133C0E19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1A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1B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1C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1D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1E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1F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0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1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2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3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4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5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6" w14:textId="77777777" w:rsidR="00BB3F6D" w:rsidRDefault="00254063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venir" w:eastAsia="Avenir" w:hAnsi="Avenir" w:cs="Avenir"/>
                <w:b/>
                <w:sz w:val="20"/>
                <w:szCs w:val="20"/>
              </w:rPr>
              <w:t xml:space="preserve">[4] Sharing answers to Q2 </w:t>
            </w:r>
            <w:r>
              <w:rPr>
                <w:rFonts w:ascii="Avenir" w:eastAsia="Avenir" w:hAnsi="Avenir" w:cs="Avenir"/>
                <w:sz w:val="20"/>
                <w:szCs w:val="20"/>
              </w:rPr>
              <w:t>10 minutes</w:t>
            </w:r>
          </w:p>
          <w:p w14:paraId="133C0E27" w14:textId="77777777" w:rsidR="00BB3F6D" w:rsidRDefault="00254063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venir" w:eastAsia="Avenir" w:hAnsi="Avenir" w:cs="Avenir"/>
                <w:sz w:val="20"/>
                <w:szCs w:val="20"/>
              </w:rPr>
              <w:t>START: END:</w:t>
            </w:r>
          </w:p>
          <w:p w14:paraId="133C0E28" w14:textId="77777777" w:rsidR="00BB3F6D" w:rsidRDefault="00254063">
            <w:pPr>
              <w:spacing w:after="200" w:line="300" w:lineRule="auto"/>
              <w:rPr>
                <w:rFonts w:ascii="Avenir" w:eastAsia="Avenir" w:hAnsi="Avenir" w:cs="Avenir"/>
                <w:sz w:val="20"/>
                <w:szCs w:val="20"/>
              </w:rPr>
            </w:pPr>
            <w:r>
              <w:rPr>
                <w:rFonts w:ascii="Aptos" w:eastAsia="Aptos" w:hAnsi="Aptos" w:cs="Aptos"/>
                <w:sz w:val="20"/>
                <w:szCs w:val="20"/>
              </w:rPr>
              <w:br/>
              <w:t>COMMENTS</w:t>
            </w:r>
          </w:p>
          <w:p w14:paraId="133C0E29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A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B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C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D" w14:textId="77777777" w:rsidR="00BB3F6D" w:rsidRDefault="00BB3F6D">
            <w:pPr>
              <w:tabs>
                <w:tab w:val="left" w:pos="7076"/>
                <w:tab w:val="left" w:pos="7784"/>
              </w:tabs>
              <w:spacing w:after="120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  <w:p w14:paraId="133C0E2E" w14:textId="77777777" w:rsidR="00BB3F6D" w:rsidRDefault="00BB3F6D">
            <w:pPr>
              <w:spacing w:after="120" w:line="264" w:lineRule="auto"/>
              <w:jc w:val="both"/>
              <w:rPr>
                <w:rFonts w:ascii="Avenir" w:eastAsia="Avenir" w:hAnsi="Avenir" w:cs="Avenir"/>
                <w:sz w:val="20"/>
                <w:szCs w:val="20"/>
              </w:rPr>
            </w:pPr>
          </w:p>
        </w:tc>
      </w:tr>
      <w:tr w:rsidR="00BB3F6D" w14:paraId="133C0E33" w14:textId="77777777">
        <w:trPr>
          <w:trHeight w:val="8442"/>
        </w:trPr>
        <w:tc>
          <w:tcPr>
            <w:tcW w:w="135" w:type="dxa"/>
          </w:tcPr>
          <w:p w14:paraId="133C0E30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135" w:type="dxa"/>
          </w:tcPr>
          <w:p w14:paraId="133C0E31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  <w:tc>
          <w:tcPr>
            <w:tcW w:w="9075" w:type="dxa"/>
          </w:tcPr>
          <w:p w14:paraId="133C0E32" w14:textId="77777777" w:rsidR="00BB3F6D" w:rsidRDefault="00BB3F6D">
            <w:pPr>
              <w:spacing w:after="200"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</w:tr>
      <w:tr w:rsidR="00BB3F6D" w14:paraId="133C0E35" w14:textId="77777777">
        <w:trPr>
          <w:gridAfter w:val="2"/>
          <w:trHeight w:val="44"/>
        </w:trPr>
        <w:tc>
          <w:tcPr>
            <w:tcW w:w="135" w:type="dxa"/>
          </w:tcPr>
          <w:p w14:paraId="133C0E34" w14:textId="77777777" w:rsidR="00BB3F6D" w:rsidRDefault="00BB3F6D">
            <w:pPr>
              <w:spacing w:line="300" w:lineRule="auto"/>
              <w:rPr>
                <w:rFonts w:ascii="Aptos" w:eastAsia="Aptos" w:hAnsi="Aptos" w:cs="Aptos"/>
                <w:sz w:val="20"/>
                <w:szCs w:val="20"/>
              </w:rPr>
            </w:pPr>
          </w:p>
        </w:tc>
      </w:tr>
    </w:tbl>
    <w:p w14:paraId="133C0E36" w14:textId="77777777" w:rsidR="00BB3F6D" w:rsidRDefault="00BB3F6D">
      <w:pPr>
        <w:spacing w:line="240" w:lineRule="auto"/>
        <w:rPr>
          <w:rFonts w:ascii="Aptos" w:eastAsia="Aptos" w:hAnsi="Aptos" w:cs="Aptos"/>
          <w:sz w:val="20"/>
          <w:szCs w:val="20"/>
        </w:rPr>
      </w:pPr>
    </w:p>
    <w:p w14:paraId="133C0E37" w14:textId="77777777" w:rsidR="00BB3F6D" w:rsidRDefault="00BB3F6D"/>
    <w:sectPr w:rsidR="00BB3F6D" w:rsidSect="00254063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C0E3D" w14:textId="77777777" w:rsidR="00254063" w:rsidRDefault="00254063">
      <w:pPr>
        <w:spacing w:line="240" w:lineRule="auto"/>
      </w:pPr>
      <w:r>
        <w:separator/>
      </w:r>
    </w:p>
  </w:endnote>
  <w:endnote w:type="continuationSeparator" w:id="0">
    <w:p w14:paraId="133C0E3F" w14:textId="77777777" w:rsidR="00254063" w:rsidRDefault="002540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09FA95E-AC39-4E30-8517-CB928C385A9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54A0077-529E-4F0D-9222-A323C2DBC6C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9C891D3-B69B-44F6-8B0C-6DD0C8F7B8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721D13E-5EA0-481B-8053-C61FB1653D4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C0E39" w14:textId="77777777" w:rsidR="00254063" w:rsidRDefault="00254063">
      <w:pPr>
        <w:spacing w:line="240" w:lineRule="auto"/>
      </w:pPr>
      <w:r>
        <w:separator/>
      </w:r>
    </w:p>
  </w:footnote>
  <w:footnote w:type="continuationSeparator" w:id="0">
    <w:p w14:paraId="133C0E3B" w14:textId="77777777" w:rsidR="00254063" w:rsidRDefault="002540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C0E38" w14:textId="06CB3B20" w:rsidR="00BB3F6D" w:rsidRPr="006C72A8" w:rsidRDefault="00254063" w:rsidP="006C72A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11C3693F" wp14:editId="7C31CC15">
          <wp:simplePos x="0" y="0"/>
          <wp:positionH relativeFrom="column">
            <wp:posOffset>0</wp:posOffset>
          </wp:positionH>
          <wp:positionV relativeFrom="paragraph">
            <wp:posOffset>-461010</wp:posOffset>
          </wp:positionV>
          <wp:extent cx="1216025" cy="909955"/>
          <wp:effectExtent l="0" t="0" r="3175" b="4445"/>
          <wp:wrapNone/>
          <wp:docPr id="565325520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7588393" name="Gráfico 5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12497" t="14853" r="20703" b="13215"/>
                  <a:stretch/>
                </pic:blipFill>
                <pic:spPr bwMode="auto">
                  <a:xfrm>
                    <a:off x="0" y="0"/>
                    <a:ext cx="1216025" cy="909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0DEC" w14:textId="7D3FFFB9" w:rsidR="006C72A8" w:rsidRDefault="00254063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50A4D578" wp14:editId="46F6D80D">
          <wp:simplePos x="0" y="0"/>
          <wp:positionH relativeFrom="column">
            <wp:posOffset>3652520</wp:posOffset>
          </wp:positionH>
          <wp:positionV relativeFrom="paragraph">
            <wp:posOffset>-324485</wp:posOffset>
          </wp:positionV>
          <wp:extent cx="2092960" cy="556895"/>
          <wp:effectExtent l="0" t="0" r="2540" b="0"/>
          <wp:wrapNone/>
          <wp:docPr id="616438139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2092960" cy="5568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allowOverlap="1" wp14:anchorId="78589DF3" wp14:editId="7DE7F6E0">
          <wp:simplePos x="0" y="0"/>
          <wp:positionH relativeFrom="column">
            <wp:posOffset>0</wp:posOffset>
          </wp:positionH>
          <wp:positionV relativeFrom="paragraph">
            <wp:posOffset>-461175</wp:posOffset>
          </wp:positionV>
          <wp:extent cx="1216025" cy="909955"/>
          <wp:effectExtent l="0" t="0" r="3175" b="4445"/>
          <wp:wrapNone/>
          <wp:docPr id="659711344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7588393" name="Gráfico 5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 l="12497" t="14853" r="20703" b="13215"/>
                  <a:stretch/>
                </pic:blipFill>
                <pic:spPr bwMode="auto">
                  <a:xfrm>
                    <a:off x="0" y="0"/>
                    <a:ext cx="1216025" cy="909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A28DE"/>
    <w:multiLevelType w:val="multilevel"/>
    <w:tmpl w:val="FFBC94E6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550530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F6D"/>
    <w:rsid w:val="00254063"/>
    <w:rsid w:val="006C72A8"/>
    <w:rsid w:val="00BA43EA"/>
    <w:rsid w:val="00BB3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0DD1"/>
  <w15:docId w15:val="{BB66350B-6687-43CF-B0FD-CB131DC86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C72A8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2A8"/>
  </w:style>
  <w:style w:type="paragraph" w:styleId="Footer">
    <w:name w:val="footer"/>
    <w:basedOn w:val="Normal"/>
    <w:link w:val="FooterChar"/>
    <w:uiPriority w:val="99"/>
    <w:unhideWhenUsed/>
    <w:rsid w:val="006C72A8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sv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265</Words>
  <Characters>1462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Susana Vasquez Elias</cp:lastModifiedBy>
  <cp:revision>3</cp:revision>
  <dcterms:created xsi:type="dcterms:W3CDTF">2025-10-16T17:40:00Z</dcterms:created>
  <dcterms:modified xsi:type="dcterms:W3CDTF">2025-10-16T17:40:00Z</dcterms:modified>
</cp:coreProperties>
</file>