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F6" w:rsidRDefault="00DD29F6" w:rsidP="00266CF7">
      <w:pPr>
        <w:tabs>
          <w:tab w:val="left" w:pos="720"/>
        </w:tabs>
        <w:spacing w:line="360" w:lineRule="auto"/>
        <w:jc w:val="center"/>
        <w:rPr>
          <w:rFonts w:ascii="Verdana" w:hAnsi="Verdana" w:cs="Arial"/>
          <w:b/>
        </w:rPr>
      </w:pPr>
      <w:bookmarkStart w:id="0" w:name="_GoBack"/>
      <w:bookmarkEnd w:id="0"/>
      <w:r>
        <w:rPr>
          <w:rFonts w:ascii="Verdana" w:hAnsi="Verdana" w:cs="Arial"/>
          <w:b/>
        </w:rPr>
        <w:t>THE DATA PROTECTION ACT 2018</w:t>
      </w:r>
    </w:p>
    <w:p w:rsidR="00DD29F6" w:rsidRDefault="00DD29F6" w:rsidP="00266CF7">
      <w:pPr>
        <w:tabs>
          <w:tab w:val="left" w:pos="720"/>
        </w:tabs>
        <w:spacing w:line="360" w:lineRule="auto"/>
        <w:jc w:val="center"/>
        <w:rPr>
          <w:rFonts w:ascii="Verdana" w:hAnsi="Verdana" w:cs="Arial"/>
          <w:b/>
        </w:rPr>
      </w:pPr>
    </w:p>
    <w:p w:rsidR="00DD29F6" w:rsidRDefault="00DD29F6" w:rsidP="00266CF7">
      <w:pPr>
        <w:tabs>
          <w:tab w:val="left" w:pos="720"/>
        </w:tabs>
        <w:spacing w:line="360" w:lineRule="auto"/>
        <w:jc w:val="center"/>
        <w:rPr>
          <w:rFonts w:ascii="Verdana" w:hAnsi="Verdana" w:cs="Arial"/>
          <w:b/>
        </w:rPr>
      </w:pPr>
      <w:r>
        <w:rPr>
          <w:rFonts w:ascii="Verdana" w:hAnsi="Verdana" w:cs="Arial"/>
          <w:b/>
        </w:rPr>
        <w:t>AND</w:t>
      </w:r>
    </w:p>
    <w:p w:rsidR="00DD29F6" w:rsidRDefault="00DD29F6" w:rsidP="00266CF7">
      <w:pPr>
        <w:tabs>
          <w:tab w:val="left" w:pos="720"/>
        </w:tabs>
        <w:spacing w:line="360" w:lineRule="auto"/>
        <w:jc w:val="center"/>
        <w:rPr>
          <w:rFonts w:ascii="Verdana" w:hAnsi="Verdana" w:cs="Arial"/>
          <w:b/>
        </w:rPr>
      </w:pPr>
    </w:p>
    <w:p w:rsidR="00495CCD" w:rsidRPr="00451176" w:rsidRDefault="00DD29F6" w:rsidP="00266CF7">
      <w:pPr>
        <w:tabs>
          <w:tab w:val="left" w:pos="720"/>
        </w:tabs>
        <w:spacing w:line="360" w:lineRule="auto"/>
        <w:jc w:val="center"/>
        <w:rPr>
          <w:rFonts w:ascii="Verdana" w:hAnsi="Verdana" w:cs="Arial"/>
          <w:b/>
        </w:rPr>
      </w:pPr>
      <w:r>
        <w:rPr>
          <w:rFonts w:ascii="Verdana" w:hAnsi="Verdana" w:cs="Arial"/>
          <w:b/>
        </w:rPr>
        <w:t xml:space="preserve">THE </w:t>
      </w:r>
      <w:r w:rsidR="00495CCD" w:rsidRPr="00451176">
        <w:rPr>
          <w:rFonts w:ascii="Verdana" w:hAnsi="Verdana" w:cs="Arial"/>
          <w:b/>
        </w:rPr>
        <w:t xml:space="preserve">DATA PROTECTION </w:t>
      </w:r>
      <w:r>
        <w:rPr>
          <w:rFonts w:ascii="Verdana" w:hAnsi="Verdana" w:cs="Arial"/>
          <w:b/>
        </w:rPr>
        <w:t>(CHARGES AND INFORMATION) REGULATIONS 2018</w:t>
      </w:r>
    </w:p>
    <w:p w:rsidR="00495CCD" w:rsidRPr="00451176" w:rsidRDefault="00495CCD" w:rsidP="00266CF7">
      <w:pPr>
        <w:tabs>
          <w:tab w:val="left" w:pos="720"/>
        </w:tabs>
        <w:spacing w:line="360" w:lineRule="auto"/>
        <w:jc w:val="center"/>
        <w:rPr>
          <w:rFonts w:ascii="Verdana" w:hAnsi="Verdana" w:cs="Arial"/>
          <w:b/>
        </w:rPr>
      </w:pPr>
    </w:p>
    <w:p w:rsidR="00495CCD" w:rsidRPr="00451176" w:rsidRDefault="00B63FC5" w:rsidP="00266CF7">
      <w:pPr>
        <w:tabs>
          <w:tab w:val="left" w:pos="720"/>
        </w:tabs>
        <w:spacing w:line="360" w:lineRule="auto"/>
        <w:jc w:val="center"/>
        <w:rPr>
          <w:rFonts w:ascii="Verdana" w:hAnsi="Verdana" w:cs="Arial"/>
          <w:b/>
        </w:rPr>
      </w:pPr>
      <w:r>
        <w:rPr>
          <w:rFonts w:ascii="Verdana" w:hAnsi="Verdana" w:cs="Arial"/>
          <w:b/>
        </w:rPr>
        <w:t>PENALTY NOTICE</w:t>
      </w:r>
    </w:p>
    <w:p w:rsidR="00495CCD" w:rsidRPr="00451176" w:rsidRDefault="00495CCD" w:rsidP="00266CF7">
      <w:pPr>
        <w:tabs>
          <w:tab w:val="left" w:pos="720"/>
        </w:tabs>
        <w:spacing w:line="360" w:lineRule="auto"/>
        <w:jc w:val="center"/>
        <w:rPr>
          <w:rFonts w:ascii="Verdana" w:hAnsi="Verdana" w:cs="Arial"/>
          <w:b/>
        </w:rPr>
      </w:pPr>
    </w:p>
    <w:p w:rsidR="00495CCD" w:rsidRPr="00451176" w:rsidRDefault="00495CCD" w:rsidP="00266CF7">
      <w:pPr>
        <w:tabs>
          <w:tab w:val="left" w:pos="-180"/>
          <w:tab w:val="left" w:pos="720"/>
          <w:tab w:val="center" w:pos="4153"/>
          <w:tab w:val="right" w:pos="8306"/>
        </w:tabs>
        <w:spacing w:line="360" w:lineRule="auto"/>
        <w:rPr>
          <w:rFonts w:ascii="Verdana" w:hAnsi="Verdana"/>
        </w:rPr>
      </w:pPr>
      <w:r w:rsidRPr="00451176">
        <w:rPr>
          <w:rFonts w:ascii="Verdana" w:hAnsi="Verdana"/>
        </w:rPr>
        <w:t>To:</w:t>
      </w:r>
      <w:r w:rsidRPr="00451176">
        <w:rPr>
          <w:rFonts w:ascii="Verdana" w:hAnsi="Verdana"/>
        </w:rPr>
        <w:tab/>
      </w:r>
      <w:r w:rsidR="00E57949">
        <w:rPr>
          <w:rFonts w:ascii="Verdana" w:hAnsi="Verdana" w:cs="Verdana"/>
          <w:lang w:eastAsia="en-GB"/>
        </w:rPr>
        <w:t>[Organisation Name]</w:t>
      </w:r>
      <w:r w:rsidRPr="00451176">
        <w:rPr>
          <w:rFonts w:ascii="Verdana" w:hAnsi="Verdana"/>
        </w:rPr>
        <w:br/>
      </w:r>
    </w:p>
    <w:p w:rsidR="00495CCD" w:rsidRPr="00451176" w:rsidRDefault="00495CCD" w:rsidP="001C0DA6">
      <w:pPr>
        <w:tabs>
          <w:tab w:val="left" w:pos="720"/>
          <w:tab w:val="center" w:pos="4153"/>
          <w:tab w:val="right" w:pos="8306"/>
        </w:tabs>
        <w:spacing w:line="360" w:lineRule="auto"/>
        <w:rPr>
          <w:rFonts w:ascii="Verdana" w:hAnsi="Verdana" w:cs="Arial"/>
        </w:rPr>
      </w:pPr>
      <w:r w:rsidRPr="00451176">
        <w:rPr>
          <w:rFonts w:ascii="Verdana" w:hAnsi="Verdana" w:cs="Arial"/>
        </w:rPr>
        <w:t xml:space="preserve">Of:   </w:t>
      </w:r>
      <w:r w:rsidR="00337531" w:rsidRPr="00451176">
        <w:rPr>
          <w:rFonts w:ascii="Verdana" w:hAnsi="Verdana" w:cs="Arial"/>
        </w:rPr>
        <w:t xml:space="preserve"> </w:t>
      </w:r>
      <w:r w:rsidRPr="00451176">
        <w:rPr>
          <w:rFonts w:ascii="Verdana" w:hAnsi="Verdana" w:cs="Arial"/>
        </w:rPr>
        <w:br/>
      </w:r>
    </w:p>
    <w:p w:rsidR="00495CCD" w:rsidRPr="00451176" w:rsidRDefault="00495CCD" w:rsidP="00266CF7">
      <w:pPr>
        <w:numPr>
          <w:ilvl w:val="0"/>
          <w:numId w:val="21"/>
        </w:numPr>
        <w:spacing w:line="360" w:lineRule="auto"/>
        <w:ind w:left="709" w:hanging="709"/>
        <w:contextualSpacing/>
        <w:rPr>
          <w:rFonts w:ascii="Verdana" w:hAnsi="Verdana" w:cs="Verdana"/>
          <w:lang w:eastAsia="en-GB"/>
        </w:rPr>
      </w:pPr>
      <w:r w:rsidRPr="00451176">
        <w:rPr>
          <w:rFonts w:ascii="Verdana" w:hAnsi="Verdana" w:cs="Verdana"/>
          <w:lang w:eastAsia="en-GB"/>
        </w:rPr>
        <w:t xml:space="preserve">The Information Commissioner (“Commissioner”) </w:t>
      </w:r>
      <w:r w:rsidR="00B63FC5">
        <w:rPr>
          <w:rFonts w:ascii="Verdana" w:hAnsi="Verdana" w:cs="Verdana"/>
          <w:lang w:eastAsia="en-GB"/>
        </w:rPr>
        <w:t>has decided</w:t>
      </w:r>
      <w:r w:rsidRPr="00451176">
        <w:rPr>
          <w:rFonts w:ascii="Verdana" w:hAnsi="Verdana" w:cs="Verdana"/>
          <w:lang w:eastAsia="en-GB"/>
        </w:rPr>
        <w:t xml:space="preserve"> to issue</w:t>
      </w:r>
      <w:r w:rsidR="000E6074" w:rsidRPr="00451176">
        <w:rPr>
          <w:rFonts w:ascii="Verdana" w:hAnsi="Verdana" w:cs="Verdana"/>
          <w:lang w:eastAsia="en-GB"/>
        </w:rPr>
        <w:t xml:space="preserve"> </w:t>
      </w:r>
      <w:r w:rsidR="00DD29F6">
        <w:rPr>
          <w:rFonts w:ascii="Verdana" w:hAnsi="Verdana" w:cs="Verdana"/>
          <w:lang w:eastAsia="en-GB"/>
        </w:rPr>
        <w:t>[</w:t>
      </w:r>
      <w:r w:rsidR="00E57949">
        <w:rPr>
          <w:rFonts w:ascii="Verdana" w:hAnsi="Verdana" w:cs="Verdana"/>
          <w:lang w:eastAsia="en-GB"/>
        </w:rPr>
        <w:t>Organisation Name</w:t>
      </w:r>
      <w:r w:rsidR="00DD29F6">
        <w:rPr>
          <w:rFonts w:ascii="Verdana" w:hAnsi="Verdana" w:cs="Verdana"/>
          <w:lang w:eastAsia="en-GB"/>
        </w:rPr>
        <w:t>]</w:t>
      </w:r>
      <w:r w:rsidR="000E6074" w:rsidRPr="00451176">
        <w:rPr>
          <w:rFonts w:ascii="Verdana" w:hAnsi="Verdana" w:cs="Verdana"/>
          <w:lang w:eastAsia="en-GB"/>
        </w:rPr>
        <w:t xml:space="preserve"> </w:t>
      </w:r>
      <w:r w:rsidRPr="00451176">
        <w:rPr>
          <w:rFonts w:ascii="Verdana" w:hAnsi="Verdana" w:cs="Verdana"/>
          <w:lang w:eastAsia="en-GB"/>
        </w:rPr>
        <w:t>with a penalty</w:t>
      </w:r>
      <w:r w:rsidR="00127615">
        <w:rPr>
          <w:rFonts w:ascii="Verdana" w:hAnsi="Verdana" w:cs="Verdana"/>
          <w:lang w:eastAsia="en-GB"/>
        </w:rPr>
        <w:t xml:space="preserve"> notice</w:t>
      </w:r>
      <w:r w:rsidRPr="00451176">
        <w:rPr>
          <w:rFonts w:ascii="Verdana" w:hAnsi="Verdana" w:cs="Verdana"/>
          <w:lang w:eastAsia="en-GB"/>
        </w:rPr>
        <w:t xml:space="preserve"> under section </w:t>
      </w:r>
      <w:r w:rsidR="009E3184">
        <w:rPr>
          <w:rFonts w:ascii="Verdana" w:hAnsi="Verdana" w:cs="Verdana"/>
          <w:lang w:eastAsia="en-GB"/>
        </w:rPr>
        <w:t>155</w:t>
      </w:r>
      <w:r w:rsidR="00127615">
        <w:rPr>
          <w:rFonts w:ascii="Verdana" w:hAnsi="Verdana" w:cs="Verdana"/>
          <w:lang w:eastAsia="en-GB"/>
        </w:rPr>
        <w:t>(1</w:t>
      </w:r>
      <w:r w:rsidR="009E3184">
        <w:rPr>
          <w:rFonts w:ascii="Verdana" w:hAnsi="Verdana" w:cs="Verdana"/>
          <w:lang w:eastAsia="en-GB"/>
        </w:rPr>
        <w:t>) (</w:t>
      </w:r>
      <w:r w:rsidR="00127615">
        <w:rPr>
          <w:rFonts w:ascii="Verdana" w:hAnsi="Verdana" w:cs="Verdana"/>
          <w:lang w:eastAsia="en-GB"/>
        </w:rPr>
        <w:t>a)</w:t>
      </w:r>
      <w:r w:rsidRPr="00451176">
        <w:rPr>
          <w:rFonts w:ascii="Verdana" w:hAnsi="Verdana" w:cs="Verdana"/>
          <w:lang w:eastAsia="en-GB"/>
        </w:rPr>
        <w:t xml:space="preserve"> of the Data Protection Act </w:t>
      </w:r>
      <w:r w:rsidR="00127615">
        <w:rPr>
          <w:rFonts w:ascii="Verdana" w:hAnsi="Verdana" w:cs="Verdana"/>
          <w:lang w:eastAsia="en-GB"/>
        </w:rPr>
        <w:t>2018</w:t>
      </w:r>
      <w:r w:rsidRPr="00451176">
        <w:rPr>
          <w:rFonts w:ascii="Verdana" w:hAnsi="Verdana" w:cs="Verdana"/>
          <w:lang w:eastAsia="en-GB"/>
        </w:rPr>
        <w:t xml:space="preserve"> (“DPA”). The penalty is being issued because of a </w:t>
      </w:r>
      <w:r w:rsidR="00127615">
        <w:rPr>
          <w:rFonts w:ascii="Verdana" w:hAnsi="Verdana" w:cs="Verdana"/>
          <w:lang w:eastAsia="en-GB"/>
        </w:rPr>
        <w:t>failure to comply with regulations prescribing the payment of a charge to the Commissioner: the Data Protection (Charges and Information) Regulations 2018 (“the Regulations”)</w:t>
      </w:r>
      <w:r w:rsidRPr="00451176">
        <w:rPr>
          <w:rFonts w:ascii="Verdana" w:hAnsi="Verdana" w:cs="Verdana"/>
          <w:lang w:eastAsia="en-GB"/>
        </w:rPr>
        <w:t>.</w:t>
      </w:r>
      <w:r w:rsidRPr="00451176">
        <w:rPr>
          <w:rFonts w:ascii="Verdana" w:hAnsi="Verdana" w:cs="Verdana"/>
          <w:lang w:eastAsia="en-GB"/>
        </w:rPr>
        <w:br/>
      </w:r>
    </w:p>
    <w:p w:rsidR="00495CCD" w:rsidRPr="00451176" w:rsidRDefault="00495CCD" w:rsidP="00266CF7">
      <w:pPr>
        <w:numPr>
          <w:ilvl w:val="0"/>
          <w:numId w:val="21"/>
        </w:numPr>
        <w:spacing w:line="360" w:lineRule="auto"/>
        <w:ind w:left="709" w:hanging="709"/>
        <w:contextualSpacing/>
        <w:rPr>
          <w:rFonts w:ascii="Verdana" w:hAnsi="Verdana" w:cs="Verdana"/>
          <w:lang w:eastAsia="en-GB"/>
        </w:rPr>
      </w:pPr>
      <w:r w:rsidRPr="00451176">
        <w:rPr>
          <w:rFonts w:ascii="Verdana" w:hAnsi="Verdana" w:cs="Verdana"/>
          <w:lang w:eastAsia="en-GB"/>
        </w:rPr>
        <w:t>This notice explains the Commissioner’s decision.</w:t>
      </w:r>
    </w:p>
    <w:p w:rsidR="00495CCD" w:rsidRPr="00451176" w:rsidRDefault="00495CCD" w:rsidP="00266CF7">
      <w:pPr>
        <w:spacing w:line="360" w:lineRule="auto"/>
        <w:ind w:left="360"/>
        <w:rPr>
          <w:rFonts w:ascii="Verdana" w:hAnsi="Verdana"/>
        </w:rPr>
      </w:pPr>
    </w:p>
    <w:p w:rsidR="00495CCD" w:rsidRPr="00451176" w:rsidRDefault="0039382E" w:rsidP="00266CF7">
      <w:pPr>
        <w:spacing w:line="360" w:lineRule="auto"/>
        <w:rPr>
          <w:rFonts w:ascii="Verdana" w:hAnsi="Verdana" w:cs="Arial"/>
          <w:b/>
          <w:u w:val="single"/>
        </w:rPr>
      </w:pPr>
      <w:r w:rsidRPr="00451176">
        <w:rPr>
          <w:rFonts w:ascii="Verdana" w:hAnsi="Verdana" w:cs="Arial"/>
          <w:b/>
        </w:rPr>
        <w:t xml:space="preserve">         </w:t>
      </w:r>
      <w:r w:rsidR="000C3A32">
        <w:rPr>
          <w:rFonts w:ascii="Verdana" w:hAnsi="Verdana" w:cs="Arial"/>
          <w:b/>
          <w:u w:val="single"/>
        </w:rPr>
        <w:t>Legal F</w:t>
      </w:r>
      <w:r w:rsidR="00495CCD" w:rsidRPr="00451176">
        <w:rPr>
          <w:rFonts w:ascii="Verdana" w:hAnsi="Verdana" w:cs="Arial"/>
          <w:b/>
          <w:u w:val="single"/>
        </w:rPr>
        <w:t>ramework</w:t>
      </w:r>
    </w:p>
    <w:p w:rsidR="00495CCD" w:rsidRPr="00451176" w:rsidRDefault="00495CCD" w:rsidP="00266CF7">
      <w:pPr>
        <w:spacing w:line="360" w:lineRule="auto"/>
        <w:rPr>
          <w:rFonts w:ascii="Verdana" w:hAnsi="Verdana" w:cs="Arial"/>
          <w:u w:val="single"/>
        </w:rPr>
      </w:pPr>
    </w:p>
    <w:p w:rsidR="00127615" w:rsidRDefault="00E57949" w:rsidP="00266CF7">
      <w:pPr>
        <w:numPr>
          <w:ilvl w:val="0"/>
          <w:numId w:val="21"/>
        </w:numPr>
        <w:spacing w:line="360" w:lineRule="auto"/>
        <w:ind w:left="709" w:hanging="709"/>
        <w:contextualSpacing/>
        <w:rPr>
          <w:rFonts w:ascii="Verdana" w:hAnsi="Verdana" w:cs="Arial"/>
          <w:lang w:eastAsia="en-GB"/>
        </w:rPr>
      </w:pPr>
      <w:r>
        <w:rPr>
          <w:rFonts w:ascii="Verdana" w:hAnsi="Verdana" w:cs="Verdana"/>
          <w:lang w:eastAsia="en-GB"/>
        </w:rPr>
        <w:t>[Organisation Name]</w:t>
      </w:r>
      <w:r w:rsidR="000E6074" w:rsidRPr="00451176">
        <w:rPr>
          <w:rFonts w:ascii="Verdana" w:hAnsi="Verdana" w:cs="Arial"/>
          <w:lang w:eastAsia="en-GB"/>
        </w:rPr>
        <w:t xml:space="preserve"> </w:t>
      </w:r>
      <w:r w:rsidR="00127615">
        <w:rPr>
          <w:rFonts w:ascii="Verdana" w:hAnsi="Verdana" w:cs="Arial"/>
          <w:lang w:eastAsia="en-GB"/>
        </w:rPr>
        <w:t>is a data controller within the meaning of the DPA</w:t>
      </w:r>
      <w:r w:rsidR="00495CCD" w:rsidRPr="00451176">
        <w:rPr>
          <w:rFonts w:ascii="Verdana" w:hAnsi="Verdana" w:cs="Arial"/>
          <w:lang w:eastAsia="en-GB"/>
        </w:rPr>
        <w:t>.</w:t>
      </w:r>
    </w:p>
    <w:p w:rsidR="00127615" w:rsidRDefault="00127615" w:rsidP="00127615">
      <w:pPr>
        <w:spacing w:line="360" w:lineRule="auto"/>
        <w:ind w:left="709"/>
        <w:contextualSpacing/>
        <w:rPr>
          <w:rFonts w:ascii="Verdana" w:hAnsi="Verdana" w:cs="Arial"/>
          <w:lang w:eastAsia="en-GB"/>
        </w:rPr>
      </w:pPr>
    </w:p>
    <w:p w:rsidR="00127615" w:rsidRDefault="00127615" w:rsidP="00266CF7">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 xml:space="preserve">Under </w:t>
      </w:r>
      <w:r w:rsidR="009E3184">
        <w:rPr>
          <w:rFonts w:ascii="Verdana" w:hAnsi="Verdana" w:cs="Arial"/>
          <w:lang w:eastAsia="en-GB"/>
        </w:rPr>
        <w:t>section 137 of the</w:t>
      </w:r>
      <w:r>
        <w:rPr>
          <w:rFonts w:ascii="Verdana" w:hAnsi="Verdana" w:cs="Arial"/>
          <w:lang w:eastAsia="en-GB"/>
        </w:rPr>
        <w:t xml:space="preserve"> DPA, regulations may be made prescribing charges to be paid to the Commissioner by data controllers and </w:t>
      </w:r>
      <w:r>
        <w:rPr>
          <w:rFonts w:ascii="Verdana" w:hAnsi="Verdana" w:cs="Arial"/>
          <w:lang w:eastAsia="en-GB"/>
        </w:rPr>
        <w:lastRenderedPageBreak/>
        <w:t>requiring data controllers to provide the Commissioner with specified information.</w:t>
      </w:r>
    </w:p>
    <w:p w:rsidR="00127615" w:rsidRDefault="00127615" w:rsidP="00127615">
      <w:pPr>
        <w:pStyle w:val="ListParagraph"/>
        <w:rPr>
          <w:rFonts w:cs="Arial"/>
        </w:rPr>
      </w:pPr>
    </w:p>
    <w:p w:rsidR="00127615" w:rsidRDefault="00127615" w:rsidP="00266CF7">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The Regulations make provision for these charging and information requirements.</w:t>
      </w:r>
    </w:p>
    <w:p w:rsidR="00127615" w:rsidRDefault="00127615" w:rsidP="00127615">
      <w:pPr>
        <w:pStyle w:val="ListParagraph"/>
        <w:rPr>
          <w:rFonts w:cs="Arial"/>
        </w:rPr>
      </w:pPr>
    </w:p>
    <w:p w:rsidR="00127615" w:rsidRDefault="00127615" w:rsidP="00266CF7">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Regulation 2(2) requires a data controller to pay a charge to the Commissioner, within 21 days of the beginning of the relevant charge period, in the sum set out in regulation 3.</w:t>
      </w:r>
    </w:p>
    <w:p w:rsidR="00127615" w:rsidRDefault="00127615" w:rsidP="00127615">
      <w:pPr>
        <w:pStyle w:val="ListParagraph"/>
        <w:rPr>
          <w:rFonts w:cs="Arial"/>
        </w:rPr>
      </w:pPr>
    </w:p>
    <w:p w:rsidR="00127615" w:rsidRDefault="00127615" w:rsidP="00266CF7">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Regulation 3(1) prescribes the applicable charge to be:</w:t>
      </w:r>
    </w:p>
    <w:p w:rsidR="00127615" w:rsidRPr="00127615" w:rsidRDefault="00127615" w:rsidP="00127615">
      <w:pPr>
        <w:pStyle w:val="ListParagraph"/>
        <w:rPr>
          <w:rFonts w:cs="Arial"/>
          <w:sz w:val="24"/>
        </w:rPr>
      </w:pPr>
    </w:p>
    <w:p w:rsidR="00127615" w:rsidRDefault="00127615" w:rsidP="00127615">
      <w:pPr>
        <w:pStyle w:val="ListParagraph"/>
        <w:numPr>
          <w:ilvl w:val="0"/>
          <w:numId w:val="37"/>
        </w:numPr>
        <w:spacing w:line="360" w:lineRule="auto"/>
        <w:rPr>
          <w:rFonts w:cs="Arial"/>
          <w:sz w:val="24"/>
        </w:rPr>
      </w:pPr>
      <w:r w:rsidRPr="00127615">
        <w:rPr>
          <w:rFonts w:cs="Arial"/>
          <w:sz w:val="24"/>
        </w:rPr>
        <w:t xml:space="preserve">£40 </w:t>
      </w:r>
      <w:r>
        <w:rPr>
          <w:rFonts w:cs="Arial"/>
          <w:sz w:val="24"/>
        </w:rPr>
        <w:t>for a tier 1 organisation;</w:t>
      </w:r>
    </w:p>
    <w:p w:rsidR="00127615" w:rsidRDefault="00127615" w:rsidP="00127615">
      <w:pPr>
        <w:pStyle w:val="ListParagraph"/>
        <w:numPr>
          <w:ilvl w:val="0"/>
          <w:numId w:val="37"/>
        </w:numPr>
        <w:spacing w:line="360" w:lineRule="auto"/>
        <w:rPr>
          <w:rFonts w:cs="Arial"/>
          <w:sz w:val="24"/>
        </w:rPr>
      </w:pPr>
      <w:r>
        <w:rPr>
          <w:rFonts w:cs="Arial"/>
          <w:sz w:val="24"/>
        </w:rPr>
        <w:t>£60 for a tier 2 organisation;</w:t>
      </w:r>
    </w:p>
    <w:p w:rsidR="00495CCD" w:rsidRPr="00127615" w:rsidRDefault="00127615" w:rsidP="00127615">
      <w:pPr>
        <w:pStyle w:val="ListParagraph"/>
        <w:numPr>
          <w:ilvl w:val="0"/>
          <w:numId w:val="37"/>
        </w:numPr>
        <w:spacing w:line="360" w:lineRule="auto"/>
        <w:rPr>
          <w:rFonts w:cs="Arial"/>
          <w:sz w:val="24"/>
        </w:rPr>
      </w:pPr>
      <w:r>
        <w:rPr>
          <w:rFonts w:cs="Arial"/>
          <w:sz w:val="24"/>
        </w:rPr>
        <w:t>£2,900 for a tier 3 organisation.</w:t>
      </w:r>
      <w:r w:rsidR="00495CCD" w:rsidRPr="00127615">
        <w:rPr>
          <w:rFonts w:cs="Arial"/>
          <w:sz w:val="24"/>
        </w:rPr>
        <w:br/>
      </w:r>
    </w:p>
    <w:p w:rsidR="00127615" w:rsidRDefault="00127615" w:rsidP="00266CF7">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t xml:space="preserve">The definitions of the tiers are set out in regulation 3(2). </w:t>
      </w:r>
      <w:r w:rsidR="00D626B3">
        <w:rPr>
          <w:rFonts w:ascii="Verdana" w:hAnsi="Verdana" w:cs="Verdana"/>
          <w:lang w:eastAsia="en-GB"/>
        </w:rPr>
        <w:t>Regulation 3(5) reduces each charge by £5 if paid by direct debit.</w:t>
      </w:r>
    </w:p>
    <w:p w:rsidR="00D626B3" w:rsidRDefault="00D626B3" w:rsidP="00D626B3">
      <w:pPr>
        <w:spacing w:line="360" w:lineRule="auto"/>
        <w:ind w:left="709"/>
        <w:contextualSpacing/>
        <w:rPr>
          <w:rFonts w:ascii="Verdana" w:hAnsi="Verdana" w:cs="Verdana"/>
          <w:lang w:eastAsia="en-GB"/>
        </w:rPr>
      </w:pPr>
    </w:p>
    <w:p w:rsidR="00127615" w:rsidRDefault="00127615" w:rsidP="00266CF7">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t>Regulation 2(3) requires a data controller to provide to the Commissioner, within 21 days of the beginning of the relevant charge period, specified information as at the first day of that charge period. That information is:</w:t>
      </w:r>
    </w:p>
    <w:p w:rsidR="00127615" w:rsidRPr="00127615" w:rsidRDefault="00127615" w:rsidP="00127615">
      <w:pPr>
        <w:spacing w:line="360" w:lineRule="auto"/>
        <w:ind w:left="709"/>
        <w:contextualSpacing/>
        <w:rPr>
          <w:rFonts w:ascii="Verdana" w:hAnsi="Verdana" w:cs="Verdana"/>
          <w:sz w:val="28"/>
          <w:lang w:eastAsia="en-GB"/>
        </w:rPr>
      </w:pPr>
    </w:p>
    <w:p w:rsidR="00127615" w:rsidRDefault="00127615" w:rsidP="00127615">
      <w:pPr>
        <w:pStyle w:val="ListParagraph"/>
        <w:numPr>
          <w:ilvl w:val="0"/>
          <w:numId w:val="38"/>
        </w:numPr>
        <w:spacing w:line="360" w:lineRule="auto"/>
        <w:rPr>
          <w:sz w:val="24"/>
        </w:rPr>
      </w:pPr>
      <w:r>
        <w:rPr>
          <w:sz w:val="24"/>
        </w:rPr>
        <w:t>The name and address of the controller;</w:t>
      </w:r>
    </w:p>
    <w:p w:rsidR="00127615" w:rsidRDefault="00D626B3" w:rsidP="00127615">
      <w:pPr>
        <w:pStyle w:val="ListParagraph"/>
        <w:numPr>
          <w:ilvl w:val="0"/>
          <w:numId w:val="38"/>
        </w:numPr>
        <w:spacing w:line="360" w:lineRule="auto"/>
        <w:rPr>
          <w:sz w:val="24"/>
        </w:rPr>
      </w:pPr>
      <w:r>
        <w:rPr>
          <w:sz w:val="24"/>
        </w:rPr>
        <w:t>The number of members of staff of the controller by reference to specific bands;</w:t>
      </w:r>
    </w:p>
    <w:p w:rsidR="00D626B3" w:rsidRDefault="00D626B3" w:rsidP="00127615">
      <w:pPr>
        <w:pStyle w:val="ListParagraph"/>
        <w:numPr>
          <w:ilvl w:val="0"/>
          <w:numId w:val="38"/>
        </w:numPr>
        <w:spacing w:line="360" w:lineRule="auto"/>
        <w:rPr>
          <w:sz w:val="24"/>
        </w:rPr>
      </w:pPr>
      <w:r>
        <w:rPr>
          <w:sz w:val="24"/>
        </w:rPr>
        <w:t>The turnover of the controller by reference to specific bands;</w:t>
      </w:r>
    </w:p>
    <w:p w:rsidR="00D626B3" w:rsidRPr="00127615" w:rsidRDefault="00D626B3" w:rsidP="00127615">
      <w:pPr>
        <w:pStyle w:val="ListParagraph"/>
        <w:numPr>
          <w:ilvl w:val="0"/>
          <w:numId w:val="38"/>
        </w:numPr>
        <w:spacing w:line="360" w:lineRule="auto"/>
        <w:rPr>
          <w:sz w:val="24"/>
        </w:rPr>
      </w:pPr>
      <w:r>
        <w:rPr>
          <w:sz w:val="24"/>
        </w:rPr>
        <w:t>Whether the data controller is a public authority.</w:t>
      </w:r>
    </w:p>
    <w:p w:rsidR="00127615" w:rsidRPr="00127615" w:rsidRDefault="00127615" w:rsidP="00127615">
      <w:pPr>
        <w:spacing w:line="360" w:lineRule="auto"/>
        <w:ind w:left="709"/>
        <w:contextualSpacing/>
        <w:rPr>
          <w:rFonts w:ascii="Verdana" w:hAnsi="Verdana" w:cs="Verdana"/>
          <w:lang w:eastAsia="en-GB"/>
        </w:rPr>
      </w:pPr>
    </w:p>
    <w:p w:rsidR="00E55BEC" w:rsidRPr="00E55BEC" w:rsidRDefault="009E3184" w:rsidP="00266CF7">
      <w:pPr>
        <w:numPr>
          <w:ilvl w:val="0"/>
          <w:numId w:val="21"/>
        </w:numPr>
        <w:spacing w:line="360" w:lineRule="auto"/>
        <w:ind w:left="709" w:hanging="709"/>
        <w:contextualSpacing/>
        <w:rPr>
          <w:rFonts w:ascii="Verdana" w:hAnsi="Verdana" w:cs="Verdana"/>
          <w:lang w:eastAsia="en-GB"/>
        </w:rPr>
      </w:pPr>
      <w:r>
        <w:rPr>
          <w:rFonts w:ascii="Verdana" w:hAnsi="Verdana" w:cs="Arial"/>
          <w:lang w:eastAsia="en-GB"/>
        </w:rPr>
        <w:lastRenderedPageBreak/>
        <w:t>Section 155</w:t>
      </w:r>
      <w:r w:rsidR="00D626B3">
        <w:rPr>
          <w:rFonts w:ascii="Verdana" w:hAnsi="Verdana" w:cs="Arial"/>
          <w:lang w:eastAsia="en-GB"/>
        </w:rPr>
        <w:t>(1)(a) DPA provides the Commissioner the power to issue a written notice requiring a person to pay an amount specified in the notice if the Commissioner is satisfied that the person has failed or is failing as described in, inter alia, section 1</w:t>
      </w:r>
      <w:r>
        <w:rPr>
          <w:rFonts w:ascii="Verdana" w:hAnsi="Verdana" w:cs="Arial"/>
          <w:lang w:eastAsia="en-GB"/>
        </w:rPr>
        <w:t>49</w:t>
      </w:r>
      <w:r w:rsidR="00D626B3">
        <w:rPr>
          <w:rFonts w:ascii="Verdana" w:hAnsi="Verdana" w:cs="Arial"/>
          <w:lang w:eastAsia="en-GB"/>
        </w:rPr>
        <w:t>(5).</w:t>
      </w:r>
    </w:p>
    <w:p w:rsidR="00495CCD" w:rsidRPr="00E57949" w:rsidRDefault="00D626B3" w:rsidP="00E55BEC">
      <w:pPr>
        <w:spacing w:line="360" w:lineRule="auto"/>
        <w:ind w:left="709"/>
        <w:contextualSpacing/>
        <w:rPr>
          <w:rFonts w:ascii="Verdana" w:hAnsi="Verdana" w:cs="Verdana"/>
          <w:lang w:eastAsia="en-GB"/>
        </w:rPr>
      </w:pPr>
      <w:r>
        <w:rPr>
          <w:rFonts w:ascii="Verdana" w:hAnsi="Verdana" w:cs="Arial"/>
          <w:lang w:eastAsia="en-GB"/>
        </w:rPr>
        <w:t xml:space="preserve"> </w:t>
      </w:r>
    </w:p>
    <w:p w:rsidR="00D626B3" w:rsidRDefault="009E3184" w:rsidP="00D626B3">
      <w:pPr>
        <w:numPr>
          <w:ilvl w:val="0"/>
          <w:numId w:val="21"/>
        </w:numPr>
        <w:spacing w:line="360" w:lineRule="auto"/>
        <w:ind w:left="709" w:hanging="709"/>
        <w:contextualSpacing/>
        <w:rPr>
          <w:rFonts w:ascii="Verdana" w:hAnsi="Verdana" w:cs="Verdana"/>
          <w:lang w:eastAsia="en-GB"/>
        </w:rPr>
      </w:pPr>
      <w:r>
        <w:rPr>
          <w:rFonts w:ascii="Verdana" w:hAnsi="Verdana" w:cs="Arial"/>
          <w:lang w:eastAsia="en-GB"/>
        </w:rPr>
        <w:t>Section 149</w:t>
      </w:r>
      <w:r w:rsidR="00D626B3">
        <w:rPr>
          <w:rFonts w:ascii="Verdana" w:hAnsi="Verdana" w:cs="Arial"/>
          <w:lang w:eastAsia="en-GB"/>
        </w:rPr>
        <w:t>(5) describes a failure on the part of a controller to comply wi</w:t>
      </w:r>
      <w:r>
        <w:rPr>
          <w:rFonts w:ascii="Verdana" w:hAnsi="Verdana" w:cs="Arial"/>
          <w:lang w:eastAsia="en-GB"/>
        </w:rPr>
        <w:t>th regulations under section 137</w:t>
      </w:r>
      <w:r w:rsidR="00D626B3">
        <w:rPr>
          <w:rFonts w:ascii="Verdana" w:hAnsi="Verdana" w:cs="Arial"/>
          <w:lang w:eastAsia="en-GB"/>
        </w:rPr>
        <w:t>. The Regulations a</w:t>
      </w:r>
      <w:r>
        <w:rPr>
          <w:rFonts w:ascii="Verdana" w:hAnsi="Verdana" w:cs="Arial"/>
          <w:lang w:eastAsia="en-GB"/>
        </w:rPr>
        <w:t>re regulations under section 137</w:t>
      </w:r>
      <w:r w:rsidR="00D626B3">
        <w:rPr>
          <w:rFonts w:ascii="Verdana" w:hAnsi="Verdana" w:cs="Arial"/>
          <w:lang w:eastAsia="en-GB"/>
        </w:rPr>
        <w:t xml:space="preserve"> DPA.</w:t>
      </w:r>
    </w:p>
    <w:p w:rsidR="00D626B3" w:rsidRDefault="00D626B3" w:rsidP="00D626B3">
      <w:pPr>
        <w:spacing w:line="360" w:lineRule="auto"/>
        <w:ind w:left="709"/>
        <w:contextualSpacing/>
        <w:rPr>
          <w:rFonts w:ascii="Verdana" w:hAnsi="Verdana" w:cs="Verdana"/>
          <w:lang w:eastAsia="en-GB"/>
        </w:rPr>
      </w:pPr>
    </w:p>
    <w:p w:rsidR="00D626B3" w:rsidRDefault="009E3184" w:rsidP="00D626B3">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t>In accordance with section 158</w:t>
      </w:r>
      <w:r w:rsidR="00D626B3">
        <w:rPr>
          <w:rFonts w:ascii="Verdana" w:hAnsi="Verdana" w:cs="Verdana"/>
          <w:lang w:eastAsia="en-GB"/>
        </w:rPr>
        <w:t>, the Commissioner has published a document specifying the amount of the penalty for a failure to comply with the Regulations. This doc</w:t>
      </w:r>
      <w:r>
        <w:rPr>
          <w:rFonts w:ascii="Verdana" w:hAnsi="Verdana" w:cs="Verdana"/>
          <w:lang w:eastAsia="en-GB"/>
        </w:rPr>
        <w:t>ument is entitled ‘Regulatory Action Policy</w:t>
      </w:r>
      <w:r w:rsidR="00D626B3">
        <w:rPr>
          <w:rFonts w:ascii="Verdana" w:hAnsi="Verdana" w:cs="Verdana"/>
          <w:lang w:eastAsia="en-GB"/>
        </w:rPr>
        <w:t>’ and is publishe</w:t>
      </w:r>
      <w:r>
        <w:rPr>
          <w:rFonts w:ascii="Verdana" w:hAnsi="Verdana" w:cs="Verdana"/>
          <w:lang w:eastAsia="en-GB"/>
        </w:rPr>
        <w:t xml:space="preserve">d on the Commissioner’s website at </w:t>
      </w:r>
      <w:hyperlink r:id="rId8" w:history="1">
        <w:r w:rsidRPr="00E14DE7">
          <w:rPr>
            <w:rFonts w:ascii="Verdana" w:hAnsi="Verdana" w:cs="Verdana"/>
            <w:color w:val="1F497D" w:themeColor="text2"/>
            <w:lang w:eastAsia="en-GB"/>
          </w:rPr>
          <w:t>https://ico.org.uk/media/about-the-ico/documents/2259467/regulatory-action-policy.pdf</w:t>
        </w:r>
      </w:hyperlink>
      <w:r w:rsidRPr="00E14DE7">
        <w:rPr>
          <w:rFonts w:ascii="Verdana" w:hAnsi="Verdana" w:cs="Verdana"/>
          <w:color w:val="1F497D" w:themeColor="text2"/>
          <w:lang w:eastAsia="en-GB"/>
        </w:rPr>
        <w:t>.</w:t>
      </w:r>
      <w:r w:rsidR="00D626B3">
        <w:rPr>
          <w:rFonts w:ascii="Verdana" w:hAnsi="Verdana" w:cs="Verdana"/>
          <w:lang w:eastAsia="en-GB"/>
        </w:rPr>
        <w:t xml:space="preserve"> </w:t>
      </w:r>
    </w:p>
    <w:p w:rsidR="000A7943" w:rsidRDefault="000A7943" w:rsidP="000A7943">
      <w:pPr>
        <w:pStyle w:val="ListParagraph"/>
      </w:pPr>
    </w:p>
    <w:p w:rsidR="000A7943" w:rsidRDefault="000A7943" w:rsidP="00D626B3">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t>The Commissioner has specified that for a breach of regulation 2(2) and/or regulation 2(3) the following penalties will be applied:</w:t>
      </w:r>
    </w:p>
    <w:p w:rsidR="000A7943" w:rsidRPr="000A7943" w:rsidRDefault="000A7943" w:rsidP="000A7943">
      <w:pPr>
        <w:pStyle w:val="ListParagraph"/>
        <w:rPr>
          <w:sz w:val="24"/>
        </w:rPr>
      </w:pPr>
    </w:p>
    <w:p w:rsidR="000A7943" w:rsidRDefault="000A7943" w:rsidP="000A7943">
      <w:pPr>
        <w:pStyle w:val="ListParagraph"/>
        <w:numPr>
          <w:ilvl w:val="0"/>
          <w:numId w:val="39"/>
        </w:numPr>
        <w:spacing w:line="360" w:lineRule="auto"/>
        <w:rPr>
          <w:sz w:val="24"/>
        </w:rPr>
      </w:pPr>
      <w:r w:rsidRPr="000A7943">
        <w:rPr>
          <w:sz w:val="24"/>
        </w:rPr>
        <w:t xml:space="preserve">A tier 1 </w:t>
      </w:r>
      <w:r>
        <w:rPr>
          <w:sz w:val="24"/>
        </w:rPr>
        <w:t>organisation will be the subject of a £400 penalty;</w:t>
      </w:r>
    </w:p>
    <w:p w:rsidR="000A7943" w:rsidRDefault="000A7943" w:rsidP="000A7943">
      <w:pPr>
        <w:pStyle w:val="ListParagraph"/>
        <w:numPr>
          <w:ilvl w:val="0"/>
          <w:numId w:val="39"/>
        </w:numPr>
        <w:spacing w:line="360" w:lineRule="auto"/>
        <w:rPr>
          <w:sz w:val="24"/>
        </w:rPr>
      </w:pPr>
      <w:r>
        <w:rPr>
          <w:sz w:val="24"/>
        </w:rPr>
        <w:t>A tier 2 organisation will be the subject of a £600 penalty;</w:t>
      </w:r>
    </w:p>
    <w:p w:rsidR="000A7943" w:rsidRPr="000A7943" w:rsidRDefault="000A7943" w:rsidP="000A7943">
      <w:pPr>
        <w:pStyle w:val="ListParagraph"/>
        <w:numPr>
          <w:ilvl w:val="0"/>
          <w:numId w:val="39"/>
        </w:numPr>
        <w:spacing w:line="360" w:lineRule="auto"/>
        <w:rPr>
          <w:sz w:val="24"/>
        </w:rPr>
      </w:pPr>
      <w:r>
        <w:rPr>
          <w:sz w:val="24"/>
        </w:rPr>
        <w:t>A tier 3 organisation will be the subject of a £4,000 penalty.</w:t>
      </w:r>
    </w:p>
    <w:p w:rsidR="00D626B3" w:rsidRPr="000A7943" w:rsidRDefault="00D626B3" w:rsidP="00D626B3">
      <w:pPr>
        <w:pStyle w:val="ListParagraph"/>
        <w:rPr>
          <w:rFonts w:cs="Arial"/>
          <w:sz w:val="24"/>
        </w:rPr>
      </w:pPr>
    </w:p>
    <w:p w:rsidR="000A7943" w:rsidRDefault="000A7943" w:rsidP="00D626B3">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t xml:space="preserve">In accordance with section </w:t>
      </w:r>
      <w:r w:rsidR="009E3184">
        <w:rPr>
          <w:rFonts w:ascii="Verdana" w:hAnsi="Verdana" w:cs="Verdana"/>
          <w:lang w:eastAsia="en-GB"/>
        </w:rPr>
        <w:t>158</w:t>
      </w:r>
      <w:r>
        <w:rPr>
          <w:rFonts w:ascii="Verdana" w:hAnsi="Verdana" w:cs="Verdana"/>
          <w:lang w:eastAsia="en-GB"/>
        </w:rPr>
        <w:t>(3) and the Commissioner’s published document, a higher penalty sum may be issued where there are aggravating factors. Aggravating factors may include failing to co-operate with the Commissioner, the provision of misleading or false information, or a pre</w:t>
      </w:r>
      <w:r w:rsidR="00450D01">
        <w:rPr>
          <w:rFonts w:ascii="Verdana" w:hAnsi="Verdana" w:cs="Verdana"/>
          <w:lang w:eastAsia="en-GB"/>
        </w:rPr>
        <w:t>vious history of non-compliance.</w:t>
      </w:r>
    </w:p>
    <w:p w:rsidR="00450D01" w:rsidRPr="000A7943" w:rsidRDefault="00450D01" w:rsidP="00450D01">
      <w:pPr>
        <w:spacing w:line="360" w:lineRule="auto"/>
        <w:ind w:left="709"/>
        <w:contextualSpacing/>
        <w:rPr>
          <w:rFonts w:ascii="Verdana" w:hAnsi="Verdana" w:cs="Verdana"/>
          <w:lang w:eastAsia="en-GB"/>
        </w:rPr>
      </w:pPr>
    </w:p>
    <w:p w:rsidR="000A7943" w:rsidRDefault="000A7943" w:rsidP="00D626B3">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lastRenderedPageBreak/>
        <w:t xml:space="preserve">For the avoidance of doubt, a </w:t>
      </w:r>
      <w:r w:rsidR="009E3184">
        <w:rPr>
          <w:rFonts w:ascii="Verdana" w:hAnsi="Verdana" w:cs="Verdana"/>
          <w:lang w:eastAsia="en-GB"/>
        </w:rPr>
        <w:t>penalty issued under section 155</w:t>
      </w:r>
      <w:r>
        <w:rPr>
          <w:rFonts w:ascii="Verdana" w:hAnsi="Verdana" w:cs="Verdana"/>
          <w:lang w:eastAsia="en-GB"/>
        </w:rPr>
        <w:t>(1)(a) DPA is in addition to the charge set in reg</w:t>
      </w:r>
      <w:r w:rsidR="00450D01">
        <w:rPr>
          <w:rFonts w:ascii="Verdana" w:hAnsi="Verdana" w:cs="Verdana"/>
          <w:lang w:eastAsia="en-GB"/>
        </w:rPr>
        <w:t>ulation 3(1) of the Regulations and payment of this penalty does not satisfy the requirement in regulation 2(2)</w:t>
      </w:r>
      <w:r>
        <w:rPr>
          <w:rFonts w:ascii="Verdana" w:hAnsi="Verdana" w:cs="Verdana"/>
          <w:lang w:eastAsia="en-GB"/>
        </w:rPr>
        <w:t>.</w:t>
      </w:r>
    </w:p>
    <w:p w:rsidR="00450D01" w:rsidRDefault="00450D01" w:rsidP="00450D01">
      <w:pPr>
        <w:pStyle w:val="ListParagraph"/>
      </w:pPr>
    </w:p>
    <w:p w:rsidR="00450D01" w:rsidRDefault="00450D01" w:rsidP="00D626B3">
      <w:pPr>
        <w:numPr>
          <w:ilvl w:val="0"/>
          <w:numId w:val="21"/>
        </w:numPr>
        <w:spacing w:line="360" w:lineRule="auto"/>
        <w:ind w:left="709" w:hanging="709"/>
        <w:contextualSpacing/>
        <w:rPr>
          <w:rFonts w:ascii="Verdana" w:hAnsi="Verdana" w:cs="Verdana"/>
          <w:lang w:eastAsia="en-GB"/>
        </w:rPr>
      </w:pPr>
      <w:r>
        <w:rPr>
          <w:rFonts w:ascii="Verdana" w:hAnsi="Verdana" w:cs="Verdana"/>
          <w:lang w:eastAsia="en-GB"/>
        </w:rPr>
        <w:t xml:space="preserve">In accordance with paragraph 2 of Schedule 16 to the DPA, the Commissioner issued </w:t>
      </w:r>
      <w:r w:rsidR="00006845">
        <w:rPr>
          <w:rFonts w:ascii="Verdana" w:hAnsi="Verdana" w:cs="Verdana"/>
          <w:lang w:eastAsia="en-GB"/>
        </w:rPr>
        <w:t>a</w:t>
      </w:r>
      <w:r>
        <w:rPr>
          <w:rFonts w:ascii="Verdana" w:hAnsi="Verdana" w:cs="Verdana"/>
          <w:lang w:eastAsia="en-GB"/>
        </w:rPr>
        <w:t xml:space="preserve"> Notice of Intent to inform </w:t>
      </w:r>
      <w:r w:rsidR="004979F5">
        <w:rPr>
          <w:rFonts w:ascii="Verdana" w:hAnsi="Verdana" w:cs="Verdana"/>
          <w:lang w:eastAsia="en-GB"/>
        </w:rPr>
        <w:t>[Organisation Name]</w:t>
      </w:r>
      <w:r>
        <w:rPr>
          <w:rFonts w:ascii="Verdana" w:hAnsi="Verdana" w:cs="Verdana"/>
          <w:lang w:eastAsia="en-GB"/>
        </w:rPr>
        <w:t xml:space="preserve"> that the Commissioner</w:t>
      </w:r>
      <w:r w:rsidR="00006845">
        <w:rPr>
          <w:rFonts w:ascii="Verdana" w:hAnsi="Verdana" w:cs="Verdana"/>
          <w:lang w:eastAsia="en-GB"/>
        </w:rPr>
        <w:t xml:space="preserve"> intended to issue this Penalty N</w:t>
      </w:r>
      <w:r>
        <w:rPr>
          <w:rFonts w:ascii="Verdana" w:hAnsi="Verdana" w:cs="Verdana"/>
          <w:lang w:eastAsia="en-GB"/>
        </w:rPr>
        <w:t xml:space="preserve">otice and the reasons for that intention. </w:t>
      </w:r>
    </w:p>
    <w:p w:rsidR="00FF1027" w:rsidRDefault="00FF1027" w:rsidP="00FF1027">
      <w:pPr>
        <w:pStyle w:val="ListParagraph"/>
      </w:pPr>
    </w:p>
    <w:p w:rsidR="00FF1027" w:rsidRPr="000A7943" w:rsidRDefault="00FF1027" w:rsidP="00D626B3">
      <w:pPr>
        <w:numPr>
          <w:ilvl w:val="0"/>
          <w:numId w:val="21"/>
        </w:numPr>
        <w:spacing w:line="360" w:lineRule="auto"/>
        <w:ind w:left="709" w:hanging="709"/>
        <w:contextualSpacing/>
        <w:rPr>
          <w:rFonts w:ascii="Verdana" w:hAnsi="Verdana" w:cs="Verdana"/>
          <w:lang w:eastAsia="en-GB"/>
        </w:rPr>
      </w:pPr>
      <w:r w:rsidRPr="00FF1027">
        <w:rPr>
          <w:rFonts w:ascii="Verdana" w:hAnsi="Verdana" w:cs="Verdana"/>
          <w:lang w:eastAsia="en-GB"/>
        </w:rPr>
        <w:t xml:space="preserve">The Commissioner </w:t>
      </w:r>
      <w:r>
        <w:rPr>
          <w:rFonts w:ascii="Verdana" w:hAnsi="Verdana" w:cs="Verdana"/>
          <w:lang w:eastAsia="en-GB"/>
        </w:rPr>
        <w:t>makes</w:t>
      </w:r>
      <w:r w:rsidRPr="00FF1027">
        <w:rPr>
          <w:rFonts w:ascii="Verdana" w:hAnsi="Verdana" w:cs="Verdana"/>
          <w:lang w:eastAsia="en-GB"/>
        </w:rPr>
        <w:t xml:space="preserve"> the findings of fact </w:t>
      </w:r>
      <w:r>
        <w:rPr>
          <w:rFonts w:ascii="Verdana" w:hAnsi="Verdana" w:cs="Verdana"/>
          <w:lang w:eastAsia="en-GB"/>
        </w:rPr>
        <w:t>in this</w:t>
      </w:r>
      <w:r w:rsidR="00006845">
        <w:rPr>
          <w:rFonts w:ascii="Verdana" w:hAnsi="Verdana" w:cs="Verdana"/>
          <w:lang w:eastAsia="en-GB"/>
        </w:rPr>
        <w:t xml:space="preserve"> Penalty</w:t>
      </w:r>
      <w:r>
        <w:rPr>
          <w:rFonts w:ascii="Verdana" w:hAnsi="Verdana" w:cs="Verdana"/>
          <w:lang w:eastAsia="en-GB"/>
        </w:rPr>
        <w:t xml:space="preserve"> Notice </w:t>
      </w:r>
      <w:r w:rsidRPr="00FF1027">
        <w:rPr>
          <w:rFonts w:ascii="Verdana" w:hAnsi="Verdana" w:cs="Verdana"/>
          <w:lang w:eastAsia="en-GB"/>
        </w:rPr>
        <w:t>on the balance of probabilities</w:t>
      </w:r>
      <w:r>
        <w:rPr>
          <w:rFonts w:ascii="Verdana" w:hAnsi="Verdana" w:cs="Verdana"/>
          <w:lang w:eastAsia="en-GB"/>
        </w:rPr>
        <w:t>.</w:t>
      </w:r>
    </w:p>
    <w:p w:rsidR="009369F6" w:rsidRPr="00451176" w:rsidRDefault="0039382E" w:rsidP="00FF1027">
      <w:pPr>
        <w:spacing w:line="360" w:lineRule="auto"/>
        <w:ind w:left="360"/>
        <w:contextualSpacing/>
        <w:rPr>
          <w:rFonts w:ascii="Verdana" w:hAnsi="Verdana" w:cs="Arial"/>
          <w:u w:val="single"/>
          <w:lang w:eastAsia="en-GB"/>
        </w:rPr>
      </w:pPr>
      <w:r w:rsidRPr="00451176">
        <w:rPr>
          <w:rFonts w:ascii="Verdana" w:hAnsi="Verdana" w:cs="Arial"/>
          <w:b/>
          <w:u w:val="single"/>
          <w:lang w:eastAsia="en-GB"/>
        </w:rPr>
        <w:br/>
      </w:r>
      <w:r w:rsidR="00C820FD" w:rsidRPr="00451176">
        <w:rPr>
          <w:rFonts w:ascii="Verdana" w:hAnsi="Verdana" w:cs="Arial"/>
          <w:b/>
          <w:lang w:eastAsia="en-GB"/>
        </w:rPr>
        <w:t xml:space="preserve">    </w:t>
      </w:r>
      <w:r w:rsidR="00FF1027">
        <w:rPr>
          <w:rFonts w:ascii="Verdana" w:hAnsi="Verdana" w:cs="Arial"/>
          <w:b/>
          <w:u w:val="single"/>
          <w:lang w:eastAsia="en-GB"/>
        </w:rPr>
        <w:t>The C</w:t>
      </w:r>
      <w:r w:rsidR="009369F6" w:rsidRPr="00451176">
        <w:rPr>
          <w:rFonts w:ascii="Verdana" w:hAnsi="Verdana" w:cs="Arial"/>
          <w:b/>
          <w:u w:val="single"/>
          <w:lang w:eastAsia="en-GB"/>
        </w:rPr>
        <w:t>ontravention</w:t>
      </w:r>
      <w:r w:rsidR="009369F6" w:rsidRPr="00451176">
        <w:rPr>
          <w:rFonts w:ascii="Verdana" w:hAnsi="Verdana" w:cs="Arial"/>
          <w:b/>
          <w:u w:val="single"/>
          <w:lang w:eastAsia="en-GB"/>
        </w:rPr>
        <w:br/>
      </w:r>
    </w:p>
    <w:p w:rsidR="00FF1027" w:rsidRPr="000C33AF" w:rsidRDefault="00495CCD" w:rsidP="00FF1027">
      <w:pPr>
        <w:pStyle w:val="ListParagraph"/>
        <w:numPr>
          <w:ilvl w:val="0"/>
          <w:numId w:val="21"/>
        </w:numPr>
        <w:spacing w:line="360" w:lineRule="auto"/>
        <w:ind w:left="709" w:hanging="709"/>
        <w:rPr>
          <w:rFonts w:cs="Arial"/>
          <w:sz w:val="24"/>
        </w:rPr>
      </w:pPr>
      <w:r w:rsidRPr="000C33AF">
        <w:rPr>
          <w:rFonts w:cs="Arial"/>
          <w:sz w:val="24"/>
        </w:rPr>
        <w:t xml:space="preserve">The Commissioner </w:t>
      </w:r>
      <w:r w:rsidR="00FF1027" w:rsidRPr="000C33AF">
        <w:rPr>
          <w:rFonts w:cs="Arial"/>
          <w:sz w:val="24"/>
        </w:rPr>
        <w:t>is satisfied of the following matters.</w:t>
      </w:r>
      <w:r w:rsidR="009369F6" w:rsidRPr="000C33AF">
        <w:rPr>
          <w:rFonts w:cs="Arial"/>
          <w:sz w:val="24"/>
        </w:rPr>
        <w:t xml:space="preserve"> </w:t>
      </w:r>
    </w:p>
    <w:p w:rsidR="000C33AF" w:rsidRDefault="000C33AF" w:rsidP="000C33AF">
      <w:pPr>
        <w:pStyle w:val="ListParagraph"/>
        <w:spacing w:line="360" w:lineRule="auto"/>
        <w:ind w:left="709"/>
        <w:rPr>
          <w:rFonts w:cs="Arial"/>
          <w:sz w:val="24"/>
        </w:rPr>
      </w:pPr>
    </w:p>
    <w:p w:rsidR="00FF1027" w:rsidRPr="000C33AF" w:rsidRDefault="00E57949" w:rsidP="00FF1027">
      <w:pPr>
        <w:pStyle w:val="ListParagraph"/>
        <w:numPr>
          <w:ilvl w:val="0"/>
          <w:numId w:val="21"/>
        </w:numPr>
        <w:spacing w:line="360" w:lineRule="auto"/>
        <w:ind w:left="709" w:hanging="709"/>
        <w:rPr>
          <w:rFonts w:cs="Arial"/>
          <w:sz w:val="24"/>
        </w:rPr>
      </w:pPr>
      <w:r w:rsidRPr="00E57949">
        <w:rPr>
          <w:rFonts w:cs="Arial"/>
          <w:sz w:val="24"/>
        </w:rPr>
        <w:t>[Organisation Name]</w:t>
      </w:r>
      <w:r w:rsidR="00FF1027" w:rsidRPr="000C33AF">
        <w:rPr>
          <w:rFonts w:cs="Arial"/>
          <w:sz w:val="24"/>
        </w:rPr>
        <w:t xml:space="preserve"> is a data controller liable to pay a charge to the Commissioner under the Regulations</w:t>
      </w:r>
      <w:r w:rsidR="009369F6" w:rsidRPr="000C33AF">
        <w:rPr>
          <w:rFonts w:cs="Arial"/>
          <w:sz w:val="24"/>
        </w:rPr>
        <w:t>.</w:t>
      </w:r>
    </w:p>
    <w:p w:rsidR="00FF1027" w:rsidRPr="000C33AF" w:rsidRDefault="00FF1027" w:rsidP="00FF1027">
      <w:pPr>
        <w:pStyle w:val="ListParagraph"/>
        <w:rPr>
          <w:rFonts w:cs="Arial"/>
          <w:sz w:val="24"/>
        </w:rPr>
      </w:pPr>
    </w:p>
    <w:p w:rsidR="00FF1027" w:rsidRPr="000C33AF" w:rsidRDefault="00FF1027" w:rsidP="00FF1027">
      <w:pPr>
        <w:pStyle w:val="ListParagraph"/>
        <w:numPr>
          <w:ilvl w:val="0"/>
          <w:numId w:val="21"/>
        </w:numPr>
        <w:spacing w:line="360" w:lineRule="auto"/>
        <w:ind w:left="709" w:hanging="709"/>
        <w:rPr>
          <w:rFonts w:cs="Arial"/>
          <w:sz w:val="24"/>
        </w:rPr>
      </w:pPr>
      <w:r w:rsidRPr="000C33AF">
        <w:rPr>
          <w:rFonts w:cs="Arial"/>
          <w:sz w:val="24"/>
        </w:rPr>
        <w:t xml:space="preserve">The charge due from </w:t>
      </w:r>
      <w:r w:rsidR="00E57949" w:rsidRPr="00E57949">
        <w:rPr>
          <w:rFonts w:cs="Arial"/>
          <w:sz w:val="24"/>
        </w:rPr>
        <w:t>[Organisation Name]</w:t>
      </w:r>
      <w:r w:rsidRPr="000C33AF">
        <w:rPr>
          <w:rFonts w:cs="Arial"/>
          <w:sz w:val="24"/>
        </w:rPr>
        <w:t xml:space="preserve"> became due on [</w:t>
      </w:r>
      <w:r w:rsidR="00E57949">
        <w:rPr>
          <w:rFonts w:cs="Arial"/>
          <w:sz w:val="24"/>
        </w:rPr>
        <w:t>Expiry Date</w:t>
      </w:r>
      <w:r w:rsidRPr="000C33AF">
        <w:rPr>
          <w:rFonts w:cs="Arial"/>
          <w:sz w:val="24"/>
        </w:rPr>
        <w:t>]. The Commissioner calculates this date to be the beginning of the relevant charge period in accordance with regulation 2(6</w:t>
      </w:r>
      <w:r w:rsidR="00E57949">
        <w:rPr>
          <w:rFonts w:cs="Arial"/>
          <w:sz w:val="24"/>
        </w:rPr>
        <w:t>)(a).</w:t>
      </w:r>
    </w:p>
    <w:p w:rsidR="00FF1027" w:rsidRPr="000C33AF" w:rsidRDefault="00FF1027" w:rsidP="00FF1027">
      <w:pPr>
        <w:pStyle w:val="ListParagraph"/>
        <w:rPr>
          <w:rFonts w:cs="Arial"/>
          <w:sz w:val="24"/>
        </w:rPr>
      </w:pPr>
    </w:p>
    <w:p w:rsidR="00FF1027" w:rsidRPr="000C33AF" w:rsidRDefault="00FF1027" w:rsidP="00FF1027">
      <w:pPr>
        <w:pStyle w:val="ListParagraph"/>
        <w:numPr>
          <w:ilvl w:val="0"/>
          <w:numId w:val="21"/>
        </w:numPr>
        <w:spacing w:line="360" w:lineRule="auto"/>
        <w:ind w:left="709" w:hanging="709"/>
        <w:rPr>
          <w:rFonts w:cs="Arial"/>
          <w:sz w:val="24"/>
        </w:rPr>
      </w:pPr>
      <w:r w:rsidRPr="000C33AF">
        <w:rPr>
          <w:rFonts w:cs="Arial"/>
          <w:sz w:val="24"/>
        </w:rPr>
        <w:t>[In contravention of regulation 2(2), no charge was paid to the Commissioner within 21 days.]</w:t>
      </w:r>
    </w:p>
    <w:p w:rsidR="00FF1027" w:rsidRPr="000C33AF" w:rsidRDefault="00FF1027" w:rsidP="00FF1027">
      <w:pPr>
        <w:pStyle w:val="ListParagraph"/>
        <w:rPr>
          <w:rFonts w:cs="Arial"/>
          <w:sz w:val="24"/>
        </w:rPr>
      </w:pPr>
    </w:p>
    <w:p w:rsidR="00FF1027" w:rsidRPr="000C33AF" w:rsidRDefault="00FF1027" w:rsidP="00FF1027">
      <w:pPr>
        <w:pStyle w:val="ListParagraph"/>
        <w:numPr>
          <w:ilvl w:val="0"/>
          <w:numId w:val="21"/>
        </w:numPr>
        <w:spacing w:line="360" w:lineRule="auto"/>
        <w:ind w:left="709" w:hanging="709"/>
        <w:rPr>
          <w:rFonts w:cs="Arial"/>
          <w:sz w:val="24"/>
        </w:rPr>
      </w:pPr>
      <w:r w:rsidRPr="000C33AF">
        <w:rPr>
          <w:rFonts w:cs="Arial"/>
          <w:sz w:val="24"/>
        </w:rPr>
        <w:t>[In contravention of regulation 2(3), no information was provided to the Commissioner within 21 days.]</w:t>
      </w:r>
    </w:p>
    <w:p w:rsidR="00FF1027" w:rsidRPr="000C33AF" w:rsidRDefault="00FF1027" w:rsidP="00FF1027">
      <w:pPr>
        <w:pStyle w:val="ListParagraph"/>
        <w:rPr>
          <w:rFonts w:cs="Arial"/>
          <w:sz w:val="24"/>
        </w:rPr>
      </w:pPr>
    </w:p>
    <w:p w:rsidR="00FF1027" w:rsidRPr="000C33AF" w:rsidRDefault="00FF1027" w:rsidP="00FF1027">
      <w:pPr>
        <w:pStyle w:val="ListParagraph"/>
        <w:numPr>
          <w:ilvl w:val="0"/>
          <w:numId w:val="21"/>
        </w:numPr>
        <w:spacing w:line="360" w:lineRule="auto"/>
        <w:ind w:left="709" w:hanging="709"/>
        <w:rPr>
          <w:rFonts w:cs="Arial"/>
          <w:sz w:val="24"/>
        </w:rPr>
      </w:pPr>
      <w:r w:rsidRPr="000C33AF">
        <w:rPr>
          <w:rFonts w:cs="Arial"/>
          <w:sz w:val="24"/>
        </w:rPr>
        <w:lastRenderedPageBreak/>
        <w:t xml:space="preserve">On the basis of the information available, the Commissioner is satisfied that </w:t>
      </w:r>
      <w:r w:rsidR="00E57949" w:rsidRPr="00E57949">
        <w:rPr>
          <w:rFonts w:cs="Arial"/>
          <w:sz w:val="24"/>
        </w:rPr>
        <w:t>[Organisation Name]</w:t>
      </w:r>
      <w:r w:rsidRPr="000C33AF">
        <w:rPr>
          <w:rFonts w:cs="Arial"/>
          <w:sz w:val="24"/>
        </w:rPr>
        <w:t xml:space="preserve"> is a tier [x] organisation</w:t>
      </w:r>
      <w:r w:rsidR="009E3184">
        <w:rPr>
          <w:rFonts w:cs="Arial"/>
          <w:sz w:val="24"/>
        </w:rPr>
        <w:t xml:space="preserve"> under the provisions of the Data Protection Act (Charges and Information) Regulations 2018</w:t>
      </w:r>
      <w:r w:rsidRPr="000C33AF">
        <w:rPr>
          <w:rFonts w:cs="Arial"/>
          <w:sz w:val="24"/>
        </w:rPr>
        <w:t>. The information upon which the Commissioner has reached that view is as follows:</w:t>
      </w:r>
    </w:p>
    <w:p w:rsidR="00FF1027" w:rsidRPr="000C33AF" w:rsidRDefault="00FF1027" w:rsidP="00FF1027">
      <w:pPr>
        <w:pStyle w:val="ListParagraph"/>
        <w:rPr>
          <w:rFonts w:cs="Arial"/>
          <w:sz w:val="24"/>
        </w:rPr>
      </w:pPr>
    </w:p>
    <w:p w:rsidR="00E57949" w:rsidRDefault="009E3184" w:rsidP="000A40D6">
      <w:pPr>
        <w:pStyle w:val="ListParagraph"/>
        <w:numPr>
          <w:ilvl w:val="0"/>
          <w:numId w:val="40"/>
        </w:numPr>
        <w:spacing w:line="360" w:lineRule="auto"/>
        <w:rPr>
          <w:rFonts w:cs="Arial"/>
          <w:sz w:val="24"/>
        </w:rPr>
      </w:pPr>
      <w:r w:rsidRPr="00E57949">
        <w:rPr>
          <w:rFonts w:cs="Arial"/>
          <w:sz w:val="24"/>
        </w:rPr>
        <w:t>The turnover for the company as shown on the last set of audited accounts at Companies House.</w:t>
      </w:r>
    </w:p>
    <w:p w:rsidR="005F4389" w:rsidRPr="00E57949" w:rsidRDefault="009E3184" w:rsidP="000A40D6">
      <w:pPr>
        <w:pStyle w:val="ListParagraph"/>
        <w:numPr>
          <w:ilvl w:val="0"/>
          <w:numId w:val="40"/>
        </w:numPr>
        <w:spacing w:line="360" w:lineRule="auto"/>
        <w:rPr>
          <w:rFonts w:cs="Arial"/>
        </w:rPr>
      </w:pPr>
      <w:r w:rsidRPr="00E57949">
        <w:rPr>
          <w:rFonts w:cs="Arial"/>
          <w:sz w:val="24"/>
        </w:rPr>
        <w:t>The number of staff employed by the company as shown on the last set of audited accounts at Companies House.</w:t>
      </w:r>
    </w:p>
    <w:p w:rsidR="00FF1027" w:rsidRPr="000C33AF" w:rsidRDefault="005F4389" w:rsidP="00FF1027">
      <w:pPr>
        <w:pStyle w:val="ListParagraph"/>
        <w:numPr>
          <w:ilvl w:val="0"/>
          <w:numId w:val="40"/>
        </w:numPr>
        <w:spacing w:line="360" w:lineRule="auto"/>
        <w:rPr>
          <w:rFonts w:cs="Arial"/>
          <w:sz w:val="24"/>
        </w:rPr>
      </w:pPr>
      <w:r>
        <w:rPr>
          <w:rFonts w:cs="Arial"/>
          <w:sz w:val="24"/>
        </w:rPr>
        <w:t xml:space="preserve">The previous registration for the company where it is identified as now being a tier </w:t>
      </w:r>
      <w:r w:rsidR="00AB1E1D">
        <w:rPr>
          <w:rFonts w:cs="Arial"/>
          <w:sz w:val="24"/>
        </w:rPr>
        <w:t>[x]</w:t>
      </w:r>
      <w:r>
        <w:rPr>
          <w:rFonts w:cs="Arial"/>
          <w:sz w:val="24"/>
        </w:rPr>
        <w:t xml:space="preserve"> organisation under the provisions of the Data Protection (Charges and Information) Regulations 2018. </w:t>
      </w:r>
    </w:p>
    <w:p w:rsidR="00006845" w:rsidRPr="005F4389" w:rsidRDefault="00006845" w:rsidP="005F4389">
      <w:pPr>
        <w:rPr>
          <w:rFonts w:cs="Arial"/>
        </w:rPr>
      </w:pPr>
    </w:p>
    <w:p w:rsidR="00006845" w:rsidRDefault="00006845" w:rsidP="00FF1027">
      <w:pPr>
        <w:pStyle w:val="ListParagraph"/>
        <w:numPr>
          <w:ilvl w:val="0"/>
          <w:numId w:val="21"/>
        </w:numPr>
        <w:spacing w:line="360" w:lineRule="auto"/>
        <w:ind w:left="709" w:hanging="709"/>
        <w:rPr>
          <w:rFonts w:cs="Arial"/>
          <w:sz w:val="24"/>
        </w:rPr>
      </w:pPr>
      <w:r>
        <w:rPr>
          <w:rFonts w:cs="Arial"/>
          <w:sz w:val="24"/>
        </w:rPr>
        <w:t xml:space="preserve">The Commissioner issued a Notice of Intent on [date] inviting representations by [date]. [No representations were received.] [Representations were received on [date] and the Commissioner has considered and taken into account those representations.] </w:t>
      </w:r>
    </w:p>
    <w:p w:rsidR="00006845" w:rsidRPr="00006845" w:rsidRDefault="00006845" w:rsidP="00006845">
      <w:pPr>
        <w:pStyle w:val="ListParagraph"/>
        <w:rPr>
          <w:rFonts w:cs="Arial"/>
          <w:sz w:val="24"/>
        </w:rPr>
      </w:pPr>
    </w:p>
    <w:p w:rsidR="00E73E47" w:rsidRPr="000C33AF" w:rsidRDefault="00006845" w:rsidP="00FF1027">
      <w:pPr>
        <w:pStyle w:val="ListParagraph"/>
        <w:numPr>
          <w:ilvl w:val="0"/>
          <w:numId w:val="21"/>
        </w:numPr>
        <w:spacing w:line="360" w:lineRule="auto"/>
        <w:ind w:left="709" w:hanging="709"/>
        <w:rPr>
          <w:rFonts w:cs="Arial"/>
          <w:sz w:val="24"/>
        </w:rPr>
      </w:pPr>
      <w:r>
        <w:rPr>
          <w:rFonts w:cs="Arial"/>
          <w:sz w:val="24"/>
        </w:rPr>
        <w:t>[If reps say anything relevant about the fixed penalty amount (i.e. not about aggravating factors) briefly address here, including why it has not altered the fixed penalty category, or if it has.]</w:t>
      </w:r>
      <w:r w:rsidR="00E73E47" w:rsidRPr="000C33AF">
        <w:rPr>
          <w:rFonts w:cs="Arial"/>
          <w:sz w:val="24"/>
        </w:rPr>
        <w:br/>
      </w:r>
    </w:p>
    <w:p w:rsidR="00C820FD" w:rsidRPr="00451176" w:rsidRDefault="00BA451D" w:rsidP="00266CF7">
      <w:pPr>
        <w:tabs>
          <w:tab w:val="left" w:pos="1134"/>
        </w:tabs>
        <w:spacing w:line="360" w:lineRule="auto"/>
        <w:rPr>
          <w:rFonts w:ascii="Verdana" w:hAnsi="Verdana"/>
          <w:b/>
        </w:rPr>
      </w:pPr>
      <w:r w:rsidRPr="00451176">
        <w:rPr>
          <w:rFonts w:ascii="Verdana" w:hAnsi="Verdana"/>
          <w:b/>
        </w:rPr>
        <w:t xml:space="preserve">        </w:t>
      </w:r>
      <w:r w:rsidR="00C820FD" w:rsidRPr="00451176">
        <w:rPr>
          <w:rFonts w:ascii="Verdana" w:hAnsi="Verdana"/>
          <w:b/>
          <w:u w:val="single"/>
        </w:rPr>
        <w:t xml:space="preserve">The </w:t>
      </w:r>
      <w:r w:rsidR="000C33AF">
        <w:rPr>
          <w:rFonts w:ascii="Verdana" w:hAnsi="Verdana"/>
          <w:b/>
          <w:u w:val="single"/>
        </w:rPr>
        <w:t>Amount of the P</w:t>
      </w:r>
      <w:r w:rsidR="00C820FD" w:rsidRPr="00451176">
        <w:rPr>
          <w:rFonts w:ascii="Verdana" w:hAnsi="Verdana"/>
          <w:b/>
          <w:u w:val="single"/>
        </w:rPr>
        <w:t xml:space="preserve">enalty </w:t>
      </w:r>
    </w:p>
    <w:p w:rsidR="00C820FD" w:rsidRPr="00451176" w:rsidRDefault="00C820FD" w:rsidP="00266CF7">
      <w:pPr>
        <w:pStyle w:val="ListParagraph"/>
        <w:spacing w:line="360" w:lineRule="auto"/>
        <w:rPr>
          <w:sz w:val="24"/>
        </w:rPr>
      </w:pPr>
    </w:p>
    <w:p w:rsidR="000C33AF" w:rsidRDefault="000C33AF" w:rsidP="000C33AF">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 xml:space="preserve">In accordance with the Commissioner’s statutory published guidance, the applicable fixed penalty amount is </w:t>
      </w:r>
      <w:r w:rsidRPr="000C33AF">
        <w:rPr>
          <w:rFonts w:ascii="Verdana" w:hAnsi="Verdana" w:cs="Arial"/>
          <w:b/>
          <w:lang w:eastAsia="en-GB"/>
        </w:rPr>
        <w:t>£[x]</w:t>
      </w:r>
      <w:r w:rsidR="000A40D6">
        <w:rPr>
          <w:rFonts w:ascii="Verdana" w:hAnsi="Verdana" w:cs="Arial"/>
          <w:b/>
          <w:lang w:eastAsia="en-GB"/>
        </w:rPr>
        <w:t xml:space="preserve"> </w:t>
      </w:r>
      <w:r w:rsidR="000A40D6" w:rsidRPr="000C3A32">
        <w:rPr>
          <w:rFonts w:ascii="Verdana" w:hAnsi="Verdana" w:cs="Verdana"/>
          <w:b/>
          <w:lang w:eastAsia="en-GB"/>
        </w:rPr>
        <w:t>(</w:t>
      </w:r>
      <w:r w:rsidR="000A40D6">
        <w:rPr>
          <w:rFonts w:ascii="Verdana" w:hAnsi="Verdana" w:cs="Verdana"/>
          <w:b/>
          <w:lang w:eastAsia="en-GB"/>
        </w:rPr>
        <w:t>[x]</w:t>
      </w:r>
      <w:r w:rsidR="000A40D6" w:rsidRPr="000C3A32">
        <w:rPr>
          <w:rFonts w:ascii="Verdana" w:hAnsi="Verdana" w:cs="Verdana"/>
          <w:b/>
          <w:lang w:eastAsia="en-GB"/>
        </w:rPr>
        <w:t xml:space="preserve"> pounds)</w:t>
      </w:r>
      <w:r>
        <w:rPr>
          <w:rFonts w:ascii="Verdana" w:hAnsi="Verdana" w:cs="Arial"/>
          <w:lang w:eastAsia="en-GB"/>
        </w:rPr>
        <w:t>.</w:t>
      </w:r>
    </w:p>
    <w:p w:rsidR="00EA45C3" w:rsidRDefault="00EA45C3" w:rsidP="00EA45C3">
      <w:pPr>
        <w:spacing w:line="360" w:lineRule="auto"/>
        <w:ind w:left="709"/>
        <w:contextualSpacing/>
        <w:rPr>
          <w:rFonts w:ascii="Verdana" w:hAnsi="Verdana" w:cs="Arial"/>
          <w:lang w:eastAsia="en-GB"/>
        </w:rPr>
      </w:pPr>
    </w:p>
    <w:p w:rsidR="00EA45C3" w:rsidRPr="00EA45C3" w:rsidRDefault="00EA45C3" w:rsidP="000C33AF">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lastRenderedPageBreak/>
        <w:t xml:space="preserve">In addition to the fixed penalty amount, the applicable charge set in regulation 3(1) of the Regulations for a tier 1/2/3 organisation is </w:t>
      </w:r>
      <w:r w:rsidRPr="00EA45C3">
        <w:rPr>
          <w:rFonts w:ascii="Verdana" w:hAnsi="Verdana" w:cs="Arial"/>
          <w:b/>
          <w:lang w:eastAsia="en-GB"/>
        </w:rPr>
        <w:t>£amount</w:t>
      </w:r>
      <w:r>
        <w:rPr>
          <w:rFonts w:ascii="Verdana" w:hAnsi="Verdana" w:cs="Arial"/>
          <w:lang w:eastAsia="en-GB"/>
        </w:rPr>
        <w:t xml:space="preserve"> </w:t>
      </w:r>
      <w:r w:rsidRPr="00EA45C3">
        <w:rPr>
          <w:rFonts w:ascii="Verdana" w:hAnsi="Verdana" w:cs="Arial"/>
          <w:b/>
          <w:lang w:eastAsia="en-GB"/>
        </w:rPr>
        <w:t>[pounds in words].</w:t>
      </w:r>
    </w:p>
    <w:p w:rsidR="00EA45C3" w:rsidRDefault="00EA45C3" w:rsidP="00EA45C3">
      <w:pPr>
        <w:pStyle w:val="ListParagraph"/>
        <w:rPr>
          <w:rFonts w:cs="Arial"/>
        </w:rPr>
      </w:pPr>
    </w:p>
    <w:p w:rsidR="00EA45C3" w:rsidRPr="00EA45C3" w:rsidRDefault="00EA45C3" w:rsidP="000C33AF">
      <w:pPr>
        <w:numPr>
          <w:ilvl w:val="0"/>
          <w:numId w:val="21"/>
        </w:numPr>
        <w:spacing w:line="360" w:lineRule="auto"/>
        <w:ind w:left="709" w:hanging="709"/>
        <w:contextualSpacing/>
        <w:rPr>
          <w:rFonts w:ascii="Verdana" w:hAnsi="Verdana" w:cs="Arial"/>
          <w:b/>
          <w:lang w:eastAsia="en-GB"/>
        </w:rPr>
      </w:pPr>
      <w:r>
        <w:rPr>
          <w:rFonts w:ascii="Verdana" w:hAnsi="Verdana" w:cs="Arial"/>
          <w:lang w:eastAsia="en-GB"/>
        </w:rPr>
        <w:t xml:space="preserve">Accordingly, the fixed penalty amount is £[x] and the applicable charge is [x], totalling </w:t>
      </w:r>
      <w:r w:rsidRPr="00EA45C3">
        <w:rPr>
          <w:rFonts w:ascii="Verdana" w:hAnsi="Verdana" w:cs="Arial"/>
          <w:b/>
          <w:lang w:eastAsia="en-GB"/>
        </w:rPr>
        <w:t>[x] [x pounds in words].</w:t>
      </w:r>
    </w:p>
    <w:p w:rsidR="000C33AF" w:rsidRPr="000C33AF" w:rsidRDefault="000C33AF" w:rsidP="000C3A32">
      <w:pPr>
        <w:spacing w:line="360" w:lineRule="auto"/>
        <w:ind w:left="709"/>
        <w:contextualSpacing/>
        <w:rPr>
          <w:rFonts w:ascii="Verdana" w:hAnsi="Verdana" w:cs="Arial"/>
          <w:lang w:eastAsia="en-GB"/>
        </w:rPr>
      </w:pPr>
    </w:p>
    <w:p w:rsidR="009369F6" w:rsidRPr="00451176" w:rsidRDefault="000C3A32" w:rsidP="000C3A32">
      <w:pPr>
        <w:numPr>
          <w:ilvl w:val="0"/>
          <w:numId w:val="21"/>
        </w:numPr>
        <w:spacing w:line="360" w:lineRule="auto"/>
        <w:ind w:left="709" w:hanging="709"/>
        <w:rPr>
          <w:rFonts w:ascii="Verdana" w:hAnsi="Verdana"/>
          <w:i/>
        </w:rPr>
      </w:pPr>
      <w:r>
        <w:rPr>
          <w:rFonts w:ascii="Verdana" w:hAnsi="Verdana"/>
        </w:rPr>
        <w:t xml:space="preserve">[In addition to the fixed penalty amount, the Commissioner is satisfied that this is a case in which there are sufficient aggravating features to increase the applicable fixed penalty amount. </w:t>
      </w:r>
      <w:r w:rsidR="00495CCD" w:rsidRPr="00451176">
        <w:rPr>
          <w:rFonts w:ascii="Verdana" w:hAnsi="Verdana"/>
        </w:rPr>
        <w:t xml:space="preserve">The Commissioner </w:t>
      </w:r>
      <w:r>
        <w:rPr>
          <w:rFonts w:ascii="Verdana" w:hAnsi="Verdana"/>
        </w:rPr>
        <w:t>considers</w:t>
      </w:r>
      <w:r w:rsidR="00495CCD" w:rsidRPr="00451176">
        <w:rPr>
          <w:rFonts w:ascii="Verdana" w:hAnsi="Verdana"/>
        </w:rPr>
        <w:t xml:space="preserve"> the following </w:t>
      </w:r>
      <w:r>
        <w:rPr>
          <w:rFonts w:ascii="Verdana" w:hAnsi="Verdana"/>
        </w:rPr>
        <w:t xml:space="preserve">to be relevant </w:t>
      </w:r>
      <w:r w:rsidR="00D83214" w:rsidRPr="000C3A32">
        <w:rPr>
          <w:rFonts w:ascii="Verdana" w:hAnsi="Verdana"/>
        </w:rPr>
        <w:t>a</w:t>
      </w:r>
      <w:r w:rsidR="00495CCD" w:rsidRPr="000C3A32">
        <w:rPr>
          <w:rFonts w:ascii="Verdana" w:hAnsi="Verdana"/>
        </w:rPr>
        <w:t>ggr</w:t>
      </w:r>
      <w:r w:rsidR="009369F6" w:rsidRPr="000C3A32">
        <w:rPr>
          <w:rFonts w:ascii="Verdana" w:hAnsi="Verdana"/>
        </w:rPr>
        <w:t>avating features</w:t>
      </w:r>
      <w:r w:rsidR="009369F6" w:rsidRPr="00451176">
        <w:rPr>
          <w:rFonts w:ascii="Verdana" w:hAnsi="Verdana"/>
        </w:rPr>
        <w:t xml:space="preserve"> of this case:</w:t>
      </w:r>
      <w:r w:rsidR="009369F6" w:rsidRPr="00451176">
        <w:rPr>
          <w:rFonts w:ascii="Verdana" w:hAnsi="Verdana"/>
        </w:rPr>
        <w:br/>
      </w:r>
    </w:p>
    <w:p w:rsidR="00BC5DED" w:rsidRPr="00BC5DED" w:rsidRDefault="000C3A32" w:rsidP="00266CF7">
      <w:pPr>
        <w:numPr>
          <w:ilvl w:val="0"/>
          <w:numId w:val="26"/>
        </w:numPr>
        <w:spacing w:line="360" w:lineRule="auto"/>
        <w:rPr>
          <w:rFonts w:ascii="Verdana" w:hAnsi="Verdana"/>
          <w:i/>
        </w:rPr>
      </w:pPr>
      <w:r>
        <w:rPr>
          <w:rFonts w:ascii="Verdana" w:hAnsi="Verdana"/>
        </w:rPr>
        <w:t>[insert]</w:t>
      </w:r>
      <w:r w:rsidR="00BC5DED">
        <w:rPr>
          <w:rFonts w:ascii="Verdana" w:hAnsi="Verdana"/>
        </w:rPr>
        <w:t xml:space="preserve"> </w:t>
      </w:r>
    </w:p>
    <w:p w:rsidR="007C5147" w:rsidRPr="001118B4" w:rsidRDefault="000C3A32" w:rsidP="00266CF7">
      <w:pPr>
        <w:numPr>
          <w:ilvl w:val="0"/>
          <w:numId w:val="26"/>
        </w:numPr>
        <w:spacing w:line="360" w:lineRule="auto"/>
        <w:rPr>
          <w:rFonts w:ascii="Verdana" w:hAnsi="Verdana"/>
          <w:i/>
        </w:rPr>
      </w:pPr>
      <w:r>
        <w:rPr>
          <w:rFonts w:ascii="Verdana" w:hAnsi="Verdana"/>
        </w:rPr>
        <w:t>[insert]</w:t>
      </w:r>
    </w:p>
    <w:p w:rsidR="0082399C" w:rsidRPr="00451176" w:rsidRDefault="0082399C" w:rsidP="00266CF7">
      <w:pPr>
        <w:spacing w:line="360" w:lineRule="auto"/>
        <w:rPr>
          <w:rFonts w:ascii="Verdana" w:hAnsi="Verdana"/>
          <w:i/>
        </w:rPr>
      </w:pPr>
    </w:p>
    <w:p w:rsidR="00006845" w:rsidRDefault="00006845" w:rsidP="000C3A32">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[insert response to any representations on aggravating factors if required]</w:t>
      </w:r>
    </w:p>
    <w:p w:rsidR="00006845" w:rsidRDefault="00006845" w:rsidP="00006845">
      <w:pPr>
        <w:spacing w:line="360" w:lineRule="auto"/>
        <w:ind w:left="709"/>
        <w:contextualSpacing/>
        <w:rPr>
          <w:rFonts w:ascii="Verdana" w:hAnsi="Verdana" w:cs="Arial"/>
          <w:lang w:eastAsia="en-GB"/>
        </w:rPr>
      </w:pPr>
    </w:p>
    <w:p w:rsidR="00495CCD" w:rsidRPr="00EA45C3" w:rsidRDefault="000C3A32" w:rsidP="00EA45C3">
      <w:pPr>
        <w:numPr>
          <w:ilvl w:val="0"/>
          <w:numId w:val="21"/>
        </w:numPr>
        <w:spacing w:line="360" w:lineRule="auto"/>
        <w:ind w:left="709" w:hanging="709"/>
        <w:contextualSpacing/>
        <w:rPr>
          <w:rFonts w:ascii="Verdana" w:hAnsi="Verdana" w:cs="Arial"/>
          <w:lang w:eastAsia="en-GB"/>
        </w:rPr>
      </w:pPr>
      <w:r>
        <w:rPr>
          <w:rFonts w:ascii="Verdana" w:hAnsi="Verdana" w:cs="Arial"/>
          <w:lang w:eastAsia="en-GB"/>
        </w:rPr>
        <w:t xml:space="preserve">In accordance with the Commissioner’s statutory published guidance, an additional penalty sum reflecting those aggravating factors is to be imposed in the sum of </w:t>
      </w:r>
      <w:r>
        <w:rPr>
          <w:rFonts w:ascii="Verdana" w:hAnsi="Verdana" w:cs="Arial"/>
          <w:b/>
          <w:lang w:eastAsia="en-GB"/>
        </w:rPr>
        <w:t>£[x]</w:t>
      </w:r>
      <w:r w:rsidR="003C7F41">
        <w:rPr>
          <w:rFonts w:ascii="Verdana" w:hAnsi="Verdana"/>
        </w:rPr>
        <w:t>.</w:t>
      </w:r>
      <w:r>
        <w:rPr>
          <w:rFonts w:ascii="Verdana" w:hAnsi="Verdana"/>
        </w:rPr>
        <w:t>]</w:t>
      </w:r>
      <w:r w:rsidR="00495CCD" w:rsidRPr="00EA45C3">
        <w:rPr>
          <w:rFonts w:ascii="Verdana" w:hAnsi="Verdana" w:cs="Verdana"/>
          <w:lang w:eastAsia="en-GB"/>
        </w:rPr>
        <w:br/>
      </w:r>
      <w:r w:rsidR="00234F62" w:rsidRPr="00EA45C3">
        <w:rPr>
          <w:rFonts w:ascii="Verdana" w:hAnsi="Verdana"/>
          <w:b/>
          <w:u w:val="single"/>
        </w:rPr>
        <w:br/>
      </w:r>
      <w:r w:rsidR="00495CCD" w:rsidRPr="00EA45C3">
        <w:rPr>
          <w:rFonts w:ascii="Verdana" w:hAnsi="Verdana"/>
          <w:b/>
          <w:u w:val="single"/>
        </w:rPr>
        <w:t>Conclusion</w:t>
      </w:r>
      <w:r w:rsidR="00495CCD" w:rsidRPr="00EA45C3">
        <w:rPr>
          <w:rFonts w:ascii="Verdana" w:hAnsi="Verdana" w:cs="Arial"/>
          <w:lang w:eastAsia="en-GB"/>
        </w:rPr>
        <w:br/>
      </w:r>
    </w:p>
    <w:p w:rsidR="000C780A" w:rsidRDefault="000C780A" w:rsidP="000C3A32">
      <w:pPr>
        <w:pStyle w:val="ListParagraph"/>
        <w:numPr>
          <w:ilvl w:val="0"/>
          <w:numId w:val="21"/>
        </w:numPr>
        <w:spacing w:line="360" w:lineRule="auto"/>
        <w:ind w:left="709" w:hanging="709"/>
        <w:rPr>
          <w:rFonts w:cs="Arial"/>
          <w:sz w:val="24"/>
        </w:rPr>
      </w:pPr>
      <w:r>
        <w:rPr>
          <w:rFonts w:cs="Arial"/>
          <w:sz w:val="24"/>
        </w:rPr>
        <w:t xml:space="preserve">The </w:t>
      </w:r>
      <w:r w:rsidR="00EA45C3">
        <w:rPr>
          <w:rFonts w:cs="Arial"/>
          <w:sz w:val="24"/>
        </w:rPr>
        <w:t xml:space="preserve"> total </w:t>
      </w:r>
      <w:r>
        <w:rPr>
          <w:rFonts w:cs="Arial"/>
          <w:sz w:val="24"/>
        </w:rPr>
        <w:t xml:space="preserve">amount specified in this Penalty Notice must be paid to the Commissioner’s office by BACS transfer or cheque by </w:t>
      </w:r>
      <w:r w:rsidRPr="00C75583">
        <w:rPr>
          <w:rFonts w:cs="Arial"/>
          <w:b/>
          <w:sz w:val="24"/>
        </w:rPr>
        <w:t>[date</w:t>
      </w:r>
      <w:r w:rsidR="007D1A5B">
        <w:rPr>
          <w:rFonts w:cs="Arial"/>
          <w:b/>
          <w:sz w:val="24"/>
        </w:rPr>
        <w:t xml:space="preserve"> 2019</w:t>
      </w:r>
      <w:r w:rsidRPr="00C75583">
        <w:rPr>
          <w:rFonts w:cs="Arial"/>
          <w:b/>
          <w:sz w:val="24"/>
        </w:rPr>
        <w:t>]</w:t>
      </w:r>
      <w:r>
        <w:rPr>
          <w:rFonts w:cs="Arial"/>
          <w:sz w:val="24"/>
        </w:rPr>
        <w:t xml:space="preserve"> at the latest. </w:t>
      </w:r>
    </w:p>
    <w:p w:rsidR="000C780A" w:rsidRDefault="000C780A" w:rsidP="000C780A">
      <w:pPr>
        <w:pStyle w:val="ListParagraph"/>
        <w:spacing w:line="360" w:lineRule="auto"/>
        <w:ind w:left="709"/>
        <w:rPr>
          <w:rFonts w:cs="Arial"/>
          <w:sz w:val="24"/>
        </w:rPr>
      </w:pPr>
    </w:p>
    <w:p w:rsidR="00495CCD" w:rsidRDefault="000C780A" w:rsidP="000C3A32">
      <w:pPr>
        <w:pStyle w:val="ListParagraph"/>
        <w:numPr>
          <w:ilvl w:val="0"/>
          <w:numId w:val="21"/>
        </w:numPr>
        <w:spacing w:line="360" w:lineRule="auto"/>
        <w:ind w:left="709" w:hanging="709"/>
        <w:rPr>
          <w:rFonts w:cs="Arial"/>
          <w:sz w:val="24"/>
        </w:rPr>
      </w:pPr>
      <w:r>
        <w:rPr>
          <w:rFonts w:cs="Arial"/>
          <w:sz w:val="24"/>
        </w:rPr>
        <w:t>You have the right to appeal against this Penalty Notice to the First</w:t>
      </w:r>
      <w:r w:rsidR="005F4389">
        <w:rPr>
          <w:rFonts w:cs="Arial"/>
          <w:sz w:val="24"/>
        </w:rPr>
        <w:t>-tier Tribunal under section 162</w:t>
      </w:r>
      <w:r>
        <w:rPr>
          <w:rFonts w:cs="Arial"/>
          <w:sz w:val="24"/>
        </w:rPr>
        <w:t xml:space="preserve"> DPA. You may appeal against the Penalty </w:t>
      </w:r>
      <w:r>
        <w:rPr>
          <w:rFonts w:cs="Arial"/>
          <w:sz w:val="24"/>
        </w:rPr>
        <w:lastRenderedPageBreak/>
        <w:t xml:space="preserve">Notice (in whole or in part), or you may appeal against the amount of the penalty only. </w:t>
      </w:r>
    </w:p>
    <w:p w:rsidR="000C780A" w:rsidRPr="000C780A" w:rsidRDefault="000C780A" w:rsidP="000C780A">
      <w:pPr>
        <w:pStyle w:val="ListParagraph"/>
        <w:rPr>
          <w:rFonts w:cs="Arial"/>
          <w:sz w:val="24"/>
        </w:rPr>
      </w:pPr>
    </w:p>
    <w:p w:rsidR="000C780A" w:rsidRDefault="000C780A" w:rsidP="000C3A32">
      <w:pPr>
        <w:pStyle w:val="ListParagraph"/>
        <w:numPr>
          <w:ilvl w:val="0"/>
          <w:numId w:val="21"/>
        </w:numPr>
        <w:spacing w:line="360" w:lineRule="auto"/>
        <w:ind w:left="709" w:hanging="709"/>
        <w:rPr>
          <w:rFonts w:cs="Arial"/>
          <w:sz w:val="24"/>
        </w:rPr>
      </w:pPr>
      <w:r>
        <w:rPr>
          <w:rFonts w:cs="Arial"/>
          <w:sz w:val="24"/>
        </w:rPr>
        <w:t>Any notice of appeal should be received by the Tribunal within 28 days of this Penalty Notice.</w:t>
      </w:r>
    </w:p>
    <w:p w:rsidR="000C780A" w:rsidRPr="000C780A" w:rsidRDefault="000C780A" w:rsidP="000C780A">
      <w:pPr>
        <w:pStyle w:val="ListParagraph"/>
        <w:rPr>
          <w:rFonts w:cs="Arial"/>
          <w:sz w:val="24"/>
        </w:rPr>
      </w:pPr>
    </w:p>
    <w:p w:rsidR="000C780A" w:rsidRDefault="000C780A" w:rsidP="000C3A32">
      <w:pPr>
        <w:pStyle w:val="ListParagraph"/>
        <w:numPr>
          <w:ilvl w:val="0"/>
          <w:numId w:val="21"/>
        </w:numPr>
        <w:spacing w:line="360" w:lineRule="auto"/>
        <w:ind w:left="709" w:hanging="709"/>
        <w:rPr>
          <w:rFonts w:cs="Arial"/>
          <w:sz w:val="24"/>
        </w:rPr>
      </w:pPr>
      <w:r>
        <w:rPr>
          <w:rFonts w:cs="Arial"/>
          <w:sz w:val="24"/>
        </w:rPr>
        <w:t>Information about appeals is set out in Annex 1.</w:t>
      </w:r>
    </w:p>
    <w:p w:rsidR="000C780A" w:rsidRPr="000C780A" w:rsidRDefault="000C780A" w:rsidP="000C780A">
      <w:pPr>
        <w:pStyle w:val="ListParagraph"/>
        <w:rPr>
          <w:rFonts w:cs="Arial"/>
          <w:sz w:val="24"/>
        </w:rPr>
      </w:pPr>
    </w:p>
    <w:p w:rsidR="000C780A" w:rsidRDefault="00E93C52" w:rsidP="000C3A32">
      <w:pPr>
        <w:pStyle w:val="ListParagraph"/>
        <w:numPr>
          <w:ilvl w:val="0"/>
          <w:numId w:val="21"/>
        </w:numPr>
        <w:spacing w:line="360" w:lineRule="auto"/>
        <w:ind w:left="709" w:hanging="709"/>
        <w:rPr>
          <w:rFonts w:cs="Arial"/>
          <w:sz w:val="24"/>
        </w:rPr>
      </w:pPr>
      <w:r>
        <w:rPr>
          <w:rFonts w:cs="Arial"/>
          <w:sz w:val="24"/>
        </w:rPr>
        <w:t>The Commissioner has the power to take enforcement action in respect of this Penalty Notice. No such action will be taken to recover a penalty unless:</w:t>
      </w:r>
    </w:p>
    <w:p w:rsidR="00E93C52" w:rsidRPr="00E93C52" w:rsidRDefault="00E93C52" w:rsidP="00E93C52">
      <w:pPr>
        <w:pStyle w:val="ListParagraph"/>
        <w:rPr>
          <w:rFonts w:cs="Arial"/>
          <w:sz w:val="24"/>
        </w:rPr>
      </w:pPr>
    </w:p>
    <w:p w:rsidR="00E93C52" w:rsidRDefault="00E93C52" w:rsidP="00E93C52">
      <w:pPr>
        <w:pStyle w:val="ListParagraph"/>
        <w:numPr>
          <w:ilvl w:val="0"/>
          <w:numId w:val="41"/>
        </w:numPr>
        <w:spacing w:line="360" w:lineRule="auto"/>
        <w:rPr>
          <w:rFonts w:cs="Arial"/>
          <w:sz w:val="24"/>
        </w:rPr>
      </w:pPr>
      <w:r>
        <w:rPr>
          <w:rFonts w:cs="Arial"/>
          <w:sz w:val="24"/>
        </w:rPr>
        <w:t>The date by which payment is to be made specified in this Notice has passed;</w:t>
      </w:r>
    </w:p>
    <w:p w:rsidR="00E93C52" w:rsidRDefault="00E93C52" w:rsidP="00E93C52">
      <w:pPr>
        <w:pStyle w:val="ListParagraph"/>
        <w:numPr>
          <w:ilvl w:val="0"/>
          <w:numId w:val="41"/>
        </w:numPr>
        <w:spacing w:line="360" w:lineRule="auto"/>
        <w:rPr>
          <w:rFonts w:cs="Arial"/>
          <w:sz w:val="24"/>
        </w:rPr>
      </w:pPr>
      <w:r>
        <w:rPr>
          <w:rFonts w:cs="Arial"/>
          <w:sz w:val="24"/>
        </w:rPr>
        <w:t>Any appeal against the Notice has been decided or has otherwise ended;</w:t>
      </w:r>
    </w:p>
    <w:p w:rsidR="00E93C52" w:rsidRDefault="00E93C52" w:rsidP="00E93C52">
      <w:pPr>
        <w:pStyle w:val="ListParagraph"/>
        <w:numPr>
          <w:ilvl w:val="0"/>
          <w:numId w:val="41"/>
        </w:numPr>
        <w:spacing w:line="360" w:lineRule="auto"/>
        <w:rPr>
          <w:rFonts w:cs="Arial"/>
          <w:sz w:val="24"/>
        </w:rPr>
      </w:pPr>
      <w:r>
        <w:rPr>
          <w:rFonts w:cs="Arial"/>
          <w:sz w:val="24"/>
        </w:rPr>
        <w:t>In the case of a variation of the Penalty Notice, any appeal against the penalty variation notice has been decided or has otherwise ended;</w:t>
      </w:r>
    </w:p>
    <w:p w:rsidR="00E93C52" w:rsidRDefault="00E93C52" w:rsidP="00E93C52">
      <w:pPr>
        <w:pStyle w:val="ListParagraph"/>
        <w:numPr>
          <w:ilvl w:val="0"/>
          <w:numId w:val="41"/>
        </w:numPr>
        <w:spacing w:line="360" w:lineRule="auto"/>
        <w:rPr>
          <w:rFonts w:cs="Arial"/>
          <w:sz w:val="24"/>
        </w:rPr>
      </w:pPr>
      <w:r>
        <w:rPr>
          <w:rFonts w:cs="Arial"/>
          <w:sz w:val="24"/>
        </w:rPr>
        <w:t>The period given to appeal the Notice has ended.</w:t>
      </w:r>
    </w:p>
    <w:p w:rsidR="00E93C52" w:rsidRPr="00E93C52" w:rsidRDefault="00E93C52" w:rsidP="00E93C52">
      <w:pPr>
        <w:pStyle w:val="ListParagraph"/>
        <w:rPr>
          <w:rFonts w:cs="Arial"/>
          <w:sz w:val="24"/>
        </w:rPr>
      </w:pPr>
    </w:p>
    <w:p w:rsidR="00E93C52" w:rsidRPr="00E93C52" w:rsidRDefault="00E93C52" w:rsidP="00E93C52">
      <w:pPr>
        <w:pStyle w:val="ListParagraph"/>
        <w:numPr>
          <w:ilvl w:val="0"/>
          <w:numId w:val="21"/>
        </w:numPr>
        <w:spacing w:line="360" w:lineRule="auto"/>
        <w:ind w:left="709" w:hanging="709"/>
        <w:rPr>
          <w:rFonts w:cs="Arial"/>
          <w:sz w:val="24"/>
        </w:rPr>
      </w:pPr>
      <w:r w:rsidRPr="00E93C52">
        <w:rPr>
          <w:rFonts w:cs="Arial"/>
          <w:sz w:val="24"/>
        </w:rPr>
        <w:t>In England and Wales and in Northern Ireland, the penalty is recoverable by Order of the County Court or the High Court. In Scotland, a penalty may be enforced in the same manner as an extract registered decree arbitral bearing a warrant for execution issued by the</w:t>
      </w:r>
      <w:r>
        <w:rPr>
          <w:rFonts w:cs="Arial"/>
          <w:sz w:val="24"/>
        </w:rPr>
        <w:t xml:space="preserve"> </w:t>
      </w:r>
      <w:r w:rsidRPr="00E93C52">
        <w:rPr>
          <w:rFonts w:cs="Arial"/>
          <w:sz w:val="24"/>
        </w:rPr>
        <w:t>sheriff court of any sheriffdom in Scotland</w:t>
      </w:r>
      <w:r>
        <w:rPr>
          <w:rFonts w:cs="Arial"/>
          <w:sz w:val="24"/>
        </w:rPr>
        <w:t>.</w:t>
      </w:r>
    </w:p>
    <w:p w:rsidR="00211FC3" w:rsidRDefault="00495CCD" w:rsidP="00266CF7">
      <w:pPr>
        <w:spacing w:after="200" w:line="360" w:lineRule="auto"/>
        <w:rPr>
          <w:rFonts w:ascii="Verdana" w:hAnsi="Verdana" w:cs="Arial"/>
        </w:rPr>
      </w:pPr>
      <w:r w:rsidRPr="00451176">
        <w:rPr>
          <w:rFonts w:ascii="Verdana" w:hAnsi="Verdana" w:cs="Arial"/>
        </w:rPr>
        <w:br/>
        <w:t>Dated the</w:t>
      </w:r>
      <w:r w:rsidR="00C97B64" w:rsidRPr="00451176">
        <w:rPr>
          <w:rFonts w:ascii="Verdana" w:hAnsi="Verdana" w:cs="Arial"/>
        </w:rPr>
        <w:t xml:space="preserve"> </w:t>
      </w:r>
      <w:r w:rsidR="00D83214">
        <w:rPr>
          <w:rFonts w:ascii="Verdana" w:hAnsi="Verdana" w:cs="Arial"/>
        </w:rPr>
        <w:t>[date]</w:t>
      </w:r>
    </w:p>
    <w:p w:rsidR="00495CCD" w:rsidRDefault="00211FC3" w:rsidP="00266CF7">
      <w:pPr>
        <w:spacing w:after="200" w:line="360" w:lineRule="auto"/>
        <w:rPr>
          <w:rFonts w:ascii="Verdana" w:hAnsi="Verdana" w:cs="Arial"/>
        </w:rPr>
      </w:pPr>
      <w:r>
        <w:rPr>
          <w:noProof/>
          <w:lang w:eastAsia="en-GB"/>
        </w:rPr>
        <w:drawing>
          <wp:inline distT="0" distB="0" distL="0" distR="0" wp14:anchorId="392A2D55" wp14:editId="2219EA2D">
            <wp:extent cx="1343025" cy="647700"/>
            <wp:effectExtent l="0" t="0" r="9525" b="0"/>
            <wp:docPr id="1" name="Picture 1" descr="C:\Users\sorabjis\AppData\Local\Microsoft\Windows\Temporary Internet Files\Content.Word\digitalsignaturetracishirley.jpg"/>
            <wp:cNvGraphicFramePr/>
            <a:graphic xmlns:a="http://schemas.openxmlformats.org/drawingml/2006/main">
              <a:graphicData uri="http://schemas.openxmlformats.org/drawingml/2006/picture">
                <pic:pic xmlns:pic="http://schemas.openxmlformats.org/drawingml/2006/picture">
                  <pic:nvPicPr>
                    <pic:cNvPr id="1" name="Picture 1" descr="C:\Users\sorabjis\AppData\Local\Microsoft\Windows\Temporary Internet Files\Content.Word\digitalsignaturetracishirley.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647700"/>
                    </a:xfrm>
                    <a:prstGeom prst="rect">
                      <a:avLst/>
                    </a:prstGeom>
                    <a:noFill/>
                    <a:ln>
                      <a:noFill/>
                    </a:ln>
                  </pic:spPr>
                </pic:pic>
              </a:graphicData>
            </a:graphic>
          </wp:inline>
        </w:drawing>
      </w:r>
      <w:r w:rsidR="00495CCD" w:rsidRPr="00451176">
        <w:rPr>
          <w:rFonts w:ascii="Verdana" w:hAnsi="Verdana" w:cs="Arial"/>
        </w:rPr>
        <w:t xml:space="preserve"> </w:t>
      </w:r>
    </w:p>
    <w:p w:rsidR="00E57949" w:rsidRPr="0008293B" w:rsidRDefault="00E57949" w:rsidP="00E57949">
      <w:pPr>
        <w:rPr>
          <w:rFonts w:ascii="Verdana" w:hAnsi="Verdana" w:cs="Arial"/>
        </w:rPr>
      </w:pPr>
      <w:r w:rsidRPr="0008293B">
        <w:rPr>
          <w:rFonts w:ascii="Verdana" w:hAnsi="Verdana" w:cs="Arial"/>
        </w:rPr>
        <w:lastRenderedPageBreak/>
        <w:t>Traci Shirley</w:t>
      </w:r>
    </w:p>
    <w:p w:rsidR="00E57949" w:rsidRPr="0008293B" w:rsidRDefault="00E57949" w:rsidP="00E57949">
      <w:pPr>
        <w:rPr>
          <w:rFonts w:ascii="Verdana" w:hAnsi="Verdana" w:cs="Arial"/>
        </w:rPr>
      </w:pPr>
      <w:r w:rsidRPr="0008293B">
        <w:rPr>
          <w:rFonts w:ascii="Verdana" w:hAnsi="Verdana" w:cs="Arial"/>
        </w:rPr>
        <w:t>Group Manager – Customer Contact</w:t>
      </w:r>
    </w:p>
    <w:p w:rsidR="00E57949" w:rsidRPr="00451176" w:rsidRDefault="00E57949" w:rsidP="00E57949">
      <w:pPr>
        <w:rPr>
          <w:rFonts w:ascii="Verdana" w:hAnsi="Verdana" w:cs="Arial"/>
        </w:rPr>
      </w:pPr>
      <w:r w:rsidRPr="00451176">
        <w:rPr>
          <w:rFonts w:ascii="Verdana" w:hAnsi="Verdana" w:cs="Arial"/>
        </w:rPr>
        <w:t>Information Commissioner’s Office</w:t>
      </w:r>
    </w:p>
    <w:p w:rsidR="00E57949" w:rsidRPr="00451176" w:rsidRDefault="00E57949" w:rsidP="00E57949">
      <w:pPr>
        <w:ind w:left="720" w:hanging="720"/>
        <w:rPr>
          <w:rFonts w:ascii="Verdana" w:hAnsi="Verdana" w:cs="Arial"/>
        </w:rPr>
      </w:pPr>
      <w:r w:rsidRPr="00451176">
        <w:rPr>
          <w:rFonts w:ascii="Verdana" w:hAnsi="Verdana" w:cs="Arial"/>
        </w:rPr>
        <w:t>Wycliffe House</w:t>
      </w:r>
    </w:p>
    <w:p w:rsidR="00E57949" w:rsidRPr="00451176" w:rsidRDefault="00E57949" w:rsidP="00E57949">
      <w:pPr>
        <w:ind w:left="720" w:hanging="720"/>
        <w:rPr>
          <w:rFonts w:ascii="Verdana" w:hAnsi="Verdana" w:cs="Arial"/>
        </w:rPr>
      </w:pPr>
      <w:r w:rsidRPr="00451176">
        <w:rPr>
          <w:rFonts w:ascii="Verdana" w:hAnsi="Verdana" w:cs="Arial"/>
        </w:rPr>
        <w:t>Water Lane</w:t>
      </w:r>
    </w:p>
    <w:p w:rsidR="00E57949" w:rsidRPr="00451176" w:rsidRDefault="00E57949" w:rsidP="00E57949">
      <w:pPr>
        <w:ind w:left="720" w:hanging="720"/>
        <w:rPr>
          <w:rFonts w:ascii="Verdana" w:hAnsi="Verdana" w:cs="Arial"/>
        </w:rPr>
      </w:pPr>
      <w:r w:rsidRPr="00451176">
        <w:rPr>
          <w:rFonts w:ascii="Verdana" w:hAnsi="Verdana" w:cs="Arial"/>
        </w:rPr>
        <w:t>Wilmslow</w:t>
      </w:r>
    </w:p>
    <w:p w:rsidR="00E57949" w:rsidRPr="00451176" w:rsidRDefault="00E57949" w:rsidP="00E57949">
      <w:pPr>
        <w:ind w:left="720" w:hanging="720"/>
        <w:rPr>
          <w:rFonts w:ascii="Verdana" w:hAnsi="Verdana" w:cs="Arial"/>
        </w:rPr>
      </w:pPr>
      <w:r w:rsidRPr="00451176">
        <w:rPr>
          <w:rFonts w:ascii="Verdana" w:hAnsi="Verdana" w:cs="Arial"/>
        </w:rPr>
        <w:t>Cheshire</w:t>
      </w:r>
    </w:p>
    <w:p w:rsidR="00495CCD" w:rsidRPr="00451176" w:rsidRDefault="00E57949" w:rsidP="00E57949">
      <w:pPr>
        <w:ind w:left="720" w:hanging="720"/>
        <w:rPr>
          <w:rFonts w:ascii="Verdana" w:hAnsi="Verdana"/>
        </w:rPr>
      </w:pPr>
      <w:r w:rsidRPr="00451176">
        <w:rPr>
          <w:rFonts w:ascii="Verdana" w:hAnsi="Verdana" w:cs="Arial"/>
        </w:rPr>
        <w:t>SK9 5AF</w:t>
      </w:r>
      <w:r w:rsidRPr="00451176">
        <w:rPr>
          <w:rFonts w:ascii="Verdana" w:hAnsi="Verdana"/>
        </w:rPr>
        <w:t xml:space="preserve"> </w:t>
      </w:r>
      <w:r w:rsidR="00495CCD" w:rsidRPr="00451176">
        <w:rPr>
          <w:rFonts w:ascii="Verdana" w:hAnsi="Verdana"/>
        </w:rPr>
        <w:br w:type="page"/>
      </w:r>
    </w:p>
    <w:p w:rsidR="00495CCD" w:rsidRPr="00451176" w:rsidRDefault="00495CCD" w:rsidP="00266CF7">
      <w:pPr>
        <w:spacing w:line="360" w:lineRule="auto"/>
        <w:rPr>
          <w:rFonts w:ascii="Verdana" w:hAnsi="Verdana"/>
          <w:b/>
        </w:rPr>
      </w:pPr>
      <w:r w:rsidRPr="00451176">
        <w:rPr>
          <w:rFonts w:ascii="Verdana" w:hAnsi="Verdana"/>
          <w:b/>
        </w:rPr>
        <w:lastRenderedPageBreak/>
        <w:t>ANNEX 1</w:t>
      </w:r>
    </w:p>
    <w:p w:rsidR="00495CCD" w:rsidRPr="00451176" w:rsidRDefault="00495CCD" w:rsidP="00266CF7">
      <w:pPr>
        <w:spacing w:line="360" w:lineRule="auto"/>
        <w:jc w:val="center"/>
        <w:rPr>
          <w:rFonts w:ascii="Verdana" w:hAnsi="Verdana"/>
          <w:b/>
        </w:rPr>
      </w:pPr>
      <w:r w:rsidRPr="00451176">
        <w:rPr>
          <w:rFonts w:ascii="Verdana" w:hAnsi="Verdana"/>
          <w:b/>
        </w:rPr>
        <w:t xml:space="preserve">DATA PROTECTION ACT </w:t>
      </w:r>
      <w:r w:rsidR="00450D01">
        <w:rPr>
          <w:rFonts w:ascii="Verdana" w:hAnsi="Verdana"/>
          <w:b/>
        </w:rPr>
        <w:t>2018</w:t>
      </w:r>
    </w:p>
    <w:p w:rsidR="00495CCD" w:rsidRPr="00451176" w:rsidRDefault="00495CCD" w:rsidP="00266CF7">
      <w:pPr>
        <w:spacing w:line="360" w:lineRule="auto"/>
        <w:jc w:val="center"/>
        <w:rPr>
          <w:rFonts w:ascii="Verdana" w:hAnsi="Verdana"/>
          <w:b/>
        </w:rPr>
      </w:pPr>
    </w:p>
    <w:p w:rsidR="00495CCD" w:rsidRPr="00451176" w:rsidRDefault="00E93C52" w:rsidP="00266CF7">
      <w:pPr>
        <w:spacing w:line="360" w:lineRule="auto"/>
        <w:jc w:val="center"/>
        <w:rPr>
          <w:rFonts w:ascii="Verdana" w:hAnsi="Verdana"/>
          <w:b/>
        </w:rPr>
      </w:pPr>
      <w:r>
        <w:rPr>
          <w:rFonts w:ascii="Verdana" w:hAnsi="Verdana"/>
          <w:b/>
        </w:rPr>
        <w:t>RIGHT OF APPEAL AGAINST A PENALTY NOTICE</w:t>
      </w:r>
    </w:p>
    <w:p w:rsidR="00495CCD" w:rsidRPr="00451176" w:rsidRDefault="00495CCD" w:rsidP="00266CF7">
      <w:pPr>
        <w:spacing w:line="360" w:lineRule="auto"/>
        <w:rPr>
          <w:rFonts w:ascii="Verdana" w:hAnsi="Verdana"/>
        </w:rPr>
      </w:pPr>
    </w:p>
    <w:p w:rsidR="00495CCD" w:rsidRDefault="00532FA5" w:rsidP="00266CF7">
      <w:pPr>
        <w:spacing w:line="360" w:lineRule="auto"/>
        <w:ind w:left="113"/>
        <w:rPr>
          <w:rFonts w:ascii="Verdana" w:hAnsi="Verdana"/>
        </w:rPr>
      </w:pPr>
      <w:r>
        <w:rPr>
          <w:rFonts w:ascii="Verdana" w:hAnsi="Verdana"/>
        </w:rPr>
        <w:t>S</w:t>
      </w:r>
      <w:r w:rsidR="00495CCD" w:rsidRPr="00451176">
        <w:rPr>
          <w:rFonts w:ascii="Verdana" w:hAnsi="Verdana"/>
        </w:rPr>
        <w:t xml:space="preserve">ection </w:t>
      </w:r>
      <w:r w:rsidR="005F4389">
        <w:rPr>
          <w:rFonts w:ascii="Verdana" w:hAnsi="Verdana"/>
        </w:rPr>
        <w:t>162</w:t>
      </w:r>
      <w:r>
        <w:rPr>
          <w:rFonts w:ascii="Verdana" w:hAnsi="Verdana"/>
        </w:rPr>
        <w:t xml:space="preserve"> </w:t>
      </w:r>
      <w:r w:rsidR="00495CCD" w:rsidRPr="00451176">
        <w:rPr>
          <w:rFonts w:ascii="Verdana" w:hAnsi="Verdana"/>
        </w:rPr>
        <w:t xml:space="preserve">of the Data Protection Act </w:t>
      </w:r>
      <w:r w:rsidR="00450D01">
        <w:rPr>
          <w:rFonts w:ascii="Verdana" w:hAnsi="Verdana"/>
        </w:rPr>
        <w:t>2018</w:t>
      </w:r>
      <w:r>
        <w:rPr>
          <w:rFonts w:ascii="Verdana" w:hAnsi="Verdana"/>
        </w:rPr>
        <w:t xml:space="preserve"> gives any person on whom a penalty notice or a penalty variation notice has been served a right of appeal to the First-tier Tribunal (Information Rights) (“the Tribunal”) against that notice, or against the amount set out in that notice</w:t>
      </w:r>
      <w:r w:rsidR="00495CCD" w:rsidRPr="00451176">
        <w:rPr>
          <w:rFonts w:ascii="Verdana" w:hAnsi="Verdana"/>
        </w:rPr>
        <w:t>.</w:t>
      </w:r>
    </w:p>
    <w:p w:rsidR="00532FA5" w:rsidRDefault="00532FA5" w:rsidP="00266CF7">
      <w:pPr>
        <w:spacing w:line="360" w:lineRule="auto"/>
        <w:ind w:left="113"/>
        <w:rPr>
          <w:rFonts w:ascii="Verdana" w:hAnsi="Verdana"/>
        </w:rPr>
      </w:pPr>
    </w:p>
    <w:p w:rsidR="00532FA5" w:rsidRPr="00532FA5" w:rsidRDefault="005F4389" w:rsidP="00266CF7">
      <w:pPr>
        <w:spacing w:line="360" w:lineRule="auto"/>
        <w:ind w:left="113"/>
        <w:rPr>
          <w:rFonts w:ascii="Verdana" w:hAnsi="Verdana"/>
        </w:rPr>
      </w:pPr>
      <w:r>
        <w:rPr>
          <w:rFonts w:ascii="Verdana" w:hAnsi="Verdana"/>
        </w:rPr>
        <w:t>In accordance with section 163</w:t>
      </w:r>
      <w:r w:rsidR="00532FA5">
        <w:rPr>
          <w:rFonts w:ascii="Verdana" w:hAnsi="Verdana"/>
        </w:rPr>
        <w:t>, i</w:t>
      </w:r>
      <w:r w:rsidR="00532FA5" w:rsidRPr="00532FA5">
        <w:rPr>
          <w:rFonts w:ascii="Verdana" w:hAnsi="Verdana"/>
        </w:rPr>
        <w:t>f you decide to appeal and if the Tribunal considers that:</w:t>
      </w:r>
    </w:p>
    <w:p w:rsidR="00532FA5" w:rsidRPr="00532FA5" w:rsidRDefault="00532FA5" w:rsidP="00266CF7">
      <w:pPr>
        <w:spacing w:line="360" w:lineRule="auto"/>
        <w:ind w:left="113"/>
        <w:rPr>
          <w:rFonts w:ascii="Verdana" w:hAnsi="Verdana"/>
        </w:rPr>
      </w:pPr>
    </w:p>
    <w:p w:rsidR="00532FA5" w:rsidRPr="00532FA5" w:rsidRDefault="00532FA5" w:rsidP="00532FA5">
      <w:pPr>
        <w:pStyle w:val="ListParagraph"/>
        <w:numPr>
          <w:ilvl w:val="0"/>
          <w:numId w:val="42"/>
        </w:numPr>
        <w:spacing w:line="360" w:lineRule="auto"/>
        <w:rPr>
          <w:sz w:val="24"/>
        </w:rPr>
      </w:pPr>
      <w:r>
        <w:rPr>
          <w:sz w:val="24"/>
        </w:rPr>
        <w:t>t</w:t>
      </w:r>
      <w:r w:rsidRPr="00532FA5">
        <w:rPr>
          <w:sz w:val="24"/>
        </w:rPr>
        <w:t>he notice against which the appeal is brought is not in accordance with the law, or</w:t>
      </w:r>
    </w:p>
    <w:p w:rsidR="00532FA5" w:rsidRDefault="00532FA5" w:rsidP="00532FA5">
      <w:pPr>
        <w:pStyle w:val="ListParagraph"/>
        <w:spacing w:line="360" w:lineRule="auto"/>
        <w:ind w:left="833"/>
        <w:rPr>
          <w:sz w:val="24"/>
        </w:rPr>
      </w:pPr>
    </w:p>
    <w:p w:rsidR="00532FA5" w:rsidRPr="00532FA5" w:rsidRDefault="00532FA5" w:rsidP="00532FA5">
      <w:pPr>
        <w:pStyle w:val="ListParagraph"/>
        <w:numPr>
          <w:ilvl w:val="0"/>
          <w:numId w:val="42"/>
        </w:numPr>
        <w:spacing w:line="360" w:lineRule="auto"/>
        <w:rPr>
          <w:sz w:val="24"/>
        </w:rPr>
      </w:pPr>
      <w:r w:rsidRPr="00532FA5">
        <w:rPr>
          <w:sz w:val="24"/>
        </w:rPr>
        <w:t>to the extent that the notice or decision involved an exercise of discretion by the Commissioner, that the Commissioner ought to have exercised the discretion differently,</w:t>
      </w:r>
    </w:p>
    <w:p w:rsidR="005F4389" w:rsidRDefault="005F4389" w:rsidP="005F4389">
      <w:pPr>
        <w:spacing w:line="360" w:lineRule="auto"/>
        <w:rPr>
          <w:rFonts w:ascii="Verdana" w:hAnsi="Verdana"/>
        </w:rPr>
      </w:pPr>
    </w:p>
    <w:p w:rsidR="00532FA5" w:rsidRPr="00532FA5" w:rsidRDefault="00E57949" w:rsidP="005F4389">
      <w:pPr>
        <w:spacing w:line="360" w:lineRule="auto"/>
        <w:rPr>
          <w:rFonts w:ascii="Verdana" w:hAnsi="Verdana"/>
        </w:rPr>
      </w:pPr>
      <w:r w:rsidRPr="00532FA5">
        <w:rPr>
          <w:rFonts w:ascii="Verdana" w:hAnsi="Verdana"/>
        </w:rPr>
        <w:t>The</w:t>
      </w:r>
      <w:r w:rsidR="00532FA5" w:rsidRPr="00532FA5">
        <w:rPr>
          <w:rFonts w:ascii="Verdana" w:hAnsi="Verdana"/>
        </w:rPr>
        <w:t xml:space="preserve"> Tribunal must allow the appeal or substitute another notice or decision which the Commissioner could have given or made. Otherwise, the Tribunal must dismiss the appeal.</w:t>
      </w:r>
    </w:p>
    <w:p w:rsidR="005F4389" w:rsidRDefault="005F4389" w:rsidP="00266CF7">
      <w:pPr>
        <w:spacing w:line="360" w:lineRule="auto"/>
        <w:ind w:left="113"/>
        <w:rPr>
          <w:rFonts w:ascii="Verdana" w:hAnsi="Verdana"/>
        </w:rPr>
      </w:pPr>
    </w:p>
    <w:p w:rsidR="00495CCD" w:rsidRDefault="00532FA5" w:rsidP="00266CF7">
      <w:pPr>
        <w:spacing w:line="360" w:lineRule="auto"/>
        <w:ind w:left="113"/>
        <w:rPr>
          <w:rFonts w:ascii="Verdana" w:hAnsi="Verdana"/>
        </w:rPr>
      </w:pPr>
      <w:r>
        <w:rPr>
          <w:rFonts w:ascii="Verdana" w:hAnsi="Verdana"/>
        </w:rPr>
        <w:t>You may bring an appeal by serving a notice of appeal on the Tribunal at the following address:</w:t>
      </w:r>
    </w:p>
    <w:p w:rsidR="00DF1F3D" w:rsidRDefault="00532FA5" w:rsidP="00266CF7">
      <w:pPr>
        <w:spacing w:line="360" w:lineRule="auto"/>
        <w:ind w:left="113"/>
        <w:rPr>
          <w:rFonts w:ascii="Verdana" w:hAnsi="Verdana"/>
        </w:rPr>
      </w:pPr>
      <w:r>
        <w:rPr>
          <w:rFonts w:ascii="Verdana" w:hAnsi="Verdana"/>
        </w:rPr>
        <w:tab/>
      </w:r>
    </w:p>
    <w:p w:rsidR="00532FA5" w:rsidRDefault="00532FA5" w:rsidP="00DF1F3D">
      <w:pPr>
        <w:spacing w:line="360" w:lineRule="auto"/>
        <w:ind w:left="113" w:firstLine="607"/>
        <w:rPr>
          <w:rFonts w:ascii="Verdana" w:hAnsi="Verdana"/>
        </w:rPr>
      </w:pPr>
      <w:r>
        <w:rPr>
          <w:rFonts w:ascii="Verdana" w:hAnsi="Verdana"/>
        </w:rPr>
        <w:t>General Regulatory Chamber</w:t>
      </w:r>
    </w:p>
    <w:p w:rsidR="00532FA5" w:rsidRDefault="00532FA5" w:rsidP="00266CF7">
      <w:pPr>
        <w:spacing w:line="360" w:lineRule="auto"/>
        <w:ind w:left="113"/>
        <w:rPr>
          <w:rFonts w:ascii="Verdana" w:hAnsi="Verdana"/>
        </w:rPr>
      </w:pPr>
      <w:r>
        <w:rPr>
          <w:rFonts w:ascii="Verdana" w:hAnsi="Verdana"/>
        </w:rPr>
        <w:tab/>
        <w:t>PO Box 9300</w:t>
      </w:r>
    </w:p>
    <w:p w:rsidR="00532FA5" w:rsidRDefault="00532FA5" w:rsidP="00266CF7">
      <w:pPr>
        <w:spacing w:line="360" w:lineRule="auto"/>
        <w:ind w:left="113"/>
        <w:rPr>
          <w:rFonts w:ascii="Verdana" w:hAnsi="Verdana"/>
        </w:rPr>
      </w:pPr>
      <w:r>
        <w:rPr>
          <w:rFonts w:ascii="Verdana" w:hAnsi="Verdana"/>
        </w:rPr>
        <w:lastRenderedPageBreak/>
        <w:tab/>
        <w:t>Arnhem House</w:t>
      </w:r>
    </w:p>
    <w:p w:rsidR="00532FA5" w:rsidRDefault="00532FA5" w:rsidP="00266CF7">
      <w:pPr>
        <w:spacing w:line="360" w:lineRule="auto"/>
        <w:ind w:left="113"/>
        <w:rPr>
          <w:rFonts w:ascii="Verdana" w:hAnsi="Verdana"/>
        </w:rPr>
      </w:pPr>
      <w:r>
        <w:rPr>
          <w:rFonts w:ascii="Verdana" w:hAnsi="Verdana"/>
        </w:rPr>
        <w:tab/>
        <w:t>31 Waterloo Way</w:t>
      </w:r>
    </w:p>
    <w:p w:rsidR="00532FA5" w:rsidRDefault="00532FA5" w:rsidP="00266CF7">
      <w:pPr>
        <w:spacing w:line="360" w:lineRule="auto"/>
        <w:ind w:left="113"/>
        <w:rPr>
          <w:rFonts w:ascii="Verdana" w:hAnsi="Verdana"/>
        </w:rPr>
      </w:pPr>
      <w:r>
        <w:rPr>
          <w:rFonts w:ascii="Verdana" w:hAnsi="Verdana"/>
        </w:rPr>
        <w:tab/>
        <w:t>Leicester</w:t>
      </w:r>
    </w:p>
    <w:p w:rsidR="00532FA5" w:rsidRPr="00451176" w:rsidRDefault="00532FA5" w:rsidP="00266CF7">
      <w:pPr>
        <w:spacing w:line="360" w:lineRule="auto"/>
        <w:ind w:left="113"/>
        <w:rPr>
          <w:rFonts w:ascii="Verdana" w:hAnsi="Verdana"/>
        </w:rPr>
      </w:pPr>
      <w:r>
        <w:rPr>
          <w:rFonts w:ascii="Verdana" w:hAnsi="Verdana"/>
        </w:rPr>
        <w:tab/>
        <w:t>LE1 8DJ</w:t>
      </w:r>
    </w:p>
    <w:p w:rsidR="00495CCD" w:rsidRDefault="00495CCD" w:rsidP="00266CF7">
      <w:pPr>
        <w:spacing w:line="360" w:lineRule="auto"/>
        <w:ind w:left="113"/>
        <w:rPr>
          <w:rFonts w:ascii="Verdana" w:hAnsi="Verdana"/>
        </w:rPr>
      </w:pPr>
    </w:p>
    <w:p w:rsidR="00532FA5" w:rsidRDefault="00532FA5" w:rsidP="00266CF7">
      <w:pPr>
        <w:spacing w:line="360" w:lineRule="auto"/>
        <w:ind w:left="113"/>
        <w:rPr>
          <w:rFonts w:ascii="Verdana" w:hAnsi="Verdana"/>
        </w:rPr>
      </w:pPr>
      <w:r>
        <w:rPr>
          <w:rFonts w:ascii="Verdana" w:hAnsi="Verdana"/>
        </w:rPr>
        <w:t xml:space="preserve">The notice of appeal should be sent so that it is received by the Tribunal within 28 days of the date of the notice. </w:t>
      </w:r>
    </w:p>
    <w:p w:rsidR="00532FA5" w:rsidRDefault="00532FA5" w:rsidP="00266CF7">
      <w:pPr>
        <w:spacing w:line="360" w:lineRule="auto"/>
        <w:ind w:left="113"/>
        <w:rPr>
          <w:rFonts w:ascii="Verdana" w:hAnsi="Verdana"/>
        </w:rPr>
      </w:pPr>
    </w:p>
    <w:p w:rsidR="00532FA5" w:rsidRDefault="00532FA5" w:rsidP="00266CF7">
      <w:pPr>
        <w:spacing w:line="360" w:lineRule="auto"/>
        <w:ind w:left="113"/>
        <w:rPr>
          <w:rFonts w:ascii="Verdana" w:hAnsi="Verdana"/>
        </w:rPr>
      </w:pPr>
      <w:r>
        <w:rPr>
          <w:rFonts w:ascii="Verdana" w:hAnsi="Verdana"/>
        </w:rPr>
        <w:t>A notice of appeal received after that time will not be admitted unless the Tribunal exercises its discretion to extend the time for complying with the rule.</w:t>
      </w:r>
    </w:p>
    <w:p w:rsidR="00532FA5" w:rsidRDefault="00532FA5" w:rsidP="00266CF7">
      <w:pPr>
        <w:spacing w:line="360" w:lineRule="auto"/>
        <w:ind w:left="113"/>
        <w:rPr>
          <w:rFonts w:ascii="Verdana" w:hAnsi="Verdana"/>
        </w:rPr>
      </w:pPr>
    </w:p>
    <w:p w:rsidR="00532FA5" w:rsidRDefault="00532FA5" w:rsidP="00266CF7">
      <w:pPr>
        <w:spacing w:line="360" w:lineRule="auto"/>
        <w:ind w:left="113"/>
        <w:rPr>
          <w:rFonts w:ascii="Verdana" w:hAnsi="Verdana"/>
        </w:rPr>
      </w:pPr>
      <w:r>
        <w:rPr>
          <w:rFonts w:ascii="Verdana" w:hAnsi="Verdana"/>
        </w:rPr>
        <w:t>The notice of appeal should be made on the form made available online by the Tribunal and should state:</w:t>
      </w:r>
    </w:p>
    <w:p w:rsidR="00532FA5" w:rsidRDefault="00532FA5" w:rsidP="00532FA5">
      <w:pPr>
        <w:pStyle w:val="ListParagraph"/>
        <w:spacing w:line="360" w:lineRule="auto"/>
        <w:ind w:left="833"/>
        <w:rPr>
          <w:sz w:val="24"/>
        </w:rPr>
      </w:pPr>
    </w:p>
    <w:p w:rsidR="00532FA5" w:rsidRPr="00532FA5" w:rsidRDefault="00532FA5" w:rsidP="00532FA5">
      <w:pPr>
        <w:pStyle w:val="ListParagraph"/>
        <w:numPr>
          <w:ilvl w:val="0"/>
          <w:numId w:val="43"/>
        </w:numPr>
        <w:spacing w:line="360" w:lineRule="auto"/>
        <w:rPr>
          <w:sz w:val="24"/>
        </w:rPr>
      </w:pPr>
      <w:r w:rsidRPr="00532FA5">
        <w:rPr>
          <w:sz w:val="24"/>
        </w:rPr>
        <w:t>your name and address, and the name and address of your representative (if any);</w:t>
      </w:r>
    </w:p>
    <w:p w:rsidR="00532FA5" w:rsidRPr="00532FA5" w:rsidRDefault="00532FA5" w:rsidP="00532FA5">
      <w:pPr>
        <w:pStyle w:val="ListParagraph"/>
        <w:numPr>
          <w:ilvl w:val="0"/>
          <w:numId w:val="43"/>
        </w:numPr>
        <w:spacing w:line="360" w:lineRule="auto"/>
        <w:rPr>
          <w:sz w:val="24"/>
        </w:rPr>
      </w:pPr>
      <w:r w:rsidRPr="00532FA5">
        <w:rPr>
          <w:sz w:val="24"/>
        </w:rPr>
        <w:t>an address where documents may be sent or delivered to you;</w:t>
      </w:r>
    </w:p>
    <w:p w:rsidR="00532FA5" w:rsidRPr="00532FA5" w:rsidRDefault="00532FA5" w:rsidP="00532FA5">
      <w:pPr>
        <w:pStyle w:val="ListParagraph"/>
        <w:numPr>
          <w:ilvl w:val="0"/>
          <w:numId w:val="43"/>
        </w:numPr>
        <w:spacing w:line="360" w:lineRule="auto"/>
        <w:rPr>
          <w:sz w:val="24"/>
        </w:rPr>
      </w:pPr>
      <w:r w:rsidRPr="00532FA5">
        <w:rPr>
          <w:sz w:val="24"/>
        </w:rPr>
        <w:t>the name and address of the Commissioner as respondent to the appeal;</w:t>
      </w:r>
    </w:p>
    <w:p w:rsidR="00532FA5" w:rsidRPr="00532FA5" w:rsidRDefault="00532FA5" w:rsidP="00532FA5">
      <w:pPr>
        <w:pStyle w:val="ListParagraph"/>
        <w:numPr>
          <w:ilvl w:val="0"/>
          <w:numId w:val="43"/>
        </w:numPr>
        <w:spacing w:line="360" w:lineRule="auto"/>
        <w:rPr>
          <w:sz w:val="24"/>
        </w:rPr>
      </w:pPr>
      <w:r w:rsidRPr="00532FA5">
        <w:rPr>
          <w:sz w:val="24"/>
        </w:rPr>
        <w:t>the details of the decision to which the appeal relates;</w:t>
      </w:r>
    </w:p>
    <w:p w:rsidR="00532FA5" w:rsidRPr="00532FA5" w:rsidRDefault="00532FA5" w:rsidP="00532FA5">
      <w:pPr>
        <w:pStyle w:val="ListParagraph"/>
        <w:numPr>
          <w:ilvl w:val="0"/>
          <w:numId w:val="43"/>
        </w:numPr>
        <w:spacing w:line="360" w:lineRule="auto"/>
        <w:rPr>
          <w:sz w:val="24"/>
        </w:rPr>
      </w:pPr>
      <w:r w:rsidRPr="00532FA5">
        <w:rPr>
          <w:sz w:val="24"/>
        </w:rPr>
        <w:t>the result you are seeking;</w:t>
      </w:r>
    </w:p>
    <w:p w:rsidR="00532FA5" w:rsidRPr="00532FA5" w:rsidRDefault="00532FA5" w:rsidP="00532FA5">
      <w:pPr>
        <w:pStyle w:val="ListParagraph"/>
        <w:numPr>
          <w:ilvl w:val="0"/>
          <w:numId w:val="43"/>
        </w:numPr>
        <w:spacing w:line="360" w:lineRule="auto"/>
        <w:rPr>
          <w:sz w:val="24"/>
        </w:rPr>
      </w:pPr>
      <w:r w:rsidRPr="00532FA5">
        <w:rPr>
          <w:sz w:val="24"/>
        </w:rPr>
        <w:t>the grounds on which you rely;</w:t>
      </w:r>
    </w:p>
    <w:p w:rsidR="00532FA5" w:rsidRPr="00532FA5" w:rsidRDefault="00532FA5" w:rsidP="00532FA5">
      <w:pPr>
        <w:pStyle w:val="ListParagraph"/>
        <w:numPr>
          <w:ilvl w:val="0"/>
          <w:numId w:val="43"/>
        </w:numPr>
        <w:spacing w:line="360" w:lineRule="auto"/>
        <w:rPr>
          <w:sz w:val="24"/>
        </w:rPr>
      </w:pPr>
      <w:r w:rsidRPr="00532FA5">
        <w:rPr>
          <w:sz w:val="24"/>
        </w:rPr>
        <w:t>you must provide with your notice of appeal a copy of the penalty notice or penalty variation notice in respect of which the appeal is brought;</w:t>
      </w:r>
    </w:p>
    <w:p w:rsidR="00532FA5" w:rsidRPr="00532FA5" w:rsidRDefault="00532FA5" w:rsidP="00532FA5">
      <w:pPr>
        <w:pStyle w:val="ListParagraph"/>
        <w:numPr>
          <w:ilvl w:val="0"/>
          <w:numId w:val="43"/>
        </w:numPr>
        <w:spacing w:line="360" w:lineRule="auto"/>
        <w:rPr>
          <w:sz w:val="24"/>
        </w:rPr>
      </w:pPr>
      <w:r w:rsidRPr="00532FA5">
        <w:rPr>
          <w:sz w:val="24"/>
        </w:rPr>
        <w:t>if you have exceeded the time limit mentioned above the notice of appeal must include a request for an extension of time and the reason why the notice of appeal was not brought within time.</w:t>
      </w:r>
    </w:p>
    <w:p w:rsidR="00495CCD" w:rsidRPr="00451176" w:rsidRDefault="00495CCD" w:rsidP="00266CF7">
      <w:pPr>
        <w:spacing w:line="360" w:lineRule="auto"/>
        <w:ind w:left="113"/>
        <w:rPr>
          <w:rFonts w:ascii="Verdana" w:hAnsi="Verdana"/>
        </w:rPr>
      </w:pPr>
    </w:p>
    <w:p w:rsidR="00757C46" w:rsidRDefault="00532FA5" w:rsidP="00484EB2">
      <w:pPr>
        <w:spacing w:line="360" w:lineRule="auto"/>
        <w:ind w:left="113"/>
        <w:rPr>
          <w:rFonts w:ascii="Verdana" w:hAnsi="Verdana"/>
        </w:rPr>
      </w:pPr>
      <w:r>
        <w:rPr>
          <w:rFonts w:ascii="Verdana" w:hAnsi="Verdana"/>
        </w:rPr>
        <w:t xml:space="preserve">You should consider taking legal advice </w:t>
      </w:r>
      <w:r w:rsidR="00DF1F3D">
        <w:rPr>
          <w:rFonts w:ascii="Verdana" w:hAnsi="Verdana"/>
        </w:rPr>
        <w:t>before commencing any appeal. At any hearing of the appeal a party may represent himself, or may be represented by any other person appointed for that purpose.</w:t>
      </w:r>
    </w:p>
    <w:p w:rsidR="00DF1F3D" w:rsidRDefault="00DF1F3D" w:rsidP="00484EB2">
      <w:pPr>
        <w:spacing w:line="360" w:lineRule="auto"/>
        <w:ind w:left="113"/>
        <w:rPr>
          <w:rFonts w:ascii="Verdana" w:hAnsi="Verdana"/>
        </w:rPr>
      </w:pPr>
    </w:p>
    <w:p w:rsidR="00DF1F3D" w:rsidRPr="00451176" w:rsidRDefault="00DF1F3D" w:rsidP="00484EB2">
      <w:pPr>
        <w:spacing w:line="360" w:lineRule="auto"/>
        <w:ind w:left="113"/>
        <w:rPr>
          <w:rFonts w:ascii="Verdana" w:hAnsi="Verdana"/>
        </w:rPr>
      </w:pPr>
      <w:r>
        <w:rPr>
          <w:rFonts w:ascii="Verdana" w:hAnsi="Verdana"/>
        </w:rPr>
        <w:t>The statutory provisions concerning appeals to the First-tier Tribunal (Information Rig</w:t>
      </w:r>
      <w:r w:rsidR="005F4389">
        <w:rPr>
          <w:rFonts w:ascii="Verdana" w:hAnsi="Verdana"/>
        </w:rPr>
        <w:t>hts) are set out in sections 162-163</w:t>
      </w:r>
      <w:r>
        <w:rPr>
          <w:rFonts w:ascii="Verdana" w:hAnsi="Verdana"/>
        </w:rPr>
        <w:t xml:space="preserve"> of the Data Protection Act 2018, and in the Tribunal Procedure (First-tier Tribunal) (General Regulatory Chamber) Rules 2009 (SI No 2009/1976) (as amended). </w:t>
      </w:r>
    </w:p>
    <w:sectPr w:rsidR="00DF1F3D" w:rsidRPr="00451176" w:rsidSect="0035257E">
      <w:headerReference w:type="default" r:id="rId10"/>
      <w:footerReference w:type="even" r:id="rId11"/>
      <w:footerReference w:type="default" r:id="rId12"/>
      <w:pgSz w:w="11906" w:h="16838"/>
      <w:pgMar w:top="1440" w:right="1247" w:bottom="1440" w:left="1247" w:header="141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0D6" w:rsidRDefault="000A40D6">
      <w:r>
        <w:separator/>
      </w:r>
    </w:p>
  </w:endnote>
  <w:endnote w:type="continuationSeparator" w:id="0">
    <w:p w:rsidR="000A40D6" w:rsidRDefault="000A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0D6" w:rsidRDefault="000A40D6" w:rsidP="001F45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40D6" w:rsidRDefault="000A40D6" w:rsidP="001F45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16215"/>
      <w:docPartObj>
        <w:docPartGallery w:val="Page Numbers (Bottom of Page)"/>
        <w:docPartUnique/>
      </w:docPartObj>
    </w:sdtPr>
    <w:sdtEndPr>
      <w:rPr>
        <w:rFonts w:ascii="Verdana" w:hAnsi="Verdana"/>
        <w:noProof/>
      </w:rPr>
    </w:sdtEndPr>
    <w:sdtContent>
      <w:p w:rsidR="000A40D6" w:rsidRDefault="000A40D6">
        <w:pPr>
          <w:pStyle w:val="Footer"/>
          <w:jc w:val="center"/>
        </w:pPr>
        <w:r w:rsidRPr="00DF1F3D">
          <w:rPr>
            <w:rFonts w:ascii="Verdana" w:hAnsi="Verdana"/>
          </w:rPr>
          <w:fldChar w:fldCharType="begin"/>
        </w:r>
        <w:r w:rsidRPr="00DF1F3D">
          <w:rPr>
            <w:rFonts w:ascii="Verdana" w:hAnsi="Verdana"/>
          </w:rPr>
          <w:instrText xml:space="preserve"> PAGE   \* MERGEFORMAT </w:instrText>
        </w:r>
        <w:r w:rsidRPr="00DF1F3D">
          <w:rPr>
            <w:rFonts w:ascii="Verdana" w:hAnsi="Verdana"/>
          </w:rPr>
          <w:fldChar w:fldCharType="separate"/>
        </w:r>
        <w:r w:rsidR="001656BC">
          <w:rPr>
            <w:rFonts w:ascii="Verdana" w:hAnsi="Verdana"/>
            <w:noProof/>
          </w:rPr>
          <w:t>1</w:t>
        </w:r>
        <w:r w:rsidRPr="00DF1F3D">
          <w:rPr>
            <w:rFonts w:ascii="Verdana" w:hAnsi="Verdana"/>
            <w:noProof/>
          </w:rPr>
          <w:fldChar w:fldCharType="end"/>
        </w:r>
      </w:p>
    </w:sdtContent>
  </w:sdt>
  <w:p w:rsidR="000A40D6" w:rsidRDefault="000A40D6" w:rsidP="001F45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0D6" w:rsidRDefault="000A40D6">
      <w:r>
        <w:separator/>
      </w:r>
    </w:p>
  </w:footnote>
  <w:footnote w:type="continuationSeparator" w:id="0">
    <w:p w:rsidR="000A40D6" w:rsidRDefault="000A4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0D6" w:rsidRPr="00915F52" w:rsidRDefault="000A40D6">
    <w:pPr>
      <w:pStyle w:val="Header"/>
      <w:rPr>
        <w:rFonts w:ascii="Verdana" w:hAnsi="Verdana" w:cs="Arial"/>
      </w:rPr>
    </w:pPr>
    <w:r w:rsidRPr="00915F52">
      <w:rPr>
        <w:rFonts w:ascii="Verdana" w:hAnsi="Verdana" w:cs="Arial"/>
      </w:rPr>
      <w:t xml:space="preserve">  </w:t>
    </w:r>
  </w:p>
  <w:p w:rsidR="000A40D6" w:rsidRDefault="000A40D6">
    <w:pPr>
      <w:pStyle w:val="Header"/>
      <w:rPr>
        <w:rFonts w:ascii="Arial" w:hAnsi="Arial" w:cs="Arial"/>
      </w:rPr>
    </w:pPr>
  </w:p>
  <w:p w:rsidR="000A40D6" w:rsidRDefault="000A40D6">
    <w:pPr>
      <w:pStyle w:val="Header"/>
      <w:rPr>
        <w:rFonts w:ascii="Arial" w:hAnsi="Arial" w:cs="Arial"/>
      </w:rPr>
    </w:pPr>
  </w:p>
  <w:p w:rsidR="000A40D6" w:rsidRPr="003E4EA3" w:rsidRDefault="000A40D6">
    <w:pPr>
      <w:pStyle w:val="Header"/>
      <w:rPr>
        <w:rFonts w:ascii="Arial" w:hAnsi="Arial" w:cs="Arial"/>
      </w:rPr>
    </w:pPr>
    <w:r w:rsidRPr="003E4EA3">
      <w:rPr>
        <w:rFonts w:ascii="Arial" w:hAnsi="Arial" w:cs="Arial"/>
      </w:rPr>
      <w:t xml:space="preserve">     </w:t>
    </w:r>
    <w:r>
      <w:rPr>
        <w:rFonts w:ascii="Arial" w:hAnsi="Arial" w:cs="Arial"/>
      </w:rPr>
      <w:t xml:space="preserve">                                                      </w:t>
    </w:r>
    <w:r w:rsidRPr="003E4EA3">
      <w:rPr>
        <w:rFonts w:ascii="Arial" w:hAnsi="Arial" w:cs="Arial"/>
      </w:rPr>
      <w:t xml:space="preserve">                                              </w:t>
    </w:r>
    <w:r>
      <w:rPr>
        <w:rFonts w:ascii="Arial" w:hAnsi="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2D8"/>
    <w:multiLevelType w:val="hybridMultilevel"/>
    <w:tmpl w:val="D2047F8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1AB37D1"/>
    <w:multiLevelType w:val="hybridMultilevel"/>
    <w:tmpl w:val="0016A442"/>
    <w:lvl w:ilvl="0" w:tplc="1B7E0D28">
      <w:start w:val="1"/>
      <w:numFmt w:val="lowerRoman"/>
      <w:lvlText w:val="(%1)"/>
      <w:lvlJc w:val="left"/>
      <w:pPr>
        <w:tabs>
          <w:tab w:val="num" w:pos="3240"/>
        </w:tabs>
        <w:ind w:left="3240" w:hanging="1080"/>
      </w:pPr>
      <w:rPr>
        <w:rFonts w:hint="default"/>
        <w:b w:val="0"/>
      </w:rPr>
    </w:lvl>
    <w:lvl w:ilvl="1" w:tplc="08090019" w:tentative="1">
      <w:start w:val="1"/>
      <w:numFmt w:val="lowerLetter"/>
      <w:lvlText w:val="%2."/>
      <w:lvlJc w:val="left"/>
      <w:pPr>
        <w:tabs>
          <w:tab w:val="num" w:pos="3240"/>
        </w:tabs>
        <w:ind w:left="3240" w:hanging="360"/>
      </w:pPr>
    </w:lvl>
    <w:lvl w:ilvl="2" w:tplc="0809001B" w:tentative="1">
      <w:start w:val="1"/>
      <w:numFmt w:val="lowerRoman"/>
      <w:lvlText w:val="%3."/>
      <w:lvlJc w:val="right"/>
      <w:pPr>
        <w:tabs>
          <w:tab w:val="num" w:pos="3960"/>
        </w:tabs>
        <w:ind w:left="3960" w:hanging="180"/>
      </w:pPr>
    </w:lvl>
    <w:lvl w:ilvl="3" w:tplc="0809000F" w:tentative="1">
      <w:start w:val="1"/>
      <w:numFmt w:val="decimal"/>
      <w:lvlText w:val="%4."/>
      <w:lvlJc w:val="left"/>
      <w:pPr>
        <w:tabs>
          <w:tab w:val="num" w:pos="4680"/>
        </w:tabs>
        <w:ind w:left="4680" w:hanging="360"/>
      </w:pPr>
    </w:lvl>
    <w:lvl w:ilvl="4" w:tplc="08090019" w:tentative="1">
      <w:start w:val="1"/>
      <w:numFmt w:val="lowerLetter"/>
      <w:lvlText w:val="%5."/>
      <w:lvlJc w:val="left"/>
      <w:pPr>
        <w:tabs>
          <w:tab w:val="num" w:pos="5400"/>
        </w:tabs>
        <w:ind w:left="5400" w:hanging="360"/>
      </w:pPr>
    </w:lvl>
    <w:lvl w:ilvl="5" w:tplc="0809001B" w:tentative="1">
      <w:start w:val="1"/>
      <w:numFmt w:val="lowerRoman"/>
      <w:lvlText w:val="%6."/>
      <w:lvlJc w:val="right"/>
      <w:pPr>
        <w:tabs>
          <w:tab w:val="num" w:pos="6120"/>
        </w:tabs>
        <w:ind w:left="6120" w:hanging="180"/>
      </w:pPr>
    </w:lvl>
    <w:lvl w:ilvl="6" w:tplc="0809000F" w:tentative="1">
      <w:start w:val="1"/>
      <w:numFmt w:val="decimal"/>
      <w:lvlText w:val="%7."/>
      <w:lvlJc w:val="left"/>
      <w:pPr>
        <w:tabs>
          <w:tab w:val="num" w:pos="6840"/>
        </w:tabs>
        <w:ind w:left="6840" w:hanging="360"/>
      </w:pPr>
    </w:lvl>
    <w:lvl w:ilvl="7" w:tplc="08090019" w:tentative="1">
      <w:start w:val="1"/>
      <w:numFmt w:val="lowerLetter"/>
      <w:lvlText w:val="%8."/>
      <w:lvlJc w:val="left"/>
      <w:pPr>
        <w:tabs>
          <w:tab w:val="num" w:pos="7560"/>
        </w:tabs>
        <w:ind w:left="7560" w:hanging="360"/>
      </w:pPr>
    </w:lvl>
    <w:lvl w:ilvl="8" w:tplc="0809001B" w:tentative="1">
      <w:start w:val="1"/>
      <w:numFmt w:val="lowerRoman"/>
      <w:lvlText w:val="%9."/>
      <w:lvlJc w:val="right"/>
      <w:pPr>
        <w:tabs>
          <w:tab w:val="num" w:pos="8280"/>
        </w:tabs>
        <w:ind w:left="8280" w:hanging="180"/>
      </w:pPr>
    </w:lvl>
  </w:abstractNum>
  <w:abstractNum w:abstractNumId="2" w15:restartNumberingAfterBreak="0">
    <w:nsid w:val="024C46A1"/>
    <w:multiLevelType w:val="hybridMultilevel"/>
    <w:tmpl w:val="2856DD90"/>
    <w:lvl w:ilvl="0" w:tplc="6082C3B2">
      <w:start w:val="9"/>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5F59AF"/>
    <w:multiLevelType w:val="hybridMultilevel"/>
    <w:tmpl w:val="C64CE1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58E5607"/>
    <w:multiLevelType w:val="hybridMultilevel"/>
    <w:tmpl w:val="4F783658"/>
    <w:lvl w:ilvl="0" w:tplc="46022A8E">
      <w:start w:val="1"/>
      <w:numFmt w:val="lowerLetter"/>
      <w:lvlText w:val="(%1)"/>
      <w:lvlJc w:val="left"/>
      <w:pPr>
        <w:ind w:left="833" w:hanging="720"/>
      </w:pPr>
      <w:rPr>
        <w:rFonts w:ascii="Verdana" w:eastAsia="Times New Roman" w:hAnsi="Verdana" w:cs="Times New Roman"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5" w15:restartNumberingAfterBreak="0">
    <w:nsid w:val="05F702AC"/>
    <w:multiLevelType w:val="hybridMultilevel"/>
    <w:tmpl w:val="0A58334C"/>
    <w:lvl w:ilvl="0" w:tplc="50C2B68A">
      <w:start w:val="8"/>
      <w:numFmt w:val="decimal"/>
      <w:lvlText w:val="%1."/>
      <w:lvlJc w:val="left"/>
      <w:pPr>
        <w:ind w:left="1080" w:hanging="360"/>
      </w:pPr>
      <w:rPr>
        <w:rFonts w:hint="default"/>
        <w:b w:val="0"/>
        <w:i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C98617B"/>
    <w:multiLevelType w:val="hybridMultilevel"/>
    <w:tmpl w:val="7F625802"/>
    <w:lvl w:ilvl="0" w:tplc="A9D011A6">
      <w:start w:val="1"/>
      <w:numFmt w:val="decimal"/>
      <w:lvlText w:val="%1."/>
      <w:lvlJc w:val="left"/>
      <w:pPr>
        <w:ind w:left="927" w:hanging="360"/>
      </w:pPr>
      <w:rPr>
        <w:rFonts w:hint="default"/>
        <w:b w:val="0"/>
        <w:i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DF21A9"/>
    <w:multiLevelType w:val="hybridMultilevel"/>
    <w:tmpl w:val="7A14DFE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F60FB5"/>
    <w:multiLevelType w:val="hybridMultilevel"/>
    <w:tmpl w:val="66FAF35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4700E6"/>
    <w:multiLevelType w:val="multilevel"/>
    <w:tmpl w:val="109EDEBC"/>
    <w:lvl w:ilvl="0">
      <w:start w:val="1"/>
      <w:numFmt w:val="decimal"/>
      <w:lvlText w:val="%1."/>
      <w:lvlJc w:val="left"/>
      <w:pPr>
        <w:ind w:left="720" w:hanging="360"/>
      </w:pPr>
      <w:rPr>
        <w:rFonts w:ascii="Verdana" w:hAnsi="Verdana" w:hint="default"/>
        <w:i w:val="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FDA2D8B"/>
    <w:multiLevelType w:val="hybridMultilevel"/>
    <w:tmpl w:val="B7E66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FE3551"/>
    <w:multiLevelType w:val="hybridMultilevel"/>
    <w:tmpl w:val="580AF04C"/>
    <w:lvl w:ilvl="0" w:tplc="08090001">
      <w:start w:val="1"/>
      <w:numFmt w:val="bullet"/>
      <w:lvlText w:val=""/>
      <w:lvlJc w:val="left"/>
      <w:pPr>
        <w:tabs>
          <w:tab w:val="num" w:pos="1473"/>
        </w:tabs>
        <w:ind w:left="1473" w:hanging="360"/>
      </w:pPr>
      <w:rPr>
        <w:rFonts w:ascii="Symbol" w:hAnsi="Symbol" w:hint="default"/>
      </w:rPr>
    </w:lvl>
    <w:lvl w:ilvl="1" w:tplc="08090003" w:tentative="1">
      <w:start w:val="1"/>
      <w:numFmt w:val="bullet"/>
      <w:lvlText w:val="o"/>
      <w:lvlJc w:val="left"/>
      <w:pPr>
        <w:tabs>
          <w:tab w:val="num" w:pos="2193"/>
        </w:tabs>
        <w:ind w:left="2193" w:hanging="360"/>
      </w:pPr>
      <w:rPr>
        <w:rFonts w:ascii="Courier New" w:hAnsi="Courier New" w:cs="Courier New" w:hint="default"/>
      </w:rPr>
    </w:lvl>
    <w:lvl w:ilvl="2" w:tplc="08090005" w:tentative="1">
      <w:start w:val="1"/>
      <w:numFmt w:val="bullet"/>
      <w:lvlText w:val=""/>
      <w:lvlJc w:val="left"/>
      <w:pPr>
        <w:tabs>
          <w:tab w:val="num" w:pos="2913"/>
        </w:tabs>
        <w:ind w:left="2913" w:hanging="360"/>
      </w:pPr>
      <w:rPr>
        <w:rFonts w:ascii="Wingdings" w:hAnsi="Wingdings" w:hint="default"/>
      </w:rPr>
    </w:lvl>
    <w:lvl w:ilvl="3" w:tplc="08090001" w:tentative="1">
      <w:start w:val="1"/>
      <w:numFmt w:val="bullet"/>
      <w:lvlText w:val=""/>
      <w:lvlJc w:val="left"/>
      <w:pPr>
        <w:tabs>
          <w:tab w:val="num" w:pos="3633"/>
        </w:tabs>
        <w:ind w:left="3633" w:hanging="360"/>
      </w:pPr>
      <w:rPr>
        <w:rFonts w:ascii="Symbol" w:hAnsi="Symbol" w:hint="default"/>
      </w:rPr>
    </w:lvl>
    <w:lvl w:ilvl="4" w:tplc="08090003" w:tentative="1">
      <w:start w:val="1"/>
      <w:numFmt w:val="bullet"/>
      <w:lvlText w:val="o"/>
      <w:lvlJc w:val="left"/>
      <w:pPr>
        <w:tabs>
          <w:tab w:val="num" w:pos="4353"/>
        </w:tabs>
        <w:ind w:left="4353" w:hanging="360"/>
      </w:pPr>
      <w:rPr>
        <w:rFonts w:ascii="Courier New" w:hAnsi="Courier New" w:cs="Courier New" w:hint="default"/>
      </w:rPr>
    </w:lvl>
    <w:lvl w:ilvl="5" w:tplc="08090005" w:tentative="1">
      <w:start w:val="1"/>
      <w:numFmt w:val="bullet"/>
      <w:lvlText w:val=""/>
      <w:lvlJc w:val="left"/>
      <w:pPr>
        <w:tabs>
          <w:tab w:val="num" w:pos="5073"/>
        </w:tabs>
        <w:ind w:left="5073" w:hanging="360"/>
      </w:pPr>
      <w:rPr>
        <w:rFonts w:ascii="Wingdings" w:hAnsi="Wingdings" w:hint="default"/>
      </w:rPr>
    </w:lvl>
    <w:lvl w:ilvl="6" w:tplc="08090001" w:tentative="1">
      <w:start w:val="1"/>
      <w:numFmt w:val="bullet"/>
      <w:lvlText w:val=""/>
      <w:lvlJc w:val="left"/>
      <w:pPr>
        <w:tabs>
          <w:tab w:val="num" w:pos="5793"/>
        </w:tabs>
        <w:ind w:left="5793" w:hanging="360"/>
      </w:pPr>
      <w:rPr>
        <w:rFonts w:ascii="Symbol" w:hAnsi="Symbol" w:hint="default"/>
      </w:rPr>
    </w:lvl>
    <w:lvl w:ilvl="7" w:tplc="08090003" w:tentative="1">
      <w:start w:val="1"/>
      <w:numFmt w:val="bullet"/>
      <w:lvlText w:val="o"/>
      <w:lvlJc w:val="left"/>
      <w:pPr>
        <w:tabs>
          <w:tab w:val="num" w:pos="6513"/>
        </w:tabs>
        <w:ind w:left="6513" w:hanging="360"/>
      </w:pPr>
      <w:rPr>
        <w:rFonts w:ascii="Courier New" w:hAnsi="Courier New" w:cs="Courier New" w:hint="default"/>
      </w:rPr>
    </w:lvl>
    <w:lvl w:ilvl="8" w:tplc="08090005" w:tentative="1">
      <w:start w:val="1"/>
      <w:numFmt w:val="bullet"/>
      <w:lvlText w:val=""/>
      <w:lvlJc w:val="left"/>
      <w:pPr>
        <w:tabs>
          <w:tab w:val="num" w:pos="7233"/>
        </w:tabs>
        <w:ind w:left="7233" w:hanging="360"/>
      </w:pPr>
      <w:rPr>
        <w:rFonts w:ascii="Wingdings" w:hAnsi="Wingdings" w:hint="default"/>
      </w:rPr>
    </w:lvl>
  </w:abstractNum>
  <w:abstractNum w:abstractNumId="12" w15:restartNumberingAfterBreak="0">
    <w:nsid w:val="2203030D"/>
    <w:multiLevelType w:val="hybridMultilevel"/>
    <w:tmpl w:val="4BAC70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3DE219C"/>
    <w:multiLevelType w:val="hybridMultilevel"/>
    <w:tmpl w:val="20D28E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ED033B"/>
    <w:multiLevelType w:val="hybridMultilevel"/>
    <w:tmpl w:val="2FAC25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817F04"/>
    <w:multiLevelType w:val="hybridMultilevel"/>
    <w:tmpl w:val="225C786A"/>
    <w:lvl w:ilvl="0" w:tplc="A9D011A6">
      <w:start w:val="1"/>
      <w:numFmt w:val="decimal"/>
      <w:lvlText w:val="%1."/>
      <w:lvlJc w:val="left"/>
      <w:pPr>
        <w:ind w:left="360" w:hanging="360"/>
      </w:pPr>
      <w:rPr>
        <w:rFonts w:hint="default"/>
        <w:b w:val="0"/>
        <w:i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EAD554B"/>
    <w:multiLevelType w:val="hybridMultilevel"/>
    <w:tmpl w:val="CC6E3D42"/>
    <w:lvl w:ilvl="0" w:tplc="70E2FD0C">
      <w:start w:val="9"/>
      <w:numFmt w:val="decimal"/>
      <w:lvlText w:val="%1."/>
      <w:lvlJc w:val="left"/>
      <w:pPr>
        <w:ind w:left="720" w:hanging="360"/>
      </w:pPr>
      <w:rPr>
        <w:rFonts w:hint="default"/>
        <w:i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4E5607"/>
    <w:multiLevelType w:val="hybridMultilevel"/>
    <w:tmpl w:val="671045D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9C02A1A"/>
    <w:multiLevelType w:val="hybridMultilevel"/>
    <w:tmpl w:val="7EAC10DA"/>
    <w:lvl w:ilvl="0" w:tplc="CEBCAFA6">
      <w:start w:val="2"/>
      <w:numFmt w:val="decimal"/>
      <w:lvlText w:val="(%1)"/>
      <w:lvlJc w:val="left"/>
      <w:pPr>
        <w:tabs>
          <w:tab w:val="num" w:pos="1374"/>
        </w:tabs>
        <w:ind w:left="1374" w:hanging="720"/>
      </w:pPr>
      <w:rPr>
        <w:rFonts w:hint="default"/>
        <w:b w:val="0"/>
      </w:rPr>
    </w:lvl>
    <w:lvl w:ilvl="1" w:tplc="08090019" w:tentative="1">
      <w:start w:val="1"/>
      <w:numFmt w:val="lowerLetter"/>
      <w:lvlText w:val="%2."/>
      <w:lvlJc w:val="left"/>
      <w:pPr>
        <w:tabs>
          <w:tab w:val="num" w:pos="1734"/>
        </w:tabs>
        <w:ind w:left="1734" w:hanging="360"/>
      </w:pPr>
    </w:lvl>
    <w:lvl w:ilvl="2" w:tplc="0809001B" w:tentative="1">
      <w:start w:val="1"/>
      <w:numFmt w:val="lowerRoman"/>
      <w:lvlText w:val="%3."/>
      <w:lvlJc w:val="right"/>
      <w:pPr>
        <w:tabs>
          <w:tab w:val="num" w:pos="2454"/>
        </w:tabs>
        <w:ind w:left="2454" w:hanging="180"/>
      </w:pPr>
    </w:lvl>
    <w:lvl w:ilvl="3" w:tplc="0809000F" w:tentative="1">
      <w:start w:val="1"/>
      <w:numFmt w:val="decimal"/>
      <w:lvlText w:val="%4."/>
      <w:lvlJc w:val="left"/>
      <w:pPr>
        <w:tabs>
          <w:tab w:val="num" w:pos="3174"/>
        </w:tabs>
        <w:ind w:left="3174" w:hanging="360"/>
      </w:pPr>
    </w:lvl>
    <w:lvl w:ilvl="4" w:tplc="08090019" w:tentative="1">
      <w:start w:val="1"/>
      <w:numFmt w:val="lowerLetter"/>
      <w:lvlText w:val="%5."/>
      <w:lvlJc w:val="left"/>
      <w:pPr>
        <w:tabs>
          <w:tab w:val="num" w:pos="3894"/>
        </w:tabs>
        <w:ind w:left="3894" w:hanging="360"/>
      </w:pPr>
    </w:lvl>
    <w:lvl w:ilvl="5" w:tplc="0809001B" w:tentative="1">
      <w:start w:val="1"/>
      <w:numFmt w:val="lowerRoman"/>
      <w:lvlText w:val="%6."/>
      <w:lvlJc w:val="right"/>
      <w:pPr>
        <w:tabs>
          <w:tab w:val="num" w:pos="4614"/>
        </w:tabs>
        <w:ind w:left="4614" w:hanging="180"/>
      </w:pPr>
    </w:lvl>
    <w:lvl w:ilvl="6" w:tplc="0809000F" w:tentative="1">
      <w:start w:val="1"/>
      <w:numFmt w:val="decimal"/>
      <w:lvlText w:val="%7."/>
      <w:lvlJc w:val="left"/>
      <w:pPr>
        <w:tabs>
          <w:tab w:val="num" w:pos="5334"/>
        </w:tabs>
        <w:ind w:left="5334" w:hanging="360"/>
      </w:pPr>
    </w:lvl>
    <w:lvl w:ilvl="7" w:tplc="08090019" w:tentative="1">
      <w:start w:val="1"/>
      <w:numFmt w:val="lowerLetter"/>
      <w:lvlText w:val="%8."/>
      <w:lvlJc w:val="left"/>
      <w:pPr>
        <w:tabs>
          <w:tab w:val="num" w:pos="6054"/>
        </w:tabs>
        <w:ind w:left="6054" w:hanging="360"/>
      </w:pPr>
    </w:lvl>
    <w:lvl w:ilvl="8" w:tplc="0809001B" w:tentative="1">
      <w:start w:val="1"/>
      <w:numFmt w:val="lowerRoman"/>
      <w:lvlText w:val="%9."/>
      <w:lvlJc w:val="right"/>
      <w:pPr>
        <w:tabs>
          <w:tab w:val="num" w:pos="6774"/>
        </w:tabs>
        <w:ind w:left="6774" w:hanging="180"/>
      </w:pPr>
    </w:lvl>
  </w:abstractNum>
  <w:abstractNum w:abstractNumId="19" w15:restartNumberingAfterBreak="0">
    <w:nsid w:val="3C6811D0"/>
    <w:multiLevelType w:val="hybridMultilevel"/>
    <w:tmpl w:val="1F7C1D34"/>
    <w:lvl w:ilvl="0" w:tplc="DF960216">
      <w:start w:val="6"/>
      <w:numFmt w:val="decimal"/>
      <w:lvlText w:val="%1."/>
      <w:lvlJc w:val="left"/>
      <w:pPr>
        <w:ind w:left="360" w:hanging="360"/>
      </w:pPr>
      <w:rPr>
        <w:rFonts w:hint="default"/>
        <w:b w:val="0"/>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5615D1"/>
    <w:multiLevelType w:val="hybridMultilevel"/>
    <w:tmpl w:val="A102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604B43"/>
    <w:multiLevelType w:val="hybridMultilevel"/>
    <w:tmpl w:val="93443D48"/>
    <w:lvl w:ilvl="0" w:tplc="B14E9C9C">
      <w:start w:val="1"/>
      <w:numFmt w:val="decimal"/>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15:restartNumberingAfterBreak="0">
    <w:nsid w:val="491E40D7"/>
    <w:multiLevelType w:val="hybridMultilevel"/>
    <w:tmpl w:val="0BEEFE4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C824942"/>
    <w:multiLevelType w:val="hybridMultilevel"/>
    <w:tmpl w:val="7F625802"/>
    <w:lvl w:ilvl="0" w:tplc="A9D011A6">
      <w:start w:val="1"/>
      <w:numFmt w:val="decimal"/>
      <w:lvlText w:val="%1."/>
      <w:lvlJc w:val="left"/>
      <w:pPr>
        <w:ind w:left="927" w:hanging="360"/>
      </w:pPr>
      <w:rPr>
        <w:rFonts w:hint="default"/>
        <w:b w:val="0"/>
        <w:i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E056937"/>
    <w:multiLevelType w:val="hybridMultilevel"/>
    <w:tmpl w:val="76E8414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FF93B60"/>
    <w:multiLevelType w:val="hybridMultilevel"/>
    <w:tmpl w:val="9534546E"/>
    <w:lvl w:ilvl="0" w:tplc="61AA24F4">
      <w:start w:val="1"/>
      <w:numFmt w:val="decimal"/>
      <w:lvlText w:val="%1."/>
      <w:lvlJc w:val="left"/>
      <w:pPr>
        <w:tabs>
          <w:tab w:val="num" w:pos="720"/>
        </w:tabs>
        <w:ind w:left="720" w:hanging="360"/>
      </w:pPr>
      <w:rPr>
        <w:rFonts w:hint="default"/>
        <w:b w:val="0"/>
      </w:rPr>
    </w:lvl>
    <w:lvl w:ilvl="1" w:tplc="22E65ADE">
      <w:start w:val="1"/>
      <w:numFmt w:val="lowerLetter"/>
      <w:lvlText w:val="(%2)"/>
      <w:lvlJc w:val="left"/>
      <w:pPr>
        <w:tabs>
          <w:tab w:val="num" w:pos="1800"/>
        </w:tabs>
        <w:ind w:left="1800" w:hanging="720"/>
      </w:pPr>
      <w:rPr>
        <w:rFonts w:hint="default"/>
        <w:b w:val="0"/>
      </w:rPr>
    </w:lvl>
    <w:lvl w:ilvl="2" w:tplc="163E9592">
      <w:start w:val="1"/>
      <w:numFmt w:val="decimal"/>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1A03AD6"/>
    <w:multiLevelType w:val="hybridMultilevel"/>
    <w:tmpl w:val="BFCC6972"/>
    <w:lvl w:ilvl="0" w:tplc="61AA24F4">
      <w:start w:val="1"/>
      <w:numFmt w:val="decimal"/>
      <w:lvlText w:val="%1."/>
      <w:lvlJc w:val="left"/>
      <w:pPr>
        <w:tabs>
          <w:tab w:val="num" w:pos="1080"/>
        </w:tabs>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7D4336A"/>
    <w:multiLevelType w:val="hybridMultilevel"/>
    <w:tmpl w:val="3222AE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9B66671"/>
    <w:multiLevelType w:val="hybridMultilevel"/>
    <w:tmpl w:val="BB924DD8"/>
    <w:lvl w:ilvl="0" w:tplc="0B40D6A2">
      <w:start w:val="1"/>
      <w:numFmt w:val="decimal"/>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9" w15:restartNumberingAfterBreak="0">
    <w:nsid w:val="5B970483"/>
    <w:multiLevelType w:val="hybridMultilevel"/>
    <w:tmpl w:val="9534546E"/>
    <w:lvl w:ilvl="0" w:tplc="61AA24F4">
      <w:start w:val="1"/>
      <w:numFmt w:val="decimal"/>
      <w:lvlText w:val="%1."/>
      <w:lvlJc w:val="left"/>
      <w:pPr>
        <w:tabs>
          <w:tab w:val="num" w:pos="720"/>
        </w:tabs>
        <w:ind w:left="720" w:hanging="360"/>
      </w:pPr>
      <w:rPr>
        <w:rFonts w:hint="default"/>
        <w:b w:val="0"/>
      </w:rPr>
    </w:lvl>
    <w:lvl w:ilvl="1" w:tplc="22E65ADE">
      <w:start w:val="1"/>
      <w:numFmt w:val="lowerLetter"/>
      <w:lvlText w:val="(%2)"/>
      <w:lvlJc w:val="left"/>
      <w:pPr>
        <w:tabs>
          <w:tab w:val="num" w:pos="1800"/>
        </w:tabs>
        <w:ind w:left="1800" w:hanging="720"/>
      </w:pPr>
      <w:rPr>
        <w:rFonts w:hint="default"/>
        <w:b w:val="0"/>
      </w:rPr>
    </w:lvl>
    <w:lvl w:ilvl="2" w:tplc="163E9592">
      <w:start w:val="1"/>
      <w:numFmt w:val="decimal"/>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0392F09"/>
    <w:multiLevelType w:val="hybridMultilevel"/>
    <w:tmpl w:val="2856DD90"/>
    <w:lvl w:ilvl="0" w:tplc="6082C3B2">
      <w:start w:val="9"/>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1170EE"/>
    <w:multiLevelType w:val="hybridMultilevel"/>
    <w:tmpl w:val="316E9130"/>
    <w:lvl w:ilvl="0" w:tplc="9F88929E">
      <w:start w:val="1"/>
      <w:numFmt w:val="decimal"/>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2" w15:restartNumberingAfterBreak="0">
    <w:nsid w:val="6A1614EB"/>
    <w:multiLevelType w:val="hybridMultilevel"/>
    <w:tmpl w:val="42345B1C"/>
    <w:lvl w:ilvl="0" w:tplc="61AA24F4">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5B4AD4"/>
    <w:multiLevelType w:val="hybridMultilevel"/>
    <w:tmpl w:val="D4369F64"/>
    <w:lvl w:ilvl="0" w:tplc="61AA24F4">
      <w:start w:val="1"/>
      <w:numFmt w:val="decimal"/>
      <w:lvlText w:val="%1."/>
      <w:lvlJc w:val="left"/>
      <w:pPr>
        <w:tabs>
          <w:tab w:val="num" w:pos="1080"/>
        </w:tabs>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F450031"/>
    <w:multiLevelType w:val="hybridMultilevel"/>
    <w:tmpl w:val="CCFA4498"/>
    <w:lvl w:ilvl="0" w:tplc="F1CA6138">
      <w:start w:val="1"/>
      <w:numFmt w:val="decimal"/>
      <w:lvlText w:val="%1."/>
      <w:lvlJc w:val="left"/>
      <w:pPr>
        <w:tabs>
          <w:tab w:val="num" w:pos="720"/>
        </w:tabs>
        <w:ind w:left="720" w:hanging="360"/>
      </w:pPr>
      <w:rPr>
        <w:rFonts w:hint="default"/>
        <w:b w:val="0"/>
        <w:i w:val="0"/>
      </w:rPr>
    </w:lvl>
    <w:lvl w:ilvl="1" w:tplc="22E65ADE">
      <w:start w:val="1"/>
      <w:numFmt w:val="lowerLetter"/>
      <w:lvlText w:val="(%2)"/>
      <w:lvlJc w:val="left"/>
      <w:pPr>
        <w:tabs>
          <w:tab w:val="num" w:pos="1800"/>
        </w:tabs>
        <w:ind w:left="1800" w:hanging="720"/>
      </w:pPr>
      <w:rPr>
        <w:rFonts w:hint="default"/>
        <w:b w:val="0"/>
      </w:rPr>
    </w:lvl>
    <w:lvl w:ilvl="2" w:tplc="163E9592">
      <w:start w:val="1"/>
      <w:numFmt w:val="decimal"/>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1813D56"/>
    <w:multiLevelType w:val="hybridMultilevel"/>
    <w:tmpl w:val="B38A3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48262B1"/>
    <w:multiLevelType w:val="hybridMultilevel"/>
    <w:tmpl w:val="A5E616DC"/>
    <w:lvl w:ilvl="0" w:tplc="E5D263A2">
      <w:start w:val="1"/>
      <w:numFmt w:val="lowerLetter"/>
      <w:lvlText w:val="(%1)"/>
      <w:lvlJc w:val="left"/>
      <w:pPr>
        <w:ind w:left="833" w:hanging="72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7" w15:restartNumberingAfterBreak="0">
    <w:nsid w:val="78396DD0"/>
    <w:multiLevelType w:val="multilevel"/>
    <w:tmpl w:val="0C1872E6"/>
    <w:lvl w:ilvl="0">
      <w:start w:val="1"/>
      <w:numFmt w:val="bullet"/>
      <w:lvlText w:val=""/>
      <w:lvlJc w:val="left"/>
      <w:pPr>
        <w:ind w:left="720" w:hanging="360"/>
      </w:pPr>
      <w:rPr>
        <w:rFonts w:ascii="Symbol" w:hAnsi="Symbol" w:hint="default"/>
        <w:i w:val="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CC78DB"/>
    <w:multiLevelType w:val="hybridMultilevel"/>
    <w:tmpl w:val="2856DD90"/>
    <w:lvl w:ilvl="0" w:tplc="6082C3B2">
      <w:start w:val="9"/>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A01290"/>
    <w:multiLevelType w:val="hybridMultilevel"/>
    <w:tmpl w:val="BF34D338"/>
    <w:lvl w:ilvl="0" w:tplc="E3E0BE80">
      <w:start w:val="1"/>
      <w:numFmt w:val="decimal"/>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7AAC5C39"/>
    <w:multiLevelType w:val="hybridMultilevel"/>
    <w:tmpl w:val="951CC74C"/>
    <w:lvl w:ilvl="0" w:tplc="08E47374">
      <w:start w:val="1"/>
      <w:numFmt w:val="decimal"/>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1" w15:restartNumberingAfterBreak="0">
    <w:nsid w:val="7FF935D2"/>
    <w:multiLevelType w:val="hybridMultilevel"/>
    <w:tmpl w:val="E1588D3C"/>
    <w:lvl w:ilvl="0" w:tplc="3ABCAE9A">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4"/>
  </w:num>
  <w:num w:numId="2">
    <w:abstractNumId w:val="18"/>
  </w:num>
  <w:num w:numId="3">
    <w:abstractNumId w:val="1"/>
  </w:num>
  <w:num w:numId="4">
    <w:abstractNumId w:val="17"/>
  </w:num>
  <w:num w:numId="5">
    <w:abstractNumId w:val="11"/>
  </w:num>
  <w:num w:numId="6">
    <w:abstractNumId w:val="14"/>
  </w:num>
  <w:num w:numId="7">
    <w:abstractNumId w:val="24"/>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0"/>
  </w:num>
  <w:num w:numId="11">
    <w:abstractNumId w:val="35"/>
  </w:num>
  <w:num w:numId="12">
    <w:abstractNumId w:val="13"/>
  </w:num>
  <w:num w:numId="13">
    <w:abstractNumId w:val="25"/>
  </w:num>
  <w:num w:numId="14">
    <w:abstractNumId w:val="29"/>
  </w:num>
  <w:num w:numId="15">
    <w:abstractNumId w:val="32"/>
  </w:num>
  <w:num w:numId="16">
    <w:abstractNumId w:val="33"/>
  </w:num>
  <w:num w:numId="17">
    <w:abstractNumId w:val="26"/>
  </w:num>
  <w:num w:numId="18">
    <w:abstractNumId w:val="3"/>
  </w:num>
  <w:num w:numId="19">
    <w:abstractNumId w:val="12"/>
  </w:num>
  <w:num w:numId="20">
    <w:abstractNumId w:val="27"/>
  </w:num>
  <w:num w:numId="21">
    <w:abstractNumId w:val="15"/>
  </w:num>
  <w:num w:numId="22">
    <w:abstractNumId w:val="41"/>
  </w:num>
  <w:num w:numId="23">
    <w:abstractNumId w:val="5"/>
  </w:num>
  <w:num w:numId="24">
    <w:abstractNumId w:val="9"/>
  </w:num>
  <w:num w:numId="25">
    <w:abstractNumId w:val="20"/>
  </w:num>
  <w:num w:numId="26">
    <w:abstractNumId w:val="37"/>
  </w:num>
  <w:num w:numId="27">
    <w:abstractNumId w:val="6"/>
  </w:num>
  <w:num w:numId="28">
    <w:abstractNumId w:val="23"/>
  </w:num>
  <w:num w:numId="29">
    <w:abstractNumId w:val="7"/>
  </w:num>
  <w:num w:numId="30">
    <w:abstractNumId w:val="16"/>
  </w:num>
  <w:num w:numId="31">
    <w:abstractNumId w:val="22"/>
  </w:num>
  <w:num w:numId="32">
    <w:abstractNumId w:val="0"/>
  </w:num>
  <w:num w:numId="33">
    <w:abstractNumId w:val="2"/>
  </w:num>
  <w:num w:numId="34">
    <w:abstractNumId w:val="30"/>
  </w:num>
  <w:num w:numId="35">
    <w:abstractNumId w:val="38"/>
  </w:num>
  <w:num w:numId="36">
    <w:abstractNumId w:val="19"/>
  </w:num>
  <w:num w:numId="37">
    <w:abstractNumId w:val="21"/>
  </w:num>
  <w:num w:numId="38">
    <w:abstractNumId w:val="40"/>
  </w:num>
  <w:num w:numId="39">
    <w:abstractNumId w:val="31"/>
  </w:num>
  <w:num w:numId="40">
    <w:abstractNumId w:val="39"/>
  </w:num>
  <w:num w:numId="41">
    <w:abstractNumId w:val="28"/>
  </w:num>
  <w:num w:numId="42">
    <w:abstractNumId w:val="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2"/>
  </w:compat>
  <w:rsids>
    <w:rsidRoot w:val="00634278"/>
    <w:rsid w:val="00003BD2"/>
    <w:rsid w:val="00003D62"/>
    <w:rsid w:val="00004938"/>
    <w:rsid w:val="0000540A"/>
    <w:rsid w:val="000056DD"/>
    <w:rsid w:val="00006845"/>
    <w:rsid w:val="00011535"/>
    <w:rsid w:val="00017333"/>
    <w:rsid w:val="000211B0"/>
    <w:rsid w:val="000318A5"/>
    <w:rsid w:val="00032A3C"/>
    <w:rsid w:val="00034081"/>
    <w:rsid w:val="00037999"/>
    <w:rsid w:val="00042E05"/>
    <w:rsid w:val="00043F4B"/>
    <w:rsid w:val="0004496E"/>
    <w:rsid w:val="00045412"/>
    <w:rsid w:val="0005127C"/>
    <w:rsid w:val="0005260E"/>
    <w:rsid w:val="000675CE"/>
    <w:rsid w:val="0007069B"/>
    <w:rsid w:val="00073851"/>
    <w:rsid w:val="00077232"/>
    <w:rsid w:val="00081D1F"/>
    <w:rsid w:val="0008609B"/>
    <w:rsid w:val="000A3D78"/>
    <w:rsid w:val="000A40D6"/>
    <w:rsid w:val="000A7415"/>
    <w:rsid w:val="000A78D9"/>
    <w:rsid w:val="000A7943"/>
    <w:rsid w:val="000B4811"/>
    <w:rsid w:val="000C311E"/>
    <w:rsid w:val="000C33AF"/>
    <w:rsid w:val="000C3A32"/>
    <w:rsid w:val="000C47E6"/>
    <w:rsid w:val="000C780A"/>
    <w:rsid w:val="000C7C4A"/>
    <w:rsid w:val="000D006E"/>
    <w:rsid w:val="000D0BF6"/>
    <w:rsid w:val="000D651E"/>
    <w:rsid w:val="000E6074"/>
    <w:rsid w:val="000F47F9"/>
    <w:rsid w:val="000F5EB4"/>
    <w:rsid w:val="00101A09"/>
    <w:rsid w:val="00105055"/>
    <w:rsid w:val="001113DE"/>
    <w:rsid w:val="001118B4"/>
    <w:rsid w:val="001138E1"/>
    <w:rsid w:val="0011498D"/>
    <w:rsid w:val="001234CD"/>
    <w:rsid w:val="001238A0"/>
    <w:rsid w:val="00127615"/>
    <w:rsid w:val="00132120"/>
    <w:rsid w:val="0013620F"/>
    <w:rsid w:val="00144559"/>
    <w:rsid w:val="001457B2"/>
    <w:rsid w:val="00147D4D"/>
    <w:rsid w:val="00150322"/>
    <w:rsid w:val="00152307"/>
    <w:rsid w:val="001642A4"/>
    <w:rsid w:val="001656BC"/>
    <w:rsid w:val="0016579D"/>
    <w:rsid w:val="001706BF"/>
    <w:rsid w:val="00170FA1"/>
    <w:rsid w:val="00171117"/>
    <w:rsid w:val="00173B46"/>
    <w:rsid w:val="0018175F"/>
    <w:rsid w:val="00182977"/>
    <w:rsid w:val="001917EC"/>
    <w:rsid w:val="00194DE9"/>
    <w:rsid w:val="001A0184"/>
    <w:rsid w:val="001A3D34"/>
    <w:rsid w:val="001A48EA"/>
    <w:rsid w:val="001A4C32"/>
    <w:rsid w:val="001A6E22"/>
    <w:rsid w:val="001B058C"/>
    <w:rsid w:val="001B19E9"/>
    <w:rsid w:val="001B56C8"/>
    <w:rsid w:val="001C09B1"/>
    <w:rsid w:val="001C0DA6"/>
    <w:rsid w:val="001C1958"/>
    <w:rsid w:val="001C1F55"/>
    <w:rsid w:val="001D13BD"/>
    <w:rsid w:val="001D2484"/>
    <w:rsid w:val="001D3255"/>
    <w:rsid w:val="001D4D89"/>
    <w:rsid w:val="001D59DD"/>
    <w:rsid w:val="001E14EC"/>
    <w:rsid w:val="001E3EFE"/>
    <w:rsid w:val="001F1B86"/>
    <w:rsid w:val="001F4570"/>
    <w:rsid w:val="001F5EA8"/>
    <w:rsid w:val="001F67EA"/>
    <w:rsid w:val="00203B30"/>
    <w:rsid w:val="00204F3B"/>
    <w:rsid w:val="0020536C"/>
    <w:rsid w:val="00210CB0"/>
    <w:rsid w:val="00211FC3"/>
    <w:rsid w:val="002165EE"/>
    <w:rsid w:val="0022434A"/>
    <w:rsid w:val="00227398"/>
    <w:rsid w:val="00234F62"/>
    <w:rsid w:val="00241DA3"/>
    <w:rsid w:val="0024473C"/>
    <w:rsid w:val="002552F7"/>
    <w:rsid w:val="00260C68"/>
    <w:rsid w:val="00262647"/>
    <w:rsid w:val="00265533"/>
    <w:rsid w:val="00266CF7"/>
    <w:rsid w:val="00270343"/>
    <w:rsid w:val="002759FA"/>
    <w:rsid w:val="0027614B"/>
    <w:rsid w:val="00282ED9"/>
    <w:rsid w:val="00283570"/>
    <w:rsid w:val="002909FD"/>
    <w:rsid w:val="0029146B"/>
    <w:rsid w:val="002A0B58"/>
    <w:rsid w:val="002A5A13"/>
    <w:rsid w:val="002B1CA6"/>
    <w:rsid w:val="002D41F0"/>
    <w:rsid w:val="002D65DC"/>
    <w:rsid w:val="002E0037"/>
    <w:rsid w:val="002E0B03"/>
    <w:rsid w:val="002E12F5"/>
    <w:rsid w:val="002E2501"/>
    <w:rsid w:val="002F2872"/>
    <w:rsid w:val="002F2AA2"/>
    <w:rsid w:val="002F3F66"/>
    <w:rsid w:val="002F7A01"/>
    <w:rsid w:val="0030006C"/>
    <w:rsid w:val="003077B8"/>
    <w:rsid w:val="00311DD1"/>
    <w:rsid w:val="00311EEF"/>
    <w:rsid w:val="003132F2"/>
    <w:rsid w:val="00316FDB"/>
    <w:rsid w:val="00322F36"/>
    <w:rsid w:val="00337531"/>
    <w:rsid w:val="00341FE9"/>
    <w:rsid w:val="003447B0"/>
    <w:rsid w:val="003452E2"/>
    <w:rsid w:val="0034624F"/>
    <w:rsid w:val="0035257E"/>
    <w:rsid w:val="00355453"/>
    <w:rsid w:val="00372D02"/>
    <w:rsid w:val="003730A7"/>
    <w:rsid w:val="00375E43"/>
    <w:rsid w:val="00381587"/>
    <w:rsid w:val="0038283C"/>
    <w:rsid w:val="0039382E"/>
    <w:rsid w:val="003A0196"/>
    <w:rsid w:val="003A0D58"/>
    <w:rsid w:val="003A1B25"/>
    <w:rsid w:val="003B272E"/>
    <w:rsid w:val="003B729D"/>
    <w:rsid w:val="003B76B8"/>
    <w:rsid w:val="003C0EF6"/>
    <w:rsid w:val="003C1D7E"/>
    <w:rsid w:val="003C7A49"/>
    <w:rsid w:val="003C7F41"/>
    <w:rsid w:val="003D13F7"/>
    <w:rsid w:val="003D1EBA"/>
    <w:rsid w:val="003D7FCC"/>
    <w:rsid w:val="003E0BAD"/>
    <w:rsid w:val="003E758F"/>
    <w:rsid w:val="003E7D5C"/>
    <w:rsid w:val="003F146D"/>
    <w:rsid w:val="0040073B"/>
    <w:rsid w:val="00400C18"/>
    <w:rsid w:val="0040189A"/>
    <w:rsid w:val="00405446"/>
    <w:rsid w:val="004058F1"/>
    <w:rsid w:val="004179EC"/>
    <w:rsid w:val="0042718B"/>
    <w:rsid w:val="00430E71"/>
    <w:rsid w:val="00433FD2"/>
    <w:rsid w:val="00444EBB"/>
    <w:rsid w:val="00450D01"/>
    <w:rsid w:val="00451084"/>
    <w:rsid w:val="00451176"/>
    <w:rsid w:val="00451A5C"/>
    <w:rsid w:val="00452C9F"/>
    <w:rsid w:val="00457449"/>
    <w:rsid w:val="004641F5"/>
    <w:rsid w:val="004649D4"/>
    <w:rsid w:val="00466717"/>
    <w:rsid w:val="0047109E"/>
    <w:rsid w:val="00477BAE"/>
    <w:rsid w:val="004824BC"/>
    <w:rsid w:val="00484EB2"/>
    <w:rsid w:val="00485CC6"/>
    <w:rsid w:val="00491487"/>
    <w:rsid w:val="00495CCD"/>
    <w:rsid w:val="004979F5"/>
    <w:rsid w:val="00497D65"/>
    <w:rsid w:val="004B09D8"/>
    <w:rsid w:val="004B5981"/>
    <w:rsid w:val="004B5CCA"/>
    <w:rsid w:val="004B7532"/>
    <w:rsid w:val="004C1586"/>
    <w:rsid w:val="004C505E"/>
    <w:rsid w:val="004D4352"/>
    <w:rsid w:val="004D4A03"/>
    <w:rsid w:val="004D570B"/>
    <w:rsid w:val="004D6B09"/>
    <w:rsid w:val="004E03A7"/>
    <w:rsid w:val="004E062A"/>
    <w:rsid w:val="004E20EB"/>
    <w:rsid w:val="004E4B2C"/>
    <w:rsid w:val="004F166F"/>
    <w:rsid w:val="004F6BA4"/>
    <w:rsid w:val="0050151B"/>
    <w:rsid w:val="0050488B"/>
    <w:rsid w:val="00514128"/>
    <w:rsid w:val="00521C0E"/>
    <w:rsid w:val="005247A2"/>
    <w:rsid w:val="00526D8F"/>
    <w:rsid w:val="00531689"/>
    <w:rsid w:val="00532342"/>
    <w:rsid w:val="00532FA5"/>
    <w:rsid w:val="0053701A"/>
    <w:rsid w:val="005405A7"/>
    <w:rsid w:val="0054367B"/>
    <w:rsid w:val="00544CAE"/>
    <w:rsid w:val="005543E8"/>
    <w:rsid w:val="0058142E"/>
    <w:rsid w:val="00583AAF"/>
    <w:rsid w:val="00591FFD"/>
    <w:rsid w:val="00597775"/>
    <w:rsid w:val="005A28D7"/>
    <w:rsid w:val="005A2E10"/>
    <w:rsid w:val="005B432A"/>
    <w:rsid w:val="005B4374"/>
    <w:rsid w:val="005B6CB7"/>
    <w:rsid w:val="005C2010"/>
    <w:rsid w:val="005E6998"/>
    <w:rsid w:val="005E6EAA"/>
    <w:rsid w:val="005F3624"/>
    <w:rsid w:val="005F420C"/>
    <w:rsid w:val="005F4389"/>
    <w:rsid w:val="0060523A"/>
    <w:rsid w:val="00606788"/>
    <w:rsid w:val="00607643"/>
    <w:rsid w:val="00614DDD"/>
    <w:rsid w:val="00620564"/>
    <w:rsid w:val="00620E1E"/>
    <w:rsid w:val="0062177A"/>
    <w:rsid w:val="0062454C"/>
    <w:rsid w:val="00630D7E"/>
    <w:rsid w:val="0063122B"/>
    <w:rsid w:val="00633B9E"/>
    <w:rsid w:val="00634278"/>
    <w:rsid w:val="0064562D"/>
    <w:rsid w:val="00645D81"/>
    <w:rsid w:val="006503D1"/>
    <w:rsid w:val="00661863"/>
    <w:rsid w:val="00674AA9"/>
    <w:rsid w:val="00676A08"/>
    <w:rsid w:val="00676D50"/>
    <w:rsid w:val="0067780F"/>
    <w:rsid w:val="00680609"/>
    <w:rsid w:val="00695584"/>
    <w:rsid w:val="006968D6"/>
    <w:rsid w:val="00697C79"/>
    <w:rsid w:val="00697FA5"/>
    <w:rsid w:val="006A2CE1"/>
    <w:rsid w:val="006A5BD6"/>
    <w:rsid w:val="006A7363"/>
    <w:rsid w:val="006B7960"/>
    <w:rsid w:val="006C36C3"/>
    <w:rsid w:val="006D4A93"/>
    <w:rsid w:val="006D4F63"/>
    <w:rsid w:val="006D694B"/>
    <w:rsid w:val="006D6FC4"/>
    <w:rsid w:val="006D73B2"/>
    <w:rsid w:val="006E7E75"/>
    <w:rsid w:val="006F05F2"/>
    <w:rsid w:val="006F1D98"/>
    <w:rsid w:val="006F45C1"/>
    <w:rsid w:val="006F7B25"/>
    <w:rsid w:val="00701132"/>
    <w:rsid w:val="007013B0"/>
    <w:rsid w:val="00707568"/>
    <w:rsid w:val="00710DA1"/>
    <w:rsid w:val="00713E56"/>
    <w:rsid w:val="00715469"/>
    <w:rsid w:val="0072241F"/>
    <w:rsid w:val="007244EB"/>
    <w:rsid w:val="0072639E"/>
    <w:rsid w:val="00727F9B"/>
    <w:rsid w:val="00731336"/>
    <w:rsid w:val="00746658"/>
    <w:rsid w:val="00746B18"/>
    <w:rsid w:val="00750679"/>
    <w:rsid w:val="007508D0"/>
    <w:rsid w:val="00752D79"/>
    <w:rsid w:val="00752ED3"/>
    <w:rsid w:val="00754801"/>
    <w:rsid w:val="00757C46"/>
    <w:rsid w:val="00760132"/>
    <w:rsid w:val="00763C04"/>
    <w:rsid w:val="00765C57"/>
    <w:rsid w:val="0077085A"/>
    <w:rsid w:val="00770D99"/>
    <w:rsid w:val="00775E1D"/>
    <w:rsid w:val="007905F4"/>
    <w:rsid w:val="0079450C"/>
    <w:rsid w:val="00795E24"/>
    <w:rsid w:val="00797876"/>
    <w:rsid w:val="00797EE5"/>
    <w:rsid w:val="007B178B"/>
    <w:rsid w:val="007B25ED"/>
    <w:rsid w:val="007C1232"/>
    <w:rsid w:val="007C5147"/>
    <w:rsid w:val="007C77D0"/>
    <w:rsid w:val="007C7BAE"/>
    <w:rsid w:val="007C7CD9"/>
    <w:rsid w:val="007D1A5B"/>
    <w:rsid w:val="007E1919"/>
    <w:rsid w:val="007F2436"/>
    <w:rsid w:val="007F56B5"/>
    <w:rsid w:val="008158C9"/>
    <w:rsid w:val="00816E95"/>
    <w:rsid w:val="00821592"/>
    <w:rsid w:val="00823351"/>
    <w:rsid w:val="0082399C"/>
    <w:rsid w:val="00825F22"/>
    <w:rsid w:val="00834306"/>
    <w:rsid w:val="00835701"/>
    <w:rsid w:val="0083784F"/>
    <w:rsid w:val="00837C71"/>
    <w:rsid w:val="00840BAE"/>
    <w:rsid w:val="008426B7"/>
    <w:rsid w:val="00845CD9"/>
    <w:rsid w:val="008465D0"/>
    <w:rsid w:val="00850264"/>
    <w:rsid w:val="00856BCA"/>
    <w:rsid w:val="00857429"/>
    <w:rsid w:val="00870A3B"/>
    <w:rsid w:val="00871541"/>
    <w:rsid w:val="00882A2F"/>
    <w:rsid w:val="00884361"/>
    <w:rsid w:val="00884CC7"/>
    <w:rsid w:val="008A0941"/>
    <w:rsid w:val="008A6109"/>
    <w:rsid w:val="008B0419"/>
    <w:rsid w:val="008B7F28"/>
    <w:rsid w:val="008C07F1"/>
    <w:rsid w:val="008C4A6B"/>
    <w:rsid w:val="008C50A1"/>
    <w:rsid w:val="008C603E"/>
    <w:rsid w:val="008D1FD7"/>
    <w:rsid w:val="008D58F7"/>
    <w:rsid w:val="009001B5"/>
    <w:rsid w:val="00901FBF"/>
    <w:rsid w:val="0090286A"/>
    <w:rsid w:val="00902BF8"/>
    <w:rsid w:val="009051F5"/>
    <w:rsid w:val="00905BEA"/>
    <w:rsid w:val="009070DA"/>
    <w:rsid w:val="00914431"/>
    <w:rsid w:val="00924471"/>
    <w:rsid w:val="00927918"/>
    <w:rsid w:val="00927F04"/>
    <w:rsid w:val="00927FBE"/>
    <w:rsid w:val="00935620"/>
    <w:rsid w:val="00936554"/>
    <w:rsid w:val="009369F6"/>
    <w:rsid w:val="00941451"/>
    <w:rsid w:val="00943744"/>
    <w:rsid w:val="00945600"/>
    <w:rsid w:val="00946398"/>
    <w:rsid w:val="009466E5"/>
    <w:rsid w:val="009469D7"/>
    <w:rsid w:val="00947356"/>
    <w:rsid w:val="0096260D"/>
    <w:rsid w:val="00967D09"/>
    <w:rsid w:val="00972858"/>
    <w:rsid w:val="009744F0"/>
    <w:rsid w:val="009774B7"/>
    <w:rsid w:val="00984656"/>
    <w:rsid w:val="00985744"/>
    <w:rsid w:val="009A1B10"/>
    <w:rsid w:val="009A1E88"/>
    <w:rsid w:val="009A3763"/>
    <w:rsid w:val="009B03A2"/>
    <w:rsid w:val="009B2ADA"/>
    <w:rsid w:val="009B3141"/>
    <w:rsid w:val="009B39AF"/>
    <w:rsid w:val="009B42DC"/>
    <w:rsid w:val="009B6CA3"/>
    <w:rsid w:val="009C2C23"/>
    <w:rsid w:val="009C6818"/>
    <w:rsid w:val="009C7497"/>
    <w:rsid w:val="009E222C"/>
    <w:rsid w:val="009E3184"/>
    <w:rsid w:val="009F5693"/>
    <w:rsid w:val="009F5DBF"/>
    <w:rsid w:val="009F5FA1"/>
    <w:rsid w:val="00A138D5"/>
    <w:rsid w:val="00A16594"/>
    <w:rsid w:val="00A20D1E"/>
    <w:rsid w:val="00A22FF1"/>
    <w:rsid w:val="00A24538"/>
    <w:rsid w:val="00A2549B"/>
    <w:rsid w:val="00A27542"/>
    <w:rsid w:val="00A300C7"/>
    <w:rsid w:val="00A36B7D"/>
    <w:rsid w:val="00A37941"/>
    <w:rsid w:val="00A422DA"/>
    <w:rsid w:val="00A509ED"/>
    <w:rsid w:val="00A7260C"/>
    <w:rsid w:val="00A72A4E"/>
    <w:rsid w:val="00A774EB"/>
    <w:rsid w:val="00A86072"/>
    <w:rsid w:val="00A87633"/>
    <w:rsid w:val="00A91B2B"/>
    <w:rsid w:val="00A92701"/>
    <w:rsid w:val="00AA0913"/>
    <w:rsid w:val="00AB1E1D"/>
    <w:rsid w:val="00AB2057"/>
    <w:rsid w:val="00AD0465"/>
    <w:rsid w:val="00AD27E9"/>
    <w:rsid w:val="00AE1E69"/>
    <w:rsid w:val="00AE4C23"/>
    <w:rsid w:val="00B05428"/>
    <w:rsid w:val="00B0572C"/>
    <w:rsid w:val="00B05CD3"/>
    <w:rsid w:val="00B07E57"/>
    <w:rsid w:val="00B11E1B"/>
    <w:rsid w:val="00B20A9E"/>
    <w:rsid w:val="00B37A53"/>
    <w:rsid w:val="00B37D11"/>
    <w:rsid w:val="00B401EF"/>
    <w:rsid w:val="00B41ACF"/>
    <w:rsid w:val="00B4498F"/>
    <w:rsid w:val="00B4608A"/>
    <w:rsid w:val="00B52B3D"/>
    <w:rsid w:val="00B5656D"/>
    <w:rsid w:val="00B618C4"/>
    <w:rsid w:val="00B62A4C"/>
    <w:rsid w:val="00B63FC5"/>
    <w:rsid w:val="00B71E25"/>
    <w:rsid w:val="00B8061C"/>
    <w:rsid w:val="00B80A00"/>
    <w:rsid w:val="00B82EBF"/>
    <w:rsid w:val="00B84DAF"/>
    <w:rsid w:val="00B9684A"/>
    <w:rsid w:val="00BA2584"/>
    <w:rsid w:val="00BA451D"/>
    <w:rsid w:val="00BB1656"/>
    <w:rsid w:val="00BB768D"/>
    <w:rsid w:val="00BB7D63"/>
    <w:rsid w:val="00BC49EE"/>
    <w:rsid w:val="00BC5DED"/>
    <w:rsid w:val="00BE4C02"/>
    <w:rsid w:val="00BF48CA"/>
    <w:rsid w:val="00BF7B33"/>
    <w:rsid w:val="00C00CDE"/>
    <w:rsid w:val="00C04E46"/>
    <w:rsid w:val="00C16A77"/>
    <w:rsid w:val="00C17983"/>
    <w:rsid w:val="00C24FA6"/>
    <w:rsid w:val="00C254F3"/>
    <w:rsid w:val="00C303B1"/>
    <w:rsid w:val="00C31546"/>
    <w:rsid w:val="00C40802"/>
    <w:rsid w:val="00C410CA"/>
    <w:rsid w:val="00C41DDA"/>
    <w:rsid w:val="00C43DF4"/>
    <w:rsid w:val="00C4516A"/>
    <w:rsid w:val="00C4582B"/>
    <w:rsid w:val="00C5445B"/>
    <w:rsid w:val="00C54894"/>
    <w:rsid w:val="00C62C2E"/>
    <w:rsid w:val="00C62E86"/>
    <w:rsid w:val="00C6424B"/>
    <w:rsid w:val="00C67A4B"/>
    <w:rsid w:val="00C75583"/>
    <w:rsid w:val="00C8029F"/>
    <w:rsid w:val="00C820FD"/>
    <w:rsid w:val="00C839B8"/>
    <w:rsid w:val="00C85432"/>
    <w:rsid w:val="00C90627"/>
    <w:rsid w:val="00C93713"/>
    <w:rsid w:val="00C97B64"/>
    <w:rsid w:val="00CA5C62"/>
    <w:rsid w:val="00CA6A35"/>
    <w:rsid w:val="00CA6CCA"/>
    <w:rsid w:val="00CA7323"/>
    <w:rsid w:val="00CB5288"/>
    <w:rsid w:val="00CB7D08"/>
    <w:rsid w:val="00CE0596"/>
    <w:rsid w:val="00CE35A6"/>
    <w:rsid w:val="00CE3835"/>
    <w:rsid w:val="00CE4BBF"/>
    <w:rsid w:val="00CF0FBE"/>
    <w:rsid w:val="00CF15EB"/>
    <w:rsid w:val="00D00D7D"/>
    <w:rsid w:val="00D12FB4"/>
    <w:rsid w:val="00D1697D"/>
    <w:rsid w:val="00D17470"/>
    <w:rsid w:val="00D202AE"/>
    <w:rsid w:val="00D24EDB"/>
    <w:rsid w:val="00D27C16"/>
    <w:rsid w:val="00D27C8E"/>
    <w:rsid w:val="00D32424"/>
    <w:rsid w:val="00D33C28"/>
    <w:rsid w:val="00D3453A"/>
    <w:rsid w:val="00D37472"/>
    <w:rsid w:val="00D37CB5"/>
    <w:rsid w:val="00D41249"/>
    <w:rsid w:val="00D53854"/>
    <w:rsid w:val="00D54324"/>
    <w:rsid w:val="00D57604"/>
    <w:rsid w:val="00D62531"/>
    <w:rsid w:val="00D626B3"/>
    <w:rsid w:val="00D73C6A"/>
    <w:rsid w:val="00D806E9"/>
    <w:rsid w:val="00D83214"/>
    <w:rsid w:val="00D8518E"/>
    <w:rsid w:val="00D85684"/>
    <w:rsid w:val="00D873D9"/>
    <w:rsid w:val="00D948B9"/>
    <w:rsid w:val="00DB1339"/>
    <w:rsid w:val="00DB2162"/>
    <w:rsid w:val="00DB7EF1"/>
    <w:rsid w:val="00DC244C"/>
    <w:rsid w:val="00DC4A3A"/>
    <w:rsid w:val="00DD073C"/>
    <w:rsid w:val="00DD29F6"/>
    <w:rsid w:val="00DE104B"/>
    <w:rsid w:val="00DE1574"/>
    <w:rsid w:val="00DE1B2D"/>
    <w:rsid w:val="00DE402A"/>
    <w:rsid w:val="00DF1F3D"/>
    <w:rsid w:val="00DF34A7"/>
    <w:rsid w:val="00DF5CE8"/>
    <w:rsid w:val="00E01A63"/>
    <w:rsid w:val="00E02596"/>
    <w:rsid w:val="00E03E2B"/>
    <w:rsid w:val="00E20E5B"/>
    <w:rsid w:val="00E21626"/>
    <w:rsid w:val="00E32C7B"/>
    <w:rsid w:val="00E3653A"/>
    <w:rsid w:val="00E44F96"/>
    <w:rsid w:val="00E52630"/>
    <w:rsid w:val="00E55BEC"/>
    <w:rsid w:val="00E57949"/>
    <w:rsid w:val="00E609C7"/>
    <w:rsid w:val="00E622B3"/>
    <w:rsid w:val="00E62FDD"/>
    <w:rsid w:val="00E641E3"/>
    <w:rsid w:val="00E671A4"/>
    <w:rsid w:val="00E73E47"/>
    <w:rsid w:val="00E77E0A"/>
    <w:rsid w:val="00E83058"/>
    <w:rsid w:val="00E8505E"/>
    <w:rsid w:val="00E867C1"/>
    <w:rsid w:val="00E90035"/>
    <w:rsid w:val="00E934C0"/>
    <w:rsid w:val="00E93C52"/>
    <w:rsid w:val="00EA0A26"/>
    <w:rsid w:val="00EA101D"/>
    <w:rsid w:val="00EA45C3"/>
    <w:rsid w:val="00EB23C8"/>
    <w:rsid w:val="00EB695D"/>
    <w:rsid w:val="00EC35E1"/>
    <w:rsid w:val="00ED0A96"/>
    <w:rsid w:val="00ED6950"/>
    <w:rsid w:val="00EE3725"/>
    <w:rsid w:val="00EE4A87"/>
    <w:rsid w:val="00EE5020"/>
    <w:rsid w:val="00EE7F82"/>
    <w:rsid w:val="00EF14F8"/>
    <w:rsid w:val="00F01335"/>
    <w:rsid w:val="00F01F86"/>
    <w:rsid w:val="00F038C6"/>
    <w:rsid w:val="00F03EC1"/>
    <w:rsid w:val="00F04B37"/>
    <w:rsid w:val="00F07A2E"/>
    <w:rsid w:val="00F10869"/>
    <w:rsid w:val="00F1315D"/>
    <w:rsid w:val="00F14CC7"/>
    <w:rsid w:val="00F21C87"/>
    <w:rsid w:val="00F2320C"/>
    <w:rsid w:val="00F270DC"/>
    <w:rsid w:val="00F334F0"/>
    <w:rsid w:val="00F42D50"/>
    <w:rsid w:val="00F465FD"/>
    <w:rsid w:val="00F63CFC"/>
    <w:rsid w:val="00F64069"/>
    <w:rsid w:val="00F729B1"/>
    <w:rsid w:val="00F771D9"/>
    <w:rsid w:val="00F83183"/>
    <w:rsid w:val="00F8694A"/>
    <w:rsid w:val="00F86BA5"/>
    <w:rsid w:val="00F86CEC"/>
    <w:rsid w:val="00F920DF"/>
    <w:rsid w:val="00F929A8"/>
    <w:rsid w:val="00F95D7C"/>
    <w:rsid w:val="00F97529"/>
    <w:rsid w:val="00F9788B"/>
    <w:rsid w:val="00FA08B5"/>
    <w:rsid w:val="00FB2E7D"/>
    <w:rsid w:val="00FC20FD"/>
    <w:rsid w:val="00FC5087"/>
    <w:rsid w:val="00FC66C3"/>
    <w:rsid w:val="00FD3043"/>
    <w:rsid w:val="00FD4D96"/>
    <w:rsid w:val="00FE33A8"/>
    <w:rsid w:val="00FE7569"/>
    <w:rsid w:val="00FF063C"/>
    <w:rsid w:val="00FF1027"/>
    <w:rsid w:val="00FF1A6D"/>
    <w:rsid w:val="00FF234F"/>
    <w:rsid w:val="00FF6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411CB939"/>
  <w15:docId w15:val="{7675F6FF-81CD-4E41-A15E-796A7DC2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2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4278"/>
    <w:pPr>
      <w:tabs>
        <w:tab w:val="center" w:pos="4153"/>
        <w:tab w:val="right" w:pos="8306"/>
      </w:tabs>
    </w:pPr>
  </w:style>
  <w:style w:type="character" w:customStyle="1" w:styleId="HeaderChar">
    <w:name w:val="Header Char"/>
    <w:basedOn w:val="DefaultParagraphFont"/>
    <w:link w:val="Header"/>
    <w:rsid w:val="00634278"/>
    <w:rPr>
      <w:rFonts w:ascii="Times New Roman" w:eastAsia="Times New Roman" w:hAnsi="Times New Roman" w:cs="Times New Roman"/>
      <w:sz w:val="24"/>
      <w:szCs w:val="24"/>
    </w:rPr>
  </w:style>
  <w:style w:type="paragraph" w:styleId="Footer">
    <w:name w:val="footer"/>
    <w:basedOn w:val="Normal"/>
    <w:link w:val="FooterChar"/>
    <w:uiPriority w:val="99"/>
    <w:rsid w:val="00634278"/>
    <w:pPr>
      <w:tabs>
        <w:tab w:val="center" w:pos="4153"/>
        <w:tab w:val="right" w:pos="8306"/>
      </w:tabs>
    </w:pPr>
  </w:style>
  <w:style w:type="character" w:customStyle="1" w:styleId="FooterChar">
    <w:name w:val="Footer Char"/>
    <w:basedOn w:val="DefaultParagraphFont"/>
    <w:link w:val="Footer"/>
    <w:uiPriority w:val="99"/>
    <w:rsid w:val="00634278"/>
    <w:rPr>
      <w:rFonts w:ascii="Times New Roman" w:eastAsia="Times New Roman" w:hAnsi="Times New Roman" w:cs="Times New Roman"/>
      <w:sz w:val="24"/>
      <w:szCs w:val="24"/>
    </w:rPr>
  </w:style>
  <w:style w:type="character" w:styleId="PageNumber">
    <w:name w:val="page number"/>
    <w:basedOn w:val="DefaultParagraphFont"/>
    <w:rsid w:val="00634278"/>
  </w:style>
  <w:style w:type="paragraph" w:styleId="ListParagraph">
    <w:name w:val="List Paragraph"/>
    <w:basedOn w:val="Normal"/>
    <w:uiPriority w:val="34"/>
    <w:qFormat/>
    <w:rsid w:val="00634278"/>
    <w:pPr>
      <w:ind w:left="720"/>
      <w:contextualSpacing/>
    </w:pPr>
    <w:rPr>
      <w:rFonts w:ascii="Verdana" w:hAnsi="Verdana" w:cs="Verdana"/>
      <w:sz w:val="22"/>
      <w:lang w:eastAsia="en-GB"/>
    </w:rPr>
  </w:style>
  <w:style w:type="character" w:styleId="CommentReference">
    <w:name w:val="annotation reference"/>
    <w:basedOn w:val="DefaultParagraphFont"/>
    <w:uiPriority w:val="99"/>
    <w:semiHidden/>
    <w:unhideWhenUsed/>
    <w:rsid w:val="004F166F"/>
    <w:rPr>
      <w:sz w:val="16"/>
      <w:szCs w:val="16"/>
    </w:rPr>
  </w:style>
  <w:style w:type="paragraph" w:styleId="CommentText">
    <w:name w:val="annotation text"/>
    <w:basedOn w:val="Normal"/>
    <w:link w:val="CommentTextChar"/>
    <w:uiPriority w:val="99"/>
    <w:semiHidden/>
    <w:unhideWhenUsed/>
    <w:rsid w:val="004F166F"/>
    <w:rPr>
      <w:sz w:val="20"/>
      <w:szCs w:val="20"/>
    </w:rPr>
  </w:style>
  <w:style w:type="character" w:customStyle="1" w:styleId="CommentTextChar">
    <w:name w:val="Comment Text Char"/>
    <w:basedOn w:val="DefaultParagraphFont"/>
    <w:link w:val="CommentText"/>
    <w:uiPriority w:val="99"/>
    <w:semiHidden/>
    <w:rsid w:val="004F16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166F"/>
    <w:rPr>
      <w:b/>
      <w:bCs/>
    </w:rPr>
  </w:style>
  <w:style w:type="character" w:customStyle="1" w:styleId="CommentSubjectChar">
    <w:name w:val="Comment Subject Char"/>
    <w:basedOn w:val="CommentTextChar"/>
    <w:link w:val="CommentSubject"/>
    <w:uiPriority w:val="99"/>
    <w:semiHidden/>
    <w:rsid w:val="004F166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F166F"/>
    <w:rPr>
      <w:rFonts w:ascii="Tahoma" w:hAnsi="Tahoma" w:cs="Tahoma"/>
      <w:sz w:val="16"/>
      <w:szCs w:val="16"/>
    </w:rPr>
  </w:style>
  <w:style w:type="character" w:customStyle="1" w:styleId="BalloonTextChar">
    <w:name w:val="Balloon Text Char"/>
    <w:basedOn w:val="DefaultParagraphFont"/>
    <w:link w:val="BalloonText"/>
    <w:uiPriority w:val="99"/>
    <w:semiHidden/>
    <w:rsid w:val="004F166F"/>
    <w:rPr>
      <w:rFonts w:ascii="Tahoma" w:eastAsia="Times New Roman" w:hAnsi="Tahoma" w:cs="Tahoma"/>
      <w:sz w:val="16"/>
      <w:szCs w:val="16"/>
    </w:rPr>
  </w:style>
  <w:style w:type="paragraph" w:customStyle="1" w:styleId="Default">
    <w:name w:val="Default"/>
    <w:rsid w:val="00D57604"/>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NoSpacing">
    <w:name w:val="No Spacing"/>
    <w:uiPriority w:val="1"/>
    <w:qFormat/>
    <w:rsid w:val="008239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030">
      <w:bodyDiv w:val="1"/>
      <w:marLeft w:val="0"/>
      <w:marRight w:val="0"/>
      <w:marTop w:val="0"/>
      <w:marBottom w:val="0"/>
      <w:divBdr>
        <w:top w:val="none" w:sz="0" w:space="0" w:color="auto"/>
        <w:left w:val="none" w:sz="0" w:space="0" w:color="auto"/>
        <w:bottom w:val="none" w:sz="0" w:space="0" w:color="auto"/>
        <w:right w:val="none" w:sz="0" w:space="0" w:color="auto"/>
      </w:divBdr>
      <w:divsChild>
        <w:div w:id="1958369363">
          <w:marLeft w:val="0"/>
          <w:marRight w:val="0"/>
          <w:marTop w:val="0"/>
          <w:marBottom w:val="0"/>
          <w:divBdr>
            <w:top w:val="none" w:sz="0" w:space="0" w:color="auto"/>
            <w:left w:val="none" w:sz="0" w:space="0" w:color="auto"/>
            <w:bottom w:val="none" w:sz="0" w:space="0" w:color="auto"/>
            <w:right w:val="none" w:sz="0" w:space="0" w:color="auto"/>
          </w:divBdr>
        </w:div>
      </w:divsChild>
    </w:div>
    <w:div w:id="49310765">
      <w:bodyDiv w:val="1"/>
      <w:marLeft w:val="0"/>
      <w:marRight w:val="0"/>
      <w:marTop w:val="0"/>
      <w:marBottom w:val="0"/>
      <w:divBdr>
        <w:top w:val="none" w:sz="0" w:space="0" w:color="auto"/>
        <w:left w:val="none" w:sz="0" w:space="0" w:color="auto"/>
        <w:bottom w:val="none" w:sz="0" w:space="0" w:color="auto"/>
        <w:right w:val="none" w:sz="0" w:space="0" w:color="auto"/>
      </w:divBdr>
    </w:div>
    <w:div w:id="520629669">
      <w:bodyDiv w:val="1"/>
      <w:marLeft w:val="0"/>
      <w:marRight w:val="0"/>
      <w:marTop w:val="0"/>
      <w:marBottom w:val="0"/>
      <w:divBdr>
        <w:top w:val="none" w:sz="0" w:space="0" w:color="auto"/>
        <w:left w:val="none" w:sz="0" w:space="0" w:color="auto"/>
        <w:bottom w:val="none" w:sz="0" w:space="0" w:color="auto"/>
        <w:right w:val="none" w:sz="0" w:space="0" w:color="auto"/>
      </w:divBdr>
    </w:div>
    <w:div w:id="1600991398">
      <w:bodyDiv w:val="1"/>
      <w:marLeft w:val="0"/>
      <w:marRight w:val="0"/>
      <w:marTop w:val="0"/>
      <w:marBottom w:val="0"/>
      <w:divBdr>
        <w:top w:val="none" w:sz="0" w:space="0" w:color="auto"/>
        <w:left w:val="none" w:sz="0" w:space="0" w:color="auto"/>
        <w:bottom w:val="none" w:sz="0" w:space="0" w:color="auto"/>
        <w:right w:val="none" w:sz="0" w:space="0" w:color="auto"/>
      </w:divBdr>
    </w:div>
    <w:div w:id="1760757071">
      <w:bodyDiv w:val="1"/>
      <w:marLeft w:val="0"/>
      <w:marRight w:val="0"/>
      <w:marTop w:val="0"/>
      <w:marBottom w:val="0"/>
      <w:divBdr>
        <w:top w:val="none" w:sz="0" w:space="0" w:color="auto"/>
        <w:left w:val="none" w:sz="0" w:space="0" w:color="auto"/>
        <w:bottom w:val="none" w:sz="0" w:space="0" w:color="auto"/>
        <w:right w:val="none" w:sz="0" w:space="0" w:color="auto"/>
      </w:divBdr>
    </w:div>
    <w:div w:id="1897428079">
      <w:bodyDiv w:val="1"/>
      <w:marLeft w:val="0"/>
      <w:marRight w:val="0"/>
      <w:marTop w:val="0"/>
      <w:marBottom w:val="0"/>
      <w:divBdr>
        <w:top w:val="none" w:sz="0" w:space="0" w:color="auto"/>
        <w:left w:val="none" w:sz="0" w:space="0" w:color="auto"/>
        <w:bottom w:val="none" w:sz="0" w:space="0" w:color="auto"/>
        <w:right w:val="none" w:sz="0" w:space="0" w:color="auto"/>
      </w:divBdr>
    </w:div>
    <w:div w:id="200003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media/about-the-ico/documents/2259467/regulatory-action-policy.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05396-D62F-487A-9F6C-0D370E50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15AF9BAF</Template>
  <TotalTime>0</TotalTime>
  <Pages>11</Pages>
  <Words>1613</Words>
  <Characters>9197</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Data Protection Act 1998</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Protection Act 1998</dc:title>
  <dc:creator>Sarah Jones</dc:creator>
  <cp:lastModifiedBy>Traci Shirley</cp:lastModifiedBy>
  <cp:revision>2</cp:revision>
  <cp:lastPrinted>2018-11-26T08:53:00Z</cp:lastPrinted>
  <dcterms:created xsi:type="dcterms:W3CDTF">2018-11-27T11:30:00Z</dcterms:created>
  <dcterms:modified xsi:type="dcterms:W3CDTF">2018-11-27T11:30:00Z</dcterms:modified>
</cp:coreProperties>
</file>