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4E1F4" w14:textId="21561A8C" w:rsidR="001E422F" w:rsidRDefault="009E19FA" w:rsidP="001E422F">
      <w:pPr>
        <w:spacing w:beforeLines="100" w:before="312" w:afterLines="100" w:after="312"/>
        <w:jc w:val="center"/>
      </w:pPr>
      <w:r>
        <w:t>带权重的</w:t>
      </w:r>
      <w:r>
        <w:t>CART</w:t>
      </w:r>
      <w:r>
        <w:t>模型</w:t>
      </w:r>
    </w:p>
    <w:p w14:paraId="518276E7" w14:textId="3EE9DBE0" w:rsidR="001E422F" w:rsidRDefault="00F32897" w:rsidP="0049089E">
      <w:pPr>
        <w:spacing w:beforeLines="100" w:before="312" w:afterLines="100" w:after="312"/>
        <w:ind w:firstLine="420"/>
      </w:pPr>
      <w:r>
        <w:t>改善样本非平衡</w:t>
      </w:r>
      <w:r>
        <w:rPr>
          <w:rFonts w:hint="eastAsia"/>
        </w:rPr>
        <w:t>性</w:t>
      </w:r>
      <w:r>
        <w:t>的方法</w:t>
      </w:r>
      <w:r>
        <w:rPr>
          <w:rFonts w:hint="eastAsia"/>
        </w:rPr>
        <w:t>之一</w:t>
      </w:r>
      <w:r>
        <w:t>是简单过采样法，</w:t>
      </w:r>
      <w:r>
        <w:rPr>
          <w:rFonts w:hint="eastAsia"/>
        </w:rPr>
        <w:t>即</w:t>
      </w:r>
      <w:r>
        <w:t>对少类样本进行重复抽样。</w:t>
      </w:r>
      <w:r w:rsidR="001E422F">
        <w:rPr>
          <w:rFonts w:hint="eastAsia"/>
        </w:rPr>
        <w:t>该方法在样本量较小的情况下可以使用。但是当样本量较大时，会增加样本构建的时间开销，并且易形成内存溢出等错误。为了避免上述缺陷，我们可以将</w:t>
      </w:r>
      <w:r>
        <w:t>抽样次数转换成权重</w:t>
      </w:r>
      <w:r w:rsidR="0049089E">
        <w:rPr>
          <w:rFonts w:hint="eastAsia"/>
        </w:rPr>
        <w:t>带入</w:t>
      </w:r>
      <w:r w:rsidR="0049089E">
        <w:t>部分模型中</w:t>
      </w:r>
      <w:r w:rsidR="0049089E">
        <w:rPr>
          <w:rFonts w:hint="eastAsia"/>
        </w:rPr>
        <w:t>去</w:t>
      </w:r>
      <w:r>
        <w:t>，</w:t>
      </w:r>
      <w:r w:rsidR="0049089E">
        <w:t>例如</w:t>
      </w:r>
      <w:r w:rsidR="0049089E">
        <w:t>CART</w:t>
      </w:r>
      <w:r w:rsidR="0049089E">
        <w:t>模型。该模型在构建的时候，</w:t>
      </w:r>
      <w:r w:rsidR="0049089E">
        <w:t>Gini</w:t>
      </w:r>
      <w:r w:rsidR="0049089E">
        <w:rPr>
          <w:rFonts w:hint="eastAsia"/>
        </w:rPr>
        <w:t>指数</w:t>
      </w:r>
      <w:r w:rsidR="0049089E">
        <w:t>是非常</w:t>
      </w:r>
      <w:r w:rsidR="0049089E">
        <w:rPr>
          <w:rFonts w:hint="eastAsia"/>
        </w:rPr>
        <w:t>重要</w:t>
      </w:r>
      <w:r w:rsidR="0049089E">
        <w:t>的</w:t>
      </w:r>
      <w:r w:rsidR="0049089E">
        <w:rPr>
          <w:rFonts w:hint="eastAsia"/>
        </w:rPr>
        <w:t>统计量</w:t>
      </w:r>
      <w:r w:rsidR="0049089E">
        <w:t>，</w:t>
      </w:r>
      <w:r w:rsidR="0049089E">
        <w:rPr>
          <w:rFonts w:hint="eastAsia"/>
        </w:rPr>
        <w:t>我们可以</w:t>
      </w:r>
      <w:r w:rsidR="0049089E">
        <w:t>将</w:t>
      </w:r>
      <w:r w:rsidR="001E422F">
        <w:rPr>
          <w:rFonts w:hint="eastAsia"/>
        </w:rPr>
        <w:t>权重带入</w:t>
      </w:r>
      <w:r w:rsidR="001E422F">
        <w:rPr>
          <w:rFonts w:hint="eastAsia"/>
        </w:rPr>
        <w:t>Gini</w:t>
      </w:r>
      <w:r w:rsidR="001E422F">
        <w:rPr>
          <w:rFonts w:hint="eastAsia"/>
        </w:rPr>
        <w:t>指数的计算。该计算方法与</w:t>
      </w:r>
      <w:r>
        <w:t>简单</w:t>
      </w:r>
      <w:r w:rsidR="001E422F">
        <w:rPr>
          <w:rFonts w:hint="eastAsia"/>
        </w:rPr>
        <w:t>重复抽样法在期望上是一致的。</w:t>
      </w:r>
    </w:p>
    <w:p w14:paraId="65C2D54A" w14:textId="601216FE" w:rsidR="009E19FA" w:rsidRDefault="001E422F" w:rsidP="001E422F">
      <w:pPr>
        <w:tabs>
          <w:tab w:val="left" w:pos="435"/>
        </w:tabs>
        <w:spacing w:beforeLines="100" w:before="312" w:afterLines="100" w:after="312"/>
      </w:pPr>
      <w:r>
        <w:tab/>
      </w:r>
      <w:r w:rsidR="00213516">
        <w:rPr>
          <w:rFonts w:hint="eastAsia"/>
        </w:rPr>
        <w:t>考虑</w:t>
      </w:r>
      <w:r w:rsidR="00213516">
        <w:t>以下数据集：</w:t>
      </w:r>
    </w:p>
    <w:tbl>
      <w:tblPr>
        <w:tblStyle w:val="a3"/>
        <w:tblW w:w="6217" w:type="dxa"/>
        <w:jc w:val="center"/>
        <w:tblLook w:val="04A0" w:firstRow="1" w:lastRow="0" w:firstColumn="1" w:lastColumn="0" w:noHBand="0" w:noVBand="1"/>
      </w:tblPr>
      <w:tblGrid>
        <w:gridCol w:w="2072"/>
        <w:gridCol w:w="1217"/>
        <w:gridCol w:w="2928"/>
      </w:tblGrid>
      <w:tr w:rsidR="00B30D84" w14:paraId="7B36034C" w14:textId="77777777" w:rsidTr="00B30D84">
        <w:trPr>
          <w:jc w:val="center"/>
        </w:trPr>
        <w:tc>
          <w:tcPr>
            <w:tcW w:w="2072" w:type="dxa"/>
          </w:tcPr>
          <w:p w14:paraId="1914AA1B" w14:textId="5D846CD7" w:rsidR="00B30D84" w:rsidRPr="001E422F" w:rsidRDefault="00B30D84" w:rsidP="001E422F">
            <w:pPr>
              <w:tabs>
                <w:tab w:val="left" w:pos="1388"/>
              </w:tabs>
              <w:spacing w:beforeLines="100" w:before="312" w:afterLines="100" w:after="312"/>
              <w:rPr>
                <w:b/>
                <w:sz w:val="30"/>
                <w:szCs w:val="30"/>
              </w:rPr>
            </w:pPr>
            <w:proofErr w:type="spellStart"/>
            <w:r w:rsidRPr="001E422F">
              <w:rPr>
                <w:b/>
                <w:sz w:val="30"/>
                <w:szCs w:val="30"/>
              </w:rPr>
              <w:t>var</w:t>
            </w:r>
            <w:proofErr w:type="spellEnd"/>
          </w:p>
        </w:tc>
        <w:tc>
          <w:tcPr>
            <w:tcW w:w="1217" w:type="dxa"/>
          </w:tcPr>
          <w:p w14:paraId="48CE8601" w14:textId="3C506E8A" w:rsidR="00B30D84" w:rsidRPr="001E422F" w:rsidRDefault="00B30D84" w:rsidP="001E422F">
            <w:pPr>
              <w:tabs>
                <w:tab w:val="left" w:pos="1388"/>
              </w:tabs>
              <w:spacing w:beforeLines="100" w:before="312" w:afterLines="100" w:after="312"/>
              <w:rPr>
                <w:b/>
                <w:sz w:val="30"/>
                <w:szCs w:val="30"/>
              </w:rPr>
            </w:pPr>
            <w:r w:rsidRPr="001E422F">
              <w:rPr>
                <w:b/>
                <w:sz w:val="30"/>
                <w:szCs w:val="30"/>
              </w:rPr>
              <w:t>y</w:t>
            </w:r>
          </w:p>
        </w:tc>
        <w:tc>
          <w:tcPr>
            <w:tcW w:w="2928" w:type="dxa"/>
          </w:tcPr>
          <w:p w14:paraId="1A4D71CA" w14:textId="5CBA396C" w:rsidR="00B30D84" w:rsidRPr="001E422F" w:rsidRDefault="00B30D84" w:rsidP="001E422F">
            <w:pPr>
              <w:tabs>
                <w:tab w:val="left" w:pos="1388"/>
              </w:tabs>
              <w:spacing w:beforeLines="100" w:before="312" w:afterLines="100" w:after="312"/>
              <w:rPr>
                <w:b/>
                <w:sz w:val="30"/>
                <w:szCs w:val="30"/>
              </w:rPr>
            </w:pPr>
            <w:r w:rsidRPr="001E422F">
              <w:rPr>
                <w:b/>
                <w:sz w:val="30"/>
                <w:szCs w:val="30"/>
              </w:rPr>
              <w:t>Sampling size</w:t>
            </w:r>
            <w:r>
              <w:rPr>
                <w:b/>
                <w:sz w:val="30"/>
                <w:szCs w:val="30"/>
              </w:rPr>
              <w:t>(w)</w:t>
            </w:r>
          </w:p>
        </w:tc>
      </w:tr>
      <w:tr w:rsidR="00B30D84" w14:paraId="2057AC26" w14:textId="77777777" w:rsidTr="00B30D84">
        <w:trPr>
          <w:jc w:val="center"/>
        </w:trPr>
        <w:tc>
          <w:tcPr>
            <w:tcW w:w="2072" w:type="dxa"/>
          </w:tcPr>
          <w:p w14:paraId="622986CC" w14:textId="3DA15852" w:rsidR="00B30D84" w:rsidRDefault="00B30D84" w:rsidP="001E422F">
            <w:pPr>
              <w:tabs>
                <w:tab w:val="left" w:pos="1388"/>
              </w:tabs>
              <w:spacing w:beforeLines="100" w:before="312" w:afterLines="100" w:after="312"/>
            </w:pPr>
            <w:r>
              <w:t>A</w:t>
            </w:r>
          </w:p>
        </w:tc>
        <w:tc>
          <w:tcPr>
            <w:tcW w:w="1217" w:type="dxa"/>
          </w:tcPr>
          <w:p w14:paraId="6E253A9D" w14:textId="77FFC3C4" w:rsidR="00B30D84" w:rsidRDefault="00B30D84" w:rsidP="001E422F">
            <w:pPr>
              <w:tabs>
                <w:tab w:val="left" w:pos="1388"/>
              </w:tabs>
              <w:spacing w:beforeLines="100" w:before="312" w:afterLines="100" w:after="312"/>
            </w:pPr>
            <w:r>
              <w:t>1</w:t>
            </w:r>
          </w:p>
        </w:tc>
        <w:tc>
          <w:tcPr>
            <w:tcW w:w="2928" w:type="dxa"/>
          </w:tcPr>
          <w:p w14:paraId="0135A829" w14:textId="3149EA69" w:rsidR="00B30D84" w:rsidRDefault="00B30D84" w:rsidP="001E422F">
            <w:pPr>
              <w:tabs>
                <w:tab w:val="left" w:pos="1388"/>
              </w:tabs>
              <w:spacing w:beforeLines="100" w:before="312" w:afterLines="100" w:after="312"/>
              <w:rPr>
                <w:rFonts w:ascii="Calibri" w:eastAsia="宋体" w:hAnsi="Calibri" w:cs="Times New Roman"/>
              </w:rPr>
            </w:pPr>
            <w:r>
              <w:t>k</w:t>
            </w:r>
          </w:p>
        </w:tc>
      </w:tr>
      <w:tr w:rsidR="00B30D84" w14:paraId="5E5FF30E" w14:textId="77777777" w:rsidTr="00B30D84">
        <w:trPr>
          <w:jc w:val="center"/>
        </w:trPr>
        <w:tc>
          <w:tcPr>
            <w:tcW w:w="2072" w:type="dxa"/>
          </w:tcPr>
          <w:p w14:paraId="5E73ED7E" w14:textId="71C61987" w:rsidR="00B30D84" w:rsidRDefault="00B30D84" w:rsidP="001E422F">
            <w:pPr>
              <w:tabs>
                <w:tab w:val="left" w:pos="1388"/>
              </w:tabs>
              <w:spacing w:beforeLines="100" w:before="312" w:afterLines="100" w:after="312"/>
            </w:pPr>
            <w:r>
              <w:t>A</w:t>
            </w:r>
          </w:p>
        </w:tc>
        <w:tc>
          <w:tcPr>
            <w:tcW w:w="1217" w:type="dxa"/>
          </w:tcPr>
          <w:p w14:paraId="206AE3C0" w14:textId="2A061DFB" w:rsidR="00B30D84" w:rsidRDefault="00B30D84" w:rsidP="001E422F">
            <w:pPr>
              <w:tabs>
                <w:tab w:val="left" w:pos="1388"/>
              </w:tabs>
              <w:spacing w:beforeLines="100" w:before="312" w:afterLines="100" w:after="312"/>
            </w:pPr>
            <w:r>
              <w:t>0</w:t>
            </w:r>
          </w:p>
        </w:tc>
        <w:tc>
          <w:tcPr>
            <w:tcW w:w="2928" w:type="dxa"/>
          </w:tcPr>
          <w:p w14:paraId="25B667FB" w14:textId="7BB29189" w:rsidR="00B30D84" w:rsidRDefault="00B30D84" w:rsidP="001E422F">
            <w:pPr>
              <w:tabs>
                <w:tab w:val="left" w:pos="1388"/>
              </w:tabs>
              <w:spacing w:beforeLines="100" w:before="312" w:afterLines="100" w:after="312"/>
              <w:rPr>
                <w:rFonts w:ascii="Calibri" w:eastAsia="宋体" w:hAnsi="Calibri" w:cs="Times New Roman"/>
              </w:rPr>
            </w:pPr>
            <w:r>
              <w:t>1</w:t>
            </w:r>
          </w:p>
        </w:tc>
      </w:tr>
      <w:tr w:rsidR="00B30D84" w14:paraId="52F1FAC7" w14:textId="77777777" w:rsidTr="00B30D84">
        <w:trPr>
          <w:jc w:val="center"/>
        </w:trPr>
        <w:tc>
          <w:tcPr>
            <w:tcW w:w="2072" w:type="dxa"/>
          </w:tcPr>
          <w:p w14:paraId="21FC53A1" w14:textId="57CE44C8" w:rsidR="00B30D84" w:rsidRDefault="00B30D84" w:rsidP="001E422F">
            <w:pPr>
              <w:tabs>
                <w:tab w:val="left" w:pos="1388"/>
              </w:tabs>
              <w:spacing w:beforeLines="100" w:before="312" w:afterLines="100" w:after="312"/>
            </w:pPr>
            <w:r>
              <w:t>A</w:t>
            </w:r>
          </w:p>
        </w:tc>
        <w:tc>
          <w:tcPr>
            <w:tcW w:w="1217" w:type="dxa"/>
          </w:tcPr>
          <w:p w14:paraId="6820FE69" w14:textId="47B8EFB0" w:rsidR="00B30D84" w:rsidRDefault="00B30D84" w:rsidP="001E422F">
            <w:pPr>
              <w:tabs>
                <w:tab w:val="left" w:pos="1388"/>
              </w:tabs>
              <w:spacing w:beforeLines="100" w:before="312" w:afterLines="100" w:after="312"/>
            </w:pPr>
            <w:r>
              <w:t>1</w:t>
            </w:r>
          </w:p>
        </w:tc>
        <w:tc>
          <w:tcPr>
            <w:tcW w:w="2928" w:type="dxa"/>
          </w:tcPr>
          <w:p w14:paraId="14510456" w14:textId="0C863B58" w:rsidR="00B30D84" w:rsidRDefault="00B30D84" w:rsidP="001E422F">
            <w:pPr>
              <w:tabs>
                <w:tab w:val="left" w:pos="1388"/>
              </w:tabs>
              <w:spacing w:beforeLines="100" w:before="312" w:afterLines="100" w:after="312"/>
              <w:rPr>
                <w:rFonts w:ascii="Calibri" w:eastAsia="宋体" w:hAnsi="Calibri" w:cs="Times New Roman"/>
              </w:rPr>
            </w:pPr>
            <w:r>
              <w:t>k</w:t>
            </w:r>
          </w:p>
        </w:tc>
      </w:tr>
      <w:tr w:rsidR="00B30D84" w14:paraId="48CA9042" w14:textId="77777777" w:rsidTr="00B30D84">
        <w:trPr>
          <w:jc w:val="center"/>
        </w:trPr>
        <w:tc>
          <w:tcPr>
            <w:tcW w:w="2072" w:type="dxa"/>
          </w:tcPr>
          <w:p w14:paraId="464CBCA7" w14:textId="1E0D1C34" w:rsidR="00B30D84" w:rsidRDefault="00B30D84" w:rsidP="001E422F">
            <w:pPr>
              <w:tabs>
                <w:tab w:val="left" w:pos="1388"/>
              </w:tabs>
              <w:spacing w:beforeLines="100" w:before="312" w:afterLines="100" w:after="312"/>
            </w:pPr>
            <w:r>
              <w:t>B</w:t>
            </w:r>
          </w:p>
        </w:tc>
        <w:tc>
          <w:tcPr>
            <w:tcW w:w="1217" w:type="dxa"/>
          </w:tcPr>
          <w:p w14:paraId="08EE3A99" w14:textId="1CD0140C" w:rsidR="00B30D84" w:rsidRDefault="00B30D84" w:rsidP="001E422F">
            <w:pPr>
              <w:tabs>
                <w:tab w:val="left" w:pos="1388"/>
              </w:tabs>
              <w:spacing w:beforeLines="100" w:before="312" w:afterLines="100" w:after="312"/>
            </w:pPr>
            <w:r>
              <w:t>1</w:t>
            </w:r>
          </w:p>
        </w:tc>
        <w:tc>
          <w:tcPr>
            <w:tcW w:w="2928" w:type="dxa"/>
          </w:tcPr>
          <w:p w14:paraId="02028718" w14:textId="149F5B24" w:rsidR="00B30D84" w:rsidRDefault="00B30D84" w:rsidP="001E422F">
            <w:pPr>
              <w:tabs>
                <w:tab w:val="left" w:pos="1388"/>
              </w:tabs>
              <w:spacing w:beforeLines="100" w:before="312" w:afterLines="100" w:after="312"/>
              <w:rPr>
                <w:rFonts w:ascii="Calibri" w:eastAsia="宋体" w:hAnsi="Calibri" w:cs="Times New Roman"/>
              </w:rPr>
            </w:pPr>
            <w:r>
              <w:t>k</w:t>
            </w:r>
          </w:p>
        </w:tc>
      </w:tr>
      <w:tr w:rsidR="00B30D84" w14:paraId="7701C178" w14:textId="77777777" w:rsidTr="00B30D84">
        <w:trPr>
          <w:jc w:val="center"/>
        </w:trPr>
        <w:tc>
          <w:tcPr>
            <w:tcW w:w="2072" w:type="dxa"/>
          </w:tcPr>
          <w:p w14:paraId="282E83C1" w14:textId="1F31867F" w:rsidR="00B30D84" w:rsidRDefault="00B30D84" w:rsidP="001E422F">
            <w:pPr>
              <w:tabs>
                <w:tab w:val="left" w:pos="1388"/>
              </w:tabs>
              <w:spacing w:beforeLines="100" w:before="312" w:afterLines="100" w:after="312"/>
            </w:pPr>
            <w:r>
              <w:t>B</w:t>
            </w:r>
          </w:p>
        </w:tc>
        <w:tc>
          <w:tcPr>
            <w:tcW w:w="1217" w:type="dxa"/>
          </w:tcPr>
          <w:p w14:paraId="1B814654" w14:textId="759DD36B" w:rsidR="00B30D84" w:rsidRDefault="00B30D84" w:rsidP="001E422F">
            <w:pPr>
              <w:tabs>
                <w:tab w:val="left" w:pos="1388"/>
              </w:tabs>
              <w:spacing w:beforeLines="100" w:before="312" w:afterLines="100" w:after="312"/>
            </w:pPr>
            <w:r>
              <w:t>0</w:t>
            </w:r>
          </w:p>
        </w:tc>
        <w:tc>
          <w:tcPr>
            <w:tcW w:w="2928" w:type="dxa"/>
          </w:tcPr>
          <w:p w14:paraId="05456978" w14:textId="40782216" w:rsidR="00B30D84" w:rsidRDefault="00B30D84" w:rsidP="001E422F">
            <w:pPr>
              <w:tabs>
                <w:tab w:val="left" w:pos="1388"/>
              </w:tabs>
              <w:spacing w:beforeLines="100" w:before="312" w:afterLines="100" w:after="312"/>
              <w:rPr>
                <w:rFonts w:ascii="Calibri" w:eastAsia="宋体" w:hAnsi="Calibri" w:cs="Times New Roman"/>
              </w:rPr>
            </w:pPr>
            <w:r>
              <w:t>1</w:t>
            </w:r>
          </w:p>
        </w:tc>
      </w:tr>
    </w:tbl>
    <w:p w14:paraId="3EFFF785" w14:textId="13B259C8" w:rsidR="00F32897" w:rsidRDefault="00F32897" w:rsidP="001E422F">
      <w:pPr>
        <w:tabs>
          <w:tab w:val="left" w:pos="1388"/>
        </w:tabs>
        <w:spacing w:beforeLines="100" w:before="312" w:afterLines="100" w:after="312"/>
      </w:pPr>
      <w:r>
        <w:rPr>
          <w:rFonts w:hint="eastAsia"/>
        </w:rPr>
        <w:t>k</w:t>
      </w:r>
      <w:r>
        <w:rPr>
          <w:rFonts w:hint="eastAsia"/>
        </w:rPr>
        <w:t>是</w:t>
      </w:r>
      <w:r>
        <w:t>坏样本的重复抽样率，</w:t>
      </w:r>
      <w:r>
        <w:rPr>
          <w:rFonts w:hint="eastAsia"/>
        </w:rPr>
        <w:t>k</w:t>
      </w:r>
      <w:r w:rsidR="0049089E">
        <w:t>&gt;1</w:t>
      </w:r>
      <w:r w:rsidR="0049089E">
        <w:t>。</w:t>
      </w:r>
      <w:r w:rsidR="0049089E">
        <w:rPr>
          <w:rFonts w:hint="eastAsia"/>
        </w:rPr>
        <w:t>每个样本</w:t>
      </w:r>
      <w:r w:rsidR="0049089E">
        <w:t>的</w:t>
      </w:r>
      <w:r w:rsidR="0018231E">
        <w:t>抽样</w:t>
      </w:r>
      <w:r w:rsidR="0018231E">
        <w:rPr>
          <w:rFonts w:hint="eastAsia"/>
        </w:rPr>
        <w:t>倍率</w:t>
      </w:r>
      <w:r w:rsidR="0049089E"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∈{1,k}</m:t>
        </m:r>
      </m:oMath>
      <w:r w:rsidR="0049089E">
        <w:t>。</w:t>
      </w:r>
    </w:p>
    <w:p w14:paraId="18DCB63D" w14:textId="75223286" w:rsidR="00723029" w:rsidRDefault="00723029" w:rsidP="001E422F">
      <w:pPr>
        <w:tabs>
          <w:tab w:val="left" w:pos="1388"/>
        </w:tabs>
        <w:spacing w:beforeLines="100" w:before="312" w:afterLines="100" w:after="312"/>
      </w:pPr>
      <w:r>
        <w:rPr>
          <w:rFonts w:hint="eastAsia"/>
        </w:rPr>
        <w:t>考虑</w:t>
      </w:r>
      <w:proofErr w:type="spellStart"/>
      <w:r>
        <w:rPr>
          <w:rFonts w:hint="eastAsia"/>
        </w:rPr>
        <w:t>v</w:t>
      </w:r>
      <w:r>
        <w:t>ar</w:t>
      </w:r>
      <w:proofErr w:type="spellEnd"/>
      <w:r>
        <w:t>=A</w:t>
      </w:r>
      <w:r>
        <w:rPr>
          <w:rFonts w:hint="eastAsia"/>
        </w:rPr>
        <w:t>的子集，总共有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=k+1+k=2k+1</m:t>
        </m:r>
      </m:oMath>
      <w:r>
        <w:rPr>
          <w:rFonts w:hint="eastAsia"/>
        </w:rPr>
        <w:t>个。其</w:t>
      </w:r>
      <w:r>
        <w:rPr>
          <w:rFonts w:hint="eastAsia"/>
        </w:rPr>
        <w:t>y</w:t>
      </w:r>
      <w:r>
        <w:t>=1</w:t>
      </w:r>
      <w:r w:rsidR="001E422F">
        <w:rPr>
          <w:rFonts w:hint="eastAsia"/>
        </w:rPr>
        <w:t>的</w:t>
      </w:r>
      <w:r>
        <w:rPr>
          <w:rFonts w:hint="eastAsia"/>
        </w:rPr>
        <w:t>个数为：</w:t>
      </w:r>
    </w:p>
    <w:p w14:paraId="3CD89BE1" w14:textId="1DC7A676" w:rsidR="00723029" w:rsidRPr="00723029" w:rsidRDefault="00AA00CD" w:rsidP="001E422F">
      <w:pPr>
        <w:tabs>
          <w:tab w:val="left" w:pos="1388"/>
        </w:tabs>
        <w:spacing w:beforeLines="100" w:before="312" w:afterLines="100" w:after="312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3F685C9" w14:textId="22CA2200" w:rsidR="00723029" w:rsidRDefault="00723029" w:rsidP="001E422F">
      <w:pPr>
        <w:tabs>
          <w:tab w:val="left" w:pos="1388"/>
        </w:tabs>
        <w:spacing w:beforeLines="100" w:before="312" w:afterLines="100" w:after="312"/>
      </w:pPr>
      <w:r>
        <w:rPr>
          <w:rFonts w:hint="eastAsia"/>
        </w:rPr>
        <w:t>占比为</w:t>
      </w:r>
    </w:p>
    <w:p w14:paraId="3F872959" w14:textId="09DD52D4" w:rsidR="00723029" w:rsidRPr="00723029" w:rsidRDefault="00AA00CD" w:rsidP="001E422F">
      <w:pPr>
        <w:tabs>
          <w:tab w:val="left" w:pos="1388"/>
        </w:tabs>
        <w:spacing w:beforeLines="100" w:before="312" w:afterLines="100" w:after="31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574F4122" w14:textId="3DC3F1D4" w:rsidR="00723029" w:rsidRDefault="00723029" w:rsidP="001E422F">
      <w:pPr>
        <w:tabs>
          <w:tab w:val="left" w:pos="1388"/>
        </w:tabs>
        <w:spacing w:beforeLines="100" w:before="312" w:afterLines="100" w:after="312"/>
      </w:pPr>
      <w:r>
        <w:rPr>
          <w:rFonts w:hint="eastAsia"/>
        </w:rPr>
        <w:t>则</w:t>
      </w:r>
      <w:r>
        <w:rPr>
          <w:rFonts w:hint="eastAsia"/>
        </w:rPr>
        <w:t>Gini</w:t>
      </w:r>
      <w:r>
        <w:rPr>
          <w:rFonts w:hint="eastAsia"/>
        </w:rPr>
        <w:t>指数为</w:t>
      </w:r>
    </w:p>
    <w:p w14:paraId="21213107" w14:textId="735D3BF4" w:rsidR="00723029" w:rsidRPr="00723029" w:rsidRDefault="00AA00CD" w:rsidP="001E422F">
      <w:pPr>
        <w:tabs>
          <w:tab w:val="left" w:pos="1388"/>
        </w:tabs>
        <w:spacing w:beforeLines="100" w:before="312" w:afterLines="100" w:after="31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Gini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B4F973C" w14:textId="77777777" w:rsidR="00A272E4" w:rsidRDefault="00723029" w:rsidP="001E422F">
      <w:pPr>
        <w:tabs>
          <w:tab w:val="left" w:pos="1388"/>
        </w:tabs>
        <w:spacing w:beforeLines="100" w:before="312" w:afterLines="100" w:after="312"/>
      </w:pPr>
      <w:r>
        <w:rPr>
          <w:rFonts w:hint="eastAsia"/>
        </w:rPr>
        <w:t>其中</w:t>
      </w:r>
    </w:p>
    <w:p w14:paraId="1E1DA004" w14:textId="214B1327" w:rsidR="00723029" w:rsidRDefault="00AA00CD" w:rsidP="001E422F">
      <w:pPr>
        <w:tabs>
          <w:tab w:val="left" w:pos="1388"/>
        </w:tabs>
        <w:spacing w:beforeLines="100" w:before="312" w:afterLines="100" w:after="312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(1-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7896B2FE" w14:textId="56E24238" w:rsidR="00723029" w:rsidRDefault="00723029" w:rsidP="001E422F">
      <w:pPr>
        <w:tabs>
          <w:tab w:val="left" w:pos="1388"/>
        </w:tabs>
        <w:spacing w:beforeLines="100" w:before="312" w:afterLines="100" w:after="312"/>
      </w:pPr>
      <w:r>
        <w:rPr>
          <w:rFonts w:hint="eastAsia"/>
        </w:rPr>
        <w:t>类似的，</w:t>
      </w:r>
    </w:p>
    <w:p w14:paraId="1B929B67" w14:textId="5BF949D2" w:rsidR="00723029" w:rsidRPr="00723029" w:rsidRDefault="00AA00CD" w:rsidP="001E422F">
      <w:pPr>
        <w:tabs>
          <w:tab w:val="left" w:pos="1388"/>
        </w:tabs>
        <w:spacing w:beforeLines="100" w:before="312" w:afterLines="100" w:after="31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Gini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411346DE" w14:textId="08C8EB6C" w:rsidR="00723029" w:rsidRDefault="00723029" w:rsidP="001E422F">
      <w:pPr>
        <w:tabs>
          <w:tab w:val="left" w:pos="1388"/>
        </w:tabs>
        <w:spacing w:beforeLines="100" w:before="312" w:afterLines="100" w:after="312"/>
      </w:pPr>
      <w:r>
        <w:rPr>
          <w:rFonts w:hint="eastAsia"/>
        </w:rPr>
        <w:t>其中</w:t>
      </w:r>
    </w:p>
    <w:p w14:paraId="1EFC52A5" w14:textId="5FFDAE12" w:rsidR="00723029" w:rsidRPr="00723029" w:rsidRDefault="00AA00CD" w:rsidP="00782AE1">
      <w:pPr>
        <w:tabs>
          <w:tab w:val="left" w:pos="1388"/>
        </w:tabs>
        <w:spacing w:beforeLines="100" w:before="312" w:afterLines="100" w:after="312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i=4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i=4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i=4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(1-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i=4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5335DD09" w14:textId="2D3F55CC" w:rsidR="00723029" w:rsidRDefault="00723029" w:rsidP="001E422F">
      <w:pPr>
        <w:tabs>
          <w:tab w:val="left" w:pos="1388"/>
        </w:tabs>
        <w:spacing w:beforeLines="100" w:before="312" w:afterLines="100" w:after="312"/>
      </w:pPr>
      <w:r>
        <w:rPr>
          <w:rFonts w:hint="eastAsia"/>
        </w:rPr>
        <w:t>同时，</w:t>
      </w:r>
      <w:proofErr w:type="spellStart"/>
      <w:r>
        <w:rPr>
          <w:rFonts w:hint="eastAsia"/>
        </w:rPr>
        <w:t>v</w:t>
      </w:r>
      <w:r>
        <w:t>ar</w:t>
      </w:r>
      <w:proofErr w:type="spellEnd"/>
      <w:r>
        <w:t>=A</w:t>
      </w:r>
      <w:r>
        <w:rPr>
          <w:rFonts w:hint="eastAsia"/>
        </w:rPr>
        <w:t>的子集的占比为</w:t>
      </w:r>
    </w:p>
    <w:p w14:paraId="71CB4B86" w14:textId="6D4D9DD3" w:rsidR="00723029" w:rsidRPr="00D048E8" w:rsidRDefault="00AA00CD" w:rsidP="001E422F">
      <w:pPr>
        <w:tabs>
          <w:tab w:val="left" w:pos="1388"/>
        </w:tabs>
        <w:spacing w:beforeLines="100" w:before="312" w:afterLines="100" w:after="312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/N</m:t>
          </m:r>
        </m:oMath>
      </m:oMathPara>
    </w:p>
    <w:p w14:paraId="55AC97AB" w14:textId="40CE845B" w:rsidR="00D048E8" w:rsidRPr="001E422F" w:rsidRDefault="00D048E8" w:rsidP="001E422F">
      <w:pPr>
        <w:tabs>
          <w:tab w:val="left" w:pos="1388"/>
        </w:tabs>
        <w:spacing w:beforeLines="100" w:before="312" w:afterLines="100" w:after="312"/>
      </w:pPr>
      <m:oMathPara>
        <m:oMath>
          <m:r>
            <w:rPr>
              <w:rFonts w:ascii="Cambria Math" w:hAnsi="Cambria Math"/>
            </w:rPr>
            <m:t>N=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77B4974" w14:textId="43AE78CC" w:rsidR="001E422F" w:rsidRDefault="001E422F" w:rsidP="001E422F">
      <w:pPr>
        <w:tabs>
          <w:tab w:val="left" w:pos="1388"/>
        </w:tabs>
        <w:spacing w:beforeLines="100" w:before="312" w:afterLines="100" w:after="312"/>
      </w:pPr>
      <w:proofErr w:type="spellStart"/>
      <w:r>
        <w:rPr>
          <w:rFonts w:hint="eastAsia"/>
        </w:rPr>
        <w:t>v</w:t>
      </w:r>
      <w:r>
        <w:t>ar</w:t>
      </w:r>
      <w:proofErr w:type="spellEnd"/>
      <w:r>
        <w:t>=B</w:t>
      </w:r>
      <w:r>
        <w:rPr>
          <w:rFonts w:hint="eastAsia"/>
        </w:rPr>
        <w:t>的子集的占比为</w:t>
      </w:r>
    </w:p>
    <w:p w14:paraId="7FBDCC84" w14:textId="34B3BD0D" w:rsidR="001E422F" w:rsidRDefault="00AA00CD" w:rsidP="001E422F">
      <w:pPr>
        <w:tabs>
          <w:tab w:val="left" w:pos="1388"/>
        </w:tabs>
        <w:spacing w:beforeLines="100" w:before="312" w:afterLines="100" w:after="312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i=4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i=4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/N</m:t>
          </m:r>
        </m:oMath>
      </m:oMathPara>
    </w:p>
    <w:p w14:paraId="78F4EED5" w14:textId="0DA0F879" w:rsidR="001E422F" w:rsidRDefault="001E422F" w:rsidP="001E422F">
      <w:pPr>
        <w:tabs>
          <w:tab w:val="left" w:pos="1388"/>
        </w:tabs>
        <w:spacing w:beforeLines="100" w:before="312" w:afterLines="100" w:after="312"/>
      </w:pPr>
      <w:r>
        <w:rPr>
          <w:rFonts w:hint="eastAsia"/>
        </w:rPr>
        <w:t>所以最终的</w:t>
      </w:r>
      <w:r>
        <w:rPr>
          <w:rFonts w:hint="eastAsia"/>
        </w:rPr>
        <w:t>Gini</w:t>
      </w:r>
      <w:r>
        <w:rPr>
          <w:rFonts w:hint="eastAsia"/>
        </w:rPr>
        <w:t>为</w:t>
      </w:r>
    </w:p>
    <w:p w14:paraId="7368E424" w14:textId="31BCB2E1" w:rsidR="001E422F" w:rsidRDefault="00D048E8" w:rsidP="001E422F">
      <w:pPr>
        <w:tabs>
          <w:tab w:val="left" w:pos="1388"/>
        </w:tabs>
        <w:spacing w:beforeLines="100" w:before="312" w:afterLines="100" w:after="312"/>
        <w:rPr>
          <w:rFonts w:hint="eastAsia"/>
        </w:rPr>
      </w:pPr>
      <m:oMathPara>
        <m:oMath>
          <m:r>
            <w:rPr>
              <w:rFonts w:ascii="Cambria Math" w:hAnsi="Cambria Math"/>
            </w:rPr>
            <w:lastRenderedPageBreak/>
            <m:t>1/N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</m:oMath>
      </m:oMathPara>
      <w:bookmarkStart w:id="0" w:name="_GoBack"/>
      <w:bookmarkEnd w:id="0"/>
    </w:p>
    <w:sectPr w:rsidR="001E422F" w:rsidSect="00F433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6A7AF1" w14:textId="77777777" w:rsidR="00AA00CD" w:rsidRDefault="00AA00CD" w:rsidP="00723029">
      <w:r>
        <w:separator/>
      </w:r>
    </w:p>
  </w:endnote>
  <w:endnote w:type="continuationSeparator" w:id="0">
    <w:p w14:paraId="763D2DCF" w14:textId="77777777" w:rsidR="00AA00CD" w:rsidRDefault="00AA00CD" w:rsidP="00723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29D047" w14:textId="77777777" w:rsidR="00AA00CD" w:rsidRDefault="00AA00CD" w:rsidP="00723029">
      <w:r>
        <w:separator/>
      </w:r>
    </w:p>
  </w:footnote>
  <w:footnote w:type="continuationSeparator" w:id="0">
    <w:p w14:paraId="13627AB9" w14:textId="77777777" w:rsidR="00AA00CD" w:rsidRDefault="00AA00CD" w:rsidP="007230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FA"/>
    <w:rsid w:val="001441CD"/>
    <w:rsid w:val="0018231E"/>
    <w:rsid w:val="001E422F"/>
    <w:rsid w:val="00213516"/>
    <w:rsid w:val="0049089E"/>
    <w:rsid w:val="00521FE0"/>
    <w:rsid w:val="00562B1C"/>
    <w:rsid w:val="0063400E"/>
    <w:rsid w:val="00723029"/>
    <w:rsid w:val="00775D35"/>
    <w:rsid w:val="00782AE1"/>
    <w:rsid w:val="007A468B"/>
    <w:rsid w:val="008569C8"/>
    <w:rsid w:val="008B542C"/>
    <w:rsid w:val="009E19FA"/>
    <w:rsid w:val="00A272E4"/>
    <w:rsid w:val="00AA00CD"/>
    <w:rsid w:val="00B30D84"/>
    <w:rsid w:val="00C90036"/>
    <w:rsid w:val="00D048E8"/>
    <w:rsid w:val="00D17ED6"/>
    <w:rsid w:val="00E163F2"/>
    <w:rsid w:val="00F32897"/>
    <w:rsid w:val="00F4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5E9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35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213516"/>
    <w:rPr>
      <w:color w:val="808080"/>
    </w:rPr>
  </w:style>
  <w:style w:type="paragraph" w:styleId="a5">
    <w:name w:val="header"/>
    <w:basedOn w:val="a"/>
    <w:link w:val="a6"/>
    <w:uiPriority w:val="99"/>
    <w:unhideWhenUsed/>
    <w:rsid w:val="00723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7230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30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7230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A2091-E8F7-AB45-B0AC-1BC47C413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145</Words>
  <Characters>829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2017-12-05T16:37:00Z</dcterms:created>
  <dcterms:modified xsi:type="dcterms:W3CDTF">2018-09-25T05:58:00Z</dcterms:modified>
</cp:coreProperties>
</file>