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0"/>
        </w:rPr>
        <w:t>Rapport des metriques, courbes et resultats du modele H2S</w:t>
      </w:r>
    </w:p>
    <w:p>
      <w:pPr>
        <w:spacing w:after="280"/>
        <w:jc w:val="center"/>
      </w:pPr>
      <w:r>
        <w:rPr>
          <w:rFonts w:ascii="Calibri" w:hAnsi="Calibri"/>
          <w:i/>
          <w:color w:val="5A5A5A"/>
          <w:sz w:val="23"/>
        </w:rPr>
        <w:t>Evaluation du Random Forest et du LSTM a partir de DATASET01.csv</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spacing w:after="40" w:line="252" w:lineRule="auto"/>
            </w:pPr>
            <w:r>
              <w:rPr>
                <w:rFonts w:ascii="Calibri" w:hAnsi="Calibri"/>
                <w:b/>
                <w:color w:val="0B2545"/>
                <w:sz w:val="18"/>
              </w:rPr>
              <w:t>Element</w:t>
            </w:r>
          </w:p>
        </w:tc>
        <w:tc>
          <w:tcPr>
            <w:tcW w:type="dxa" w:w="66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Dataset</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RUPHIN\final\CORRECTION\MODELE\DATASET01.csv</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Notebook associe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RUPHIN\final\CORRECTION\MODELE\modele_h2s_colab_rf_lstm_RECUPERE_METRIQUES.ipynb</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Rapport genere le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01/07/2026 12:13</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Gaz etudie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H2S uniquement</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Variable principale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C_H2S_fusion_ppm</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Capteur de terrain actuel</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MQ-136, capteur unique ; en deploiement C_H2S_fusion_ppm = h2s_ppm</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80" w:line="264" w:lineRule="auto"/>
            </w:pPr>
            <w:r>
              <w:rPr>
                <w:rFonts w:ascii="Calibri" w:hAnsi="Calibri"/>
                <w:b/>
                <w:color w:val="0B2545"/>
                <w:sz w:val="21"/>
              </w:rPr>
              <w:t>Synthese des resultats</w:t>
            </w:r>
          </w:p>
          <w:p>
            <w:pPr>
              <w:spacing w:after="80" w:line="264" w:lineRule="auto"/>
            </w:pPr>
            <w:r>
              <w:rPr>
                <w:rFonts w:ascii="Calibri" w:hAnsi="Calibri"/>
                <w:sz w:val="21"/>
              </w:rPr>
              <w:t>Random Forest atteint 100.00 % d'accuracy test et 100.00 % de F1 macro. Le LSTM obtient une MAE de 0.189 ppm, un RMSE de 0.591 ppm et un R2 de 0.988 sur 767 sequences de test.</w:t>
            </w:r>
          </w:p>
        </w:tc>
      </w:tr>
    </w:tbl>
    <w:p>
      <w:pPr>
        <w:pStyle w:val="Heading1"/>
        <w:spacing w:before="320" w:after="160"/>
      </w:pPr>
      <w:r>
        <w:rPr>
          <w:rFonts w:ascii="Calibri" w:hAnsi="Calibri"/>
          <w:b/>
          <w:color w:val="2E74B5"/>
          <w:sz w:val="32"/>
        </w:rPr>
        <w:t>1. Donnees et nettoyage</w:t>
      </w:r>
    </w:p>
    <w:p>
      <w:pPr>
        <w:spacing w:after="120" w:line="264" w:lineRule="auto"/>
      </w:pPr>
      <w:r>
        <w:rPr>
          <w:rFonts w:ascii="Calibri" w:hAnsi="Calibri"/>
        </w:rPr>
        <w:t>Le dataset historique contient quatre colonnes de capteurs H2S. La concentration utilisee par le modele est la moyenne de ces capteurs. Les valeurs invalides, infinies, manquantes ou hors plage physique sont retirees avant l'entrainement.</w:t>
      </w:r>
    </w:p>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8"/>
              </w:rPr>
              <w:t>Indicateur</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Lignes brutes</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654 440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Colonnes brutes</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9</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Lignes nettoyees</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654 188</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Lignes supprimees</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252</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Taux de correspondance labels dataset vs seuils</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60.62 %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H2S moyen</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2.636 ppm</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H2S maximum</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31.440 ppm</w:t>
            </w:r>
          </w:p>
        </w:tc>
      </w:tr>
    </w:tbl>
    <w:tbl>
      <w:tblPr>
        <w:tblStyle w:val="TableGrid"/>
        <w:tblW w:type="dxa" w:w="9360"/>
        <w:jc w:val="left"/>
        <w:tblLayout w:type="fixed"/>
        <w:tblLook w:firstColumn="1" w:firstRow="1" w:lastColumn="0" w:lastRow="0" w:noHBand="0" w:noVBand="1" w:val="04A0"/>
        <w:tblInd w:w="120" w:type="dxa"/>
      </w:tblPr>
      <w:tblGrid>
        <w:gridCol w:w="3000"/>
        <w:gridCol w:w="3000"/>
        <w:gridCol w:w="3360"/>
      </w:tblGrid>
      <w:tr>
        <w:tc>
          <w:tcPr>
            <w:tcW w:type="dxa" w:w="3000"/>
            <w:tcMar>
              <w:top w:w="80" w:type="dxa"/>
              <w:start w:w="120" w:type="dxa"/>
              <w:bottom w:w="80" w:type="dxa"/>
              <w:end w:w="120" w:type="dxa"/>
            </w:tcMar>
            <w:vAlign w:val="center"/>
            <w:shd w:fill="F2F4F7"/>
          </w:tcPr>
          <w:p>
            <w:pPr>
              <w:spacing w:after="40" w:line="252" w:lineRule="auto"/>
            </w:pPr>
            <w:r>
              <w:rPr>
                <w:rFonts w:ascii="Calibri" w:hAnsi="Calibri"/>
                <w:b/>
                <w:color w:val="0B2545"/>
                <w:sz w:val="18"/>
              </w:rPr>
              <w:t>Classe</w:t>
            </w:r>
          </w:p>
        </w:tc>
        <w:tc>
          <w:tcPr>
            <w:tcW w:type="dxa" w:w="3000"/>
            <w:tcMar>
              <w:top w:w="80" w:type="dxa"/>
              <w:start w:w="120" w:type="dxa"/>
              <w:bottom w:w="80" w:type="dxa"/>
              <w:end w:w="120" w:type="dxa"/>
            </w:tcMar>
            <w:vAlign w:val="center"/>
            <w:shd w:fill="F2F4F7"/>
          </w:tcPr>
          <w:p>
            <w:pPr>
              <w:spacing w:after="40" w:line="252" w:lineRule="auto"/>
            </w:pPr>
            <w:r>
              <w:rPr>
                <w:rFonts w:ascii="Calibri" w:hAnsi="Calibri"/>
                <w:b/>
                <w:color w:val="0B2545"/>
                <w:sz w:val="18"/>
              </w:rPr>
              <w:t>Nombre</w:t>
            </w:r>
          </w:p>
        </w:tc>
        <w:tc>
          <w:tcPr>
            <w:tcW w:type="dxa" w:w="3360"/>
            <w:tcMar>
              <w:top w:w="80" w:type="dxa"/>
              <w:start w:w="120" w:type="dxa"/>
              <w:bottom w:w="80" w:type="dxa"/>
              <w:end w:w="120" w:type="dxa"/>
            </w:tcMar>
            <w:vAlign w:val="center"/>
            <w:shd w:fill="F2F4F7"/>
          </w:tcPr>
          <w:p>
            <w:pPr>
              <w:spacing w:after="40" w:line="252" w:lineRule="auto"/>
            </w:pPr>
            <w:r>
              <w:rPr>
                <w:rFonts w:ascii="Calibri" w:hAnsi="Calibri"/>
                <w:b/>
                <w:color w:val="0B2545"/>
                <w:sz w:val="18"/>
              </w:rPr>
              <w:t>Pourcentage</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NORMAL</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613 621</w:t>
            </w:r>
          </w:p>
        </w:tc>
        <w:tc>
          <w:tcPr>
            <w:tcW w:type="dxa" w:w="3360"/>
            <w:tcMar>
              <w:top w:w="80" w:type="dxa"/>
              <w:start w:w="120" w:type="dxa"/>
              <w:bottom w:w="80" w:type="dxa"/>
              <w:end w:w="120" w:type="dxa"/>
            </w:tcMar>
            <w:vAlign w:val="center"/>
          </w:tcPr>
          <w:p>
            <w:pPr>
              <w:spacing w:after="40" w:line="252" w:lineRule="auto"/>
            </w:pPr>
            <w:r>
              <w:rPr>
                <w:rFonts w:ascii="Calibri" w:hAnsi="Calibri"/>
                <w:sz w:val="18"/>
              </w:rPr>
              <w:t>93.80 %</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MODERE</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28 388</w:t>
            </w:r>
          </w:p>
        </w:tc>
        <w:tc>
          <w:tcPr>
            <w:tcW w:type="dxa" w:w="3360"/>
            <w:tcMar>
              <w:top w:w="80" w:type="dxa"/>
              <w:start w:w="120" w:type="dxa"/>
              <w:bottom w:w="80" w:type="dxa"/>
              <w:end w:w="120" w:type="dxa"/>
            </w:tcMar>
            <w:vAlign w:val="center"/>
          </w:tcPr>
          <w:p>
            <w:pPr>
              <w:spacing w:after="40" w:line="252" w:lineRule="auto"/>
            </w:pPr>
            <w:r>
              <w:rPr>
                <w:rFonts w:ascii="Calibri" w:hAnsi="Calibri"/>
                <w:sz w:val="18"/>
              </w:rPr>
              <w:t>4.34 %</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DANGEREUX</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12 179</w:t>
            </w:r>
          </w:p>
        </w:tc>
        <w:tc>
          <w:tcPr>
            <w:tcW w:type="dxa" w:w="3360"/>
            <w:tcMar>
              <w:top w:w="80" w:type="dxa"/>
              <w:start w:w="120" w:type="dxa"/>
              <w:bottom w:w="80" w:type="dxa"/>
              <w:end w:w="120" w:type="dxa"/>
            </w:tcMar>
            <w:vAlign w:val="center"/>
          </w:tcPr>
          <w:p>
            <w:pPr>
              <w:spacing w:after="40" w:line="252" w:lineRule="auto"/>
            </w:pPr>
            <w:r>
              <w:rPr>
                <w:rFonts w:ascii="Calibri" w:hAnsi="Calibri"/>
                <w:sz w:val="18"/>
              </w:rPr>
              <w:t>1.86 %</w:t>
            </w:r>
          </w:p>
        </w:tc>
      </w:tr>
    </w:tbl>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01_distribution_h2s.png"/>
                    <pic:cNvPicPr/>
                  </pic:nvPicPr>
                  <pic:blipFill>
                    <a:blip r:embed="rId11"/>
                    <a:stretch>
                      <a:fillRect/>
                    </a:stretch>
                  </pic:blipFill>
                  <pic:spPr>
                    <a:xfrm>
                      <a:off x="0" y="0"/>
                      <a:ext cx="5715000" cy="3214688"/>
                    </a:xfrm>
                    <a:prstGeom prst="rect"/>
                  </pic:spPr>
                </pic:pic>
              </a:graphicData>
            </a:graphic>
          </wp:inline>
        </w:drawing>
      </w:r>
    </w:p>
    <w:p>
      <w:pPr>
        <w:spacing w:after="160"/>
        <w:jc w:val="center"/>
      </w:pPr>
      <w:r>
        <w:rPr>
          <w:rFonts w:ascii="Calibri" w:hAnsi="Calibri"/>
          <w:i/>
          <w:color w:val="5A5A5A"/>
          <w:sz w:val="18"/>
        </w:rPr>
        <w:t>Figure 1 - Distribution de la concentration H2S fusionnee.</w:t>
      </w:r>
    </w:p>
    <w:p>
      <w:pPr>
        <w:jc w:val="center"/>
      </w:pPr>
      <w:r>
        <w:drawing>
          <wp:inline xmlns:a="http://schemas.openxmlformats.org/drawingml/2006/main" xmlns:pic="http://schemas.openxmlformats.org/drawingml/2006/picture">
            <wp:extent cx="5715000" cy="3673929"/>
            <wp:docPr id="2" name="Picture 2"/>
            <wp:cNvGraphicFramePr>
              <a:graphicFrameLocks noChangeAspect="1"/>
            </wp:cNvGraphicFramePr>
            <a:graphic>
              <a:graphicData uri="http://schemas.openxmlformats.org/drawingml/2006/picture">
                <pic:pic>
                  <pic:nvPicPr>
                    <pic:cNvPr id="0" name="02_distribution_classes.png"/>
                    <pic:cNvPicPr/>
                  </pic:nvPicPr>
                  <pic:blipFill>
                    <a:blip r:embed="rId12"/>
                    <a:stretch>
                      <a:fillRect/>
                    </a:stretch>
                  </pic:blipFill>
                  <pic:spPr>
                    <a:xfrm>
                      <a:off x="0" y="0"/>
                      <a:ext cx="5715000" cy="3673929"/>
                    </a:xfrm>
                    <a:prstGeom prst="rect"/>
                  </pic:spPr>
                </pic:pic>
              </a:graphicData>
            </a:graphic>
          </wp:inline>
        </w:drawing>
      </w:r>
    </w:p>
    <w:p>
      <w:pPr>
        <w:spacing w:after="160"/>
        <w:jc w:val="center"/>
      </w:pPr>
      <w:r>
        <w:rPr>
          <w:rFonts w:ascii="Calibri" w:hAnsi="Calibri"/>
          <w:i/>
          <w:color w:val="5A5A5A"/>
          <w:sz w:val="18"/>
        </w:rPr>
        <w:t>Figure 2 - Distribution des classes de risque.</w:t>
      </w:r>
    </w:p>
    <w:p>
      <w:pPr>
        <w:pStyle w:val="Heading1"/>
        <w:spacing w:before="320" w:after="160"/>
      </w:pPr>
      <w:r>
        <w:rPr>
          <w:rFonts w:ascii="Calibri" w:hAnsi="Calibri"/>
          <w:b/>
          <w:color w:val="2E74B5"/>
          <w:sz w:val="32"/>
        </w:rPr>
        <w:t>2. Metriques Random Forest</w:t>
      </w:r>
    </w:p>
    <w:p>
      <w:pPr>
        <w:spacing w:after="120" w:line="264" w:lineRule="auto"/>
      </w:pPr>
      <w:r>
        <w:rPr>
          <w:rFonts w:ascii="Calibri" w:hAnsi="Calibri"/>
        </w:rPr>
        <w:t>Le Random Forest realise la classification instantanee du danger. Dans cette evaluation, le jeu d'entrainement est equilibre afin que les trois classes NORMAL, MODERE et DANGEREUX soient representees de facon comparable.</w:t>
      </w:r>
    </w:p>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Parametre</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Lignes source RF</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52 179</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Lignes apres equilibrage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60 000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Train</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42 000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Validation</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9 000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Test</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9 000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OOB score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99.99 %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Importance C_H2S_fusion_ppm</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100.00 %</w:t>
            </w:r>
          </w:p>
        </w:tc>
      </w:tr>
    </w:tbl>
    <w:tbl>
      <w:tblPr>
        <w:tblStyle w:val="TableGrid"/>
        <w:tblW w:type="dxa" w:w="9360"/>
        <w:jc w:val="left"/>
        <w:tblLayout w:type="fixed"/>
        <w:tblLook w:firstColumn="1" w:firstRow="1" w:lastColumn="0" w:lastRow="0" w:noHBand="0" w:noVBand="1" w:val="04A0"/>
        <w:tblInd w:w="120" w:type="dxa"/>
      </w:tblPr>
      <w:tblGrid>
        <w:gridCol w:w="1600"/>
        <w:gridCol w:w="1900"/>
        <w:gridCol w:w="2300"/>
        <w:gridCol w:w="1800"/>
        <w:gridCol w:w="1760"/>
      </w:tblGrid>
      <w:tr>
        <w:tc>
          <w:tcPr>
            <w:tcW w:type="dxa" w:w="1600"/>
            <w:tcMar>
              <w:top w:w="80" w:type="dxa"/>
              <w:start w:w="120" w:type="dxa"/>
              <w:bottom w:w="80" w:type="dxa"/>
              <w:end w:w="120" w:type="dxa"/>
            </w:tcMar>
            <w:vAlign w:val="center"/>
            <w:shd w:fill="F2F4F7"/>
          </w:tcPr>
          <w:p>
            <w:pPr>
              <w:spacing w:after="40" w:line="252" w:lineRule="auto"/>
            </w:pPr>
            <w:r>
              <w:rPr>
                <w:rFonts w:ascii="Calibri" w:hAnsi="Calibri"/>
                <w:b/>
                <w:color w:val="0B2545"/>
                <w:sz w:val="18"/>
              </w:rPr>
              <w:t>Split</w:t>
            </w:r>
          </w:p>
        </w:tc>
        <w:tc>
          <w:tcPr>
            <w:tcW w:type="dxa" w:w="1900"/>
            <w:tcMar>
              <w:top w:w="80" w:type="dxa"/>
              <w:start w:w="120" w:type="dxa"/>
              <w:bottom w:w="80" w:type="dxa"/>
              <w:end w:w="120" w:type="dxa"/>
            </w:tcMar>
            <w:vAlign w:val="center"/>
            <w:shd w:fill="F2F4F7"/>
          </w:tcPr>
          <w:p>
            <w:pPr>
              <w:spacing w:after="40" w:line="252" w:lineRule="auto"/>
            </w:pPr>
            <w:r>
              <w:rPr>
                <w:rFonts w:ascii="Calibri" w:hAnsi="Calibri"/>
                <w:b/>
                <w:color w:val="0B2545"/>
                <w:sz w:val="18"/>
              </w:rPr>
              <w:t>Accuracy</w:t>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Balanced accuracy</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F1 macro</w:t>
            </w:r>
          </w:p>
        </w:tc>
        <w:tc>
          <w:tcPr>
            <w:tcW w:type="dxa" w:w="1760"/>
            <w:tcMar>
              <w:top w:w="80" w:type="dxa"/>
              <w:start w:w="120" w:type="dxa"/>
              <w:bottom w:w="80" w:type="dxa"/>
              <w:end w:w="120" w:type="dxa"/>
            </w:tcMar>
            <w:vAlign w:val="center"/>
            <w:shd w:fill="F2F4F7"/>
          </w:tcPr>
          <w:p>
            <w:pPr>
              <w:spacing w:after="40" w:line="252" w:lineRule="auto"/>
            </w:pPr>
            <w:r>
              <w:rPr>
                <w:rFonts w:ascii="Calibri" w:hAnsi="Calibri"/>
                <w:b/>
                <w:color w:val="0B2545"/>
                <w:sz w:val="18"/>
              </w:rPr>
              <w:t>F1 weighted</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train</w:t>
            </w:r>
          </w:p>
        </w:tc>
        <w:tc>
          <w:tcPr>
            <w:tcW w:type="dxa" w:w="19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760"/>
            <w:tcMar>
              <w:top w:w="80" w:type="dxa"/>
              <w:start w:w="120" w:type="dxa"/>
              <w:bottom w:w="80" w:type="dxa"/>
              <w:end w:w="120" w:type="dxa"/>
            </w:tcMar>
            <w:vAlign w:val="center"/>
          </w:tcPr>
          <w:p>
            <w:pPr>
              <w:spacing w:after="40" w:line="252" w:lineRule="auto"/>
            </w:pPr>
            <w:r>
              <w:rPr>
                <w:rFonts w:ascii="Calibri" w:hAnsi="Calibri"/>
                <w:sz w:val="18"/>
              </w:rPr>
              <w:t>100.00 %</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validation</w:t>
            </w:r>
          </w:p>
        </w:tc>
        <w:tc>
          <w:tcPr>
            <w:tcW w:type="dxa" w:w="19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760"/>
            <w:tcMar>
              <w:top w:w="80" w:type="dxa"/>
              <w:start w:w="120" w:type="dxa"/>
              <w:bottom w:w="80" w:type="dxa"/>
              <w:end w:w="120" w:type="dxa"/>
            </w:tcMar>
            <w:vAlign w:val="center"/>
          </w:tcPr>
          <w:p>
            <w:pPr>
              <w:spacing w:after="40" w:line="252" w:lineRule="auto"/>
            </w:pPr>
            <w:r>
              <w:rPr>
                <w:rFonts w:ascii="Calibri" w:hAnsi="Calibri"/>
                <w:sz w:val="18"/>
              </w:rPr>
              <w:t>100.00 %</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test</w:t>
            </w:r>
          </w:p>
        </w:tc>
        <w:tc>
          <w:tcPr>
            <w:tcW w:type="dxa" w:w="19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760"/>
            <w:tcMar>
              <w:top w:w="80" w:type="dxa"/>
              <w:start w:w="120" w:type="dxa"/>
              <w:bottom w:w="80" w:type="dxa"/>
              <w:end w:w="120" w:type="dxa"/>
            </w:tcMar>
            <w:vAlign w:val="center"/>
          </w:tcPr>
          <w:p>
            <w:pPr>
              <w:spacing w:after="40" w:line="252" w:lineRule="auto"/>
            </w:pPr>
            <w:r>
              <w:rPr>
                <w:rFonts w:ascii="Calibri" w:hAnsi="Calibri"/>
                <w:sz w:val="18"/>
              </w:rPr>
              <w:t>100.00 %</w:t>
            </w:r>
          </w:p>
        </w:tc>
      </w:tr>
    </w:tbl>
    <w:tbl>
      <w:tblPr>
        <w:tblStyle w:val="TableGrid"/>
        <w:tblW w:type="dxa" w:w="9360"/>
        <w:jc w:val="left"/>
        <w:tblLayout w:type="fixed"/>
        <w:tblLook w:firstColumn="1" w:firstRow="1" w:lastColumn="0" w:lastRow="0" w:noHBand="0" w:noVBand="1" w:val="04A0"/>
        <w:tblInd w:w="120" w:type="dxa"/>
      </w:tblPr>
      <w:tblGrid>
        <w:gridCol w:w="2300"/>
        <w:gridCol w:w="1800"/>
        <w:gridCol w:w="1800"/>
        <w:gridCol w:w="1800"/>
        <w:gridCol w:w="1660"/>
      </w:tblGrid>
      <w:tr>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Classe</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Precision</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Recall</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F1-score</w:t>
            </w:r>
          </w:p>
        </w:tc>
        <w:tc>
          <w:tcPr>
            <w:tcW w:type="dxa" w:w="1660"/>
            <w:tcMar>
              <w:top w:w="80" w:type="dxa"/>
              <w:start w:w="120" w:type="dxa"/>
              <w:bottom w:w="80" w:type="dxa"/>
              <w:end w:w="120" w:type="dxa"/>
            </w:tcMar>
            <w:vAlign w:val="center"/>
            <w:shd w:fill="F2F4F7"/>
          </w:tcPr>
          <w:p>
            <w:pPr>
              <w:spacing w:after="40" w:line="252" w:lineRule="auto"/>
            </w:pPr>
            <w:r>
              <w:rPr>
                <w:rFonts w:ascii="Calibri" w:hAnsi="Calibri"/>
                <w:b/>
                <w:color w:val="0B2545"/>
                <w:sz w:val="18"/>
              </w:rPr>
              <w:t>Support</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8"/>
              </w:rPr>
              <w:t>NORMAL</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660"/>
            <w:tcMar>
              <w:top w:w="80" w:type="dxa"/>
              <w:start w:w="120" w:type="dxa"/>
              <w:bottom w:w="80" w:type="dxa"/>
              <w:end w:w="120" w:type="dxa"/>
            </w:tcMar>
            <w:vAlign w:val="center"/>
          </w:tcPr>
          <w:p>
            <w:pPr>
              <w:spacing w:after="40" w:line="252" w:lineRule="auto"/>
            </w:pPr>
            <w:r>
              <w:rPr>
                <w:rFonts w:ascii="Calibri" w:hAnsi="Calibri"/>
                <w:sz w:val="18"/>
              </w:rPr>
              <w:t>3 000</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8"/>
              </w:rPr>
              <w:t>MODERE</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660"/>
            <w:tcMar>
              <w:top w:w="80" w:type="dxa"/>
              <w:start w:w="120" w:type="dxa"/>
              <w:bottom w:w="80" w:type="dxa"/>
              <w:end w:w="120" w:type="dxa"/>
            </w:tcMar>
            <w:vAlign w:val="center"/>
          </w:tcPr>
          <w:p>
            <w:pPr>
              <w:spacing w:after="40" w:line="252" w:lineRule="auto"/>
            </w:pPr>
            <w:r>
              <w:rPr>
                <w:rFonts w:ascii="Calibri" w:hAnsi="Calibri"/>
                <w:sz w:val="18"/>
              </w:rPr>
              <w:t>3 000</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8"/>
              </w:rPr>
              <w:t>DANGEREUX</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100.00 %</w:t>
            </w:r>
          </w:p>
        </w:tc>
        <w:tc>
          <w:tcPr>
            <w:tcW w:type="dxa" w:w="1660"/>
            <w:tcMar>
              <w:top w:w="80" w:type="dxa"/>
              <w:start w:w="120" w:type="dxa"/>
              <w:bottom w:w="80" w:type="dxa"/>
              <w:end w:w="120" w:type="dxa"/>
            </w:tcMar>
            <w:vAlign w:val="center"/>
          </w:tcPr>
          <w:p>
            <w:pPr>
              <w:spacing w:after="40" w:line="252" w:lineRule="auto"/>
            </w:pPr>
            <w:r>
              <w:rPr>
                <w:rFonts w:ascii="Calibri" w:hAnsi="Calibri"/>
                <w:sz w:val="18"/>
              </w:rPr>
              <w:t>3 000</w:t>
            </w:r>
          </w:p>
        </w:tc>
      </w:tr>
    </w:tbl>
    <w:tbl>
      <w:tblPr>
        <w:tblStyle w:val="TableGrid"/>
        <w:tblW w:type="dxa" w:w="9360"/>
        <w:jc w:val="left"/>
        <w:tblLayout w:type="fixed"/>
        <w:tblLook w:firstColumn="1" w:firstRow="1" w:lastColumn="0" w:lastRow="0" w:noHBand="0" w:noVBand="1" w:val="04A0"/>
        <w:tblInd w:w="120" w:type="dxa"/>
      </w:tblPr>
      <w:tblGrid>
        <w:gridCol w:w="2400"/>
        <w:gridCol w:w="2300"/>
        <w:gridCol w:w="2300"/>
        <w:gridCol w:w="2360"/>
      </w:tblGrid>
      <w:tr>
        <w:tc>
          <w:tcPr>
            <w:tcW w:type="dxa" w:w="2400"/>
            <w:tcMar>
              <w:top w:w="80" w:type="dxa"/>
              <w:start w:w="120" w:type="dxa"/>
              <w:bottom w:w="80" w:type="dxa"/>
              <w:end w:w="120" w:type="dxa"/>
            </w:tcMar>
            <w:vAlign w:val="center"/>
            <w:shd w:fill="F2F4F7"/>
          </w:tcPr>
          <w:p>
            <w:pPr>
              <w:spacing w:after="40" w:line="252" w:lineRule="auto"/>
            </w:pPr>
            <w:r>
              <w:rPr>
                <w:rFonts w:ascii="Calibri" w:hAnsi="Calibri"/>
                <w:b/>
                <w:color w:val="0B2545"/>
                <w:sz w:val="18"/>
              </w:rPr>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Pred NORMAL</w:t>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Pred MODERE</w:t>
            </w:r>
          </w:p>
        </w:tc>
        <w:tc>
          <w:tcPr>
            <w:tcW w:type="dxa" w:w="236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Pred DANGEREUX</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Reel NORMAL</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3000</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0</w:t>
            </w:r>
          </w:p>
        </w:tc>
        <w:tc>
          <w:tcPr>
            <w:tcW w:type="dxa" w:w="2360"/>
            <w:tcMar>
              <w:top w:w="80" w:type="dxa"/>
              <w:start w:w="120" w:type="dxa"/>
              <w:bottom w:w="80" w:type="dxa"/>
              <w:end w:w="120" w:type="dxa"/>
            </w:tcMar>
            <w:vAlign w:val="center"/>
          </w:tcPr>
          <w:p>
            <w:pPr>
              <w:spacing w:after="40" w:line="252" w:lineRule="auto"/>
            </w:pPr>
            <w:r>
              <w:rPr>
                <w:rFonts w:ascii="Calibri" w:hAnsi="Calibri"/>
                <w:sz w:val="18"/>
              </w:rPr>
              <w:t>0</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Reel MODERE</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0</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3000</w:t>
            </w:r>
          </w:p>
        </w:tc>
        <w:tc>
          <w:tcPr>
            <w:tcW w:type="dxa" w:w="2360"/>
            <w:tcMar>
              <w:top w:w="80" w:type="dxa"/>
              <w:start w:w="120" w:type="dxa"/>
              <w:bottom w:w="80" w:type="dxa"/>
              <w:end w:w="120" w:type="dxa"/>
            </w:tcMar>
            <w:vAlign w:val="center"/>
          </w:tcPr>
          <w:p>
            <w:pPr>
              <w:spacing w:after="40" w:line="252" w:lineRule="auto"/>
            </w:pPr>
            <w:r>
              <w:rPr>
                <w:rFonts w:ascii="Calibri" w:hAnsi="Calibri"/>
                <w:sz w:val="18"/>
              </w:rPr>
              <w:t>0</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Reel DANGEREUX</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0</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0</w:t>
            </w:r>
          </w:p>
        </w:tc>
        <w:tc>
          <w:tcPr>
            <w:tcW w:type="dxa" w:w="2360"/>
            <w:tcMar>
              <w:top w:w="80" w:type="dxa"/>
              <w:start w:w="120" w:type="dxa"/>
              <w:bottom w:w="80" w:type="dxa"/>
              <w:end w:w="120" w:type="dxa"/>
            </w:tcMar>
            <w:vAlign w:val="center"/>
          </w:tcPr>
          <w:p>
            <w:pPr>
              <w:spacing w:after="40" w:line="252" w:lineRule="auto"/>
            </w:pPr>
            <w:r>
              <w:rPr>
                <w:rFonts w:ascii="Calibri" w:hAnsi="Calibri"/>
                <w:sz w:val="18"/>
              </w:rPr>
              <w:t>3000</w:t>
            </w:r>
          </w:p>
        </w:tc>
      </w:tr>
    </w:tbl>
    <w:p>
      <w:pPr>
        <w:jc w:val="center"/>
      </w:pPr>
      <w:r>
        <w:drawing>
          <wp:inline xmlns:a="http://schemas.openxmlformats.org/drawingml/2006/main" xmlns:pic="http://schemas.openxmlformats.org/drawingml/2006/picture">
            <wp:extent cx="5715000" cy="4762500"/>
            <wp:docPr id="3" name="Picture 3"/>
            <wp:cNvGraphicFramePr>
              <a:graphicFrameLocks noChangeAspect="1"/>
            </wp:cNvGraphicFramePr>
            <a:graphic>
              <a:graphicData uri="http://schemas.openxmlformats.org/drawingml/2006/picture">
                <pic:pic>
                  <pic:nvPicPr>
                    <pic:cNvPr id="0" name="03_rf_matrice_confusion.png"/>
                    <pic:cNvPicPr/>
                  </pic:nvPicPr>
                  <pic:blipFill>
                    <a:blip r:embed="rId13"/>
                    <a:stretch>
                      <a:fillRect/>
                    </a:stretch>
                  </pic:blipFill>
                  <pic:spPr>
                    <a:xfrm>
                      <a:off x="0" y="0"/>
                      <a:ext cx="5715000" cy="4762500"/>
                    </a:xfrm>
                    <a:prstGeom prst="rect"/>
                  </pic:spPr>
                </pic:pic>
              </a:graphicData>
            </a:graphic>
          </wp:inline>
        </w:drawing>
      </w:r>
    </w:p>
    <w:p>
      <w:pPr>
        <w:spacing w:after="160"/>
        <w:jc w:val="center"/>
      </w:pPr>
      <w:r>
        <w:rPr>
          <w:rFonts w:ascii="Calibri" w:hAnsi="Calibri"/>
          <w:i/>
          <w:color w:val="5A5A5A"/>
          <w:sz w:val="18"/>
        </w:rPr>
        <w:t>Figure 3 - Matrice de confusion Random Forest sur le test.</w:t>
      </w:r>
    </w:p>
    <w:p>
      <w:pPr>
        <w:jc w:val="center"/>
      </w:pPr>
      <w:r>
        <w:drawing>
          <wp:inline xmlns:a="http://schemas.openxmlformats.org/drawingml/2006/main" xmlns:pic="http://schemas.openxmlformats.org/drawingml/2006/picture">
            <wp:extent cx="5715000" cy="3810000"/>
            <wp:docPr id="4" name="Picture 4"/>
            <wp:cNvGraphicFramePr>
              <a:graphicFrameLocks noChangeAspect="1"/>
            </wp:cNvGraphicFramePr>
            <a:graphic>
              <a:graphicData uri="http://schemas.openxmlformats.org/drawingml/2006/picture">
                <pic:pic>
                  <pic:nvPicPr>
                    <pic:cNvPr id="0" name="04_rf_importance_variable.png"/>
                    <pic:cNvPicPr/>
                  </pic:nvPicPr>
                  <pic:blipFill>
                    <a:blip r:embed="rId14"/>
                    <a:stretch>
                      <a:fillRect/>
                    </a:stretch>
                  </pic:blipFill>
                  <pic:spPr>
                    <a:xfrm>
                      <a:off x="0" y="0"/>
                      <a:ext cx="5715000" cy="3810000"/>
                    </a:xfrm>
                    <a:prstGeom prst="rect"/>
                  </pic:spPr>
                </pic:pic>
              </a:graphicData>
            </a:graphic>
          </wp:inline>
        </w:drawing>
      </w:r>
    </w:p>
    <w:p>
      <w:pPr>
        <w:spacing w:after="160"/>
        <w:jc w:val="center"/>
      </w:pPr>
      <w:r>
        <w:rPr>
          <w:rFonts w:ascii="Calibri" w:hAnsi="Calibri"/>
          <w:i/>
          <w:color w:val="5A5A5A"/>
          <w:sz w:val="18"/>
        </w:rPr>
        <w:t>Figure 4 - Importance de la variable Random Forest.</w:t>
      </w:r>
    </w:p>
    <w:p>
      <w:pPr>
        <w:jc w:val="center"/>
      </w:pPr>
      <w:r>
        <w:drawing>
          <wp:inline xmlns:a="http://schemas.openxmlformats.org/drawingml/2006/main" xmlns:pic="http://schemas.openxmlformats.org/drawingml/2006/picture">
            <wp:extent cx="5715000" cy="3673929"/>
            <wp:docPr id="5" name="Picture 5"/>
            <wp:cNvGraphicFramePr>
              <a:graphicFrameLocks noChangeAspect="1"/>
            </wp:cNvGraphicFramePr>
            <a:graphic>
              <a:graphicData uri="http://schemas.openxmlformats.org/drawingml/2006/picture">
                <pic:pic>
                  <pic:nvPicPr>
                    <pic:cNvPr id="0" name="05_rf_courbe_apprentissage.png"/>
                    <pic:cNvPicPr/>
                  </pic:nvPicPr>
                  <pic:blipFill>
                    <a:blip r:embed="rId15"/>
                    <a:stretch>
                      <a:fillRect/>
                    </a:stretch>
                  </pic:blipFill>
                  <pic:spPr>
                    <a:xfrm>
                      <a:off x="0" y="0"/>
                      <a:ext cx="5715000" cy="3673929"/>
                    </a:xfrm>
                    <a:prstGeom prst="rect"/>
                  </pic:spPr>
                </pic:pic>
              </a:graphicData>
            </a:graphic>
          </wp:inline>
        </w:drawing>
      </w:r>
    </w:p>
    <w:p>
      <w:pPr>
        <w:spacing w:after="160"/>
        <w:jc w:val="center"/>
      </w:pPr>
      <w:r>
        <w:rPr>
          <w:rFonts w:ascii="Calibri" w:hAnsi="Calibri"/>
          <w:i/>
          <w:color w:val="5A5A5A"/>
          <w:sz w:val="18"/>
        </w:rPr>
        <w:t>Figure 5 - Courbe d'apprentissage Random Forest.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5"/>
          </w:tcPr>
          <w:p>
            <w:pPr>
              <w:spacing w:after="80" w:line="264" w:lineRule="auto"/>
            </w:pPr>
            <w:r>
              <w:rPr>
                <w:rFonts w:ascii="Calibri" w:hAnsi="Calibri"/>
                <w:b/>
                <w:color w:val="0B2545"/>
                <w:sz w:val="21"/>
              </w:rPr>
              <w:t>Interpretation Random Forest</w:t>
            </w:r>
          </w:p>
          <w:p>
            <w:pPr>
              <w:spacing w:after="80" w:line="264" w:lineRule="auto"/>
            </w:pPr>
            <w:r>
              <w:rPr>
                <w:rFonts w:ascii="Calibri" w:hAnsi="Calibri"/>
                <w:sz w:val="21"/>
              </w:rPr>
              <w:t>Les performances parfaites s'expliquent par la nature du probleme : les classes sont definies par des seuils directement appliques a la concentration H2S. Le modele apprend donc des frontieres tres nettes autour de 10 ppm et 20 ppm. Ce resultat est coherent pour le prototype, mais il doit etre presente avec prudence et complete par des essais terrain.</w:t>
            </w:r>
          </w:p>
        </w:tc>
      </w:tr>
    </w:tbl>
    <w:p>
      <w:pPr>
        <w:pStyle w:val="Heading1"/>
        <w:spacing w:before="320" w:after="160"/>
      </w:pPr>
      <w:r>
        <w:rPr>
          <w:rFonts w:ascii="Calibri" w:hAnsi="Calibri"/>
          <w:b/>
          <w:color w:val="2E74B5"/>
          <w:sz w:val="32"/>
        </w:rPr>
        <w:t>3. Metriques LSTM</w:t>
      </w:r>
    </w:p>
    <w:p>
      <w:pPr>
        <w:spacing w:after="120" w:line="264" w:lineRule="auto"/>
      </w:pPr>
      <w:r>
        <w:rPr>
          <w:rFonts w:ascii="Calibri" w:hAnsi="Calibri"/>
        </w:rPr>
        <w:t>Le LSTM traite le signal comme une serie temporelle. Il recoit une fenetre de 60 mesures et predit la concentration H2S future a un horizon de 50 pas. Les metriques sont calculees apres reconversion des predictions en ppm.</w:t>
      </w:r>
    </w:p>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Parametre</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Fenetre temporelle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60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Horizon</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50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Stride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128</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Forme d'entree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[60, 1]</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Sequences train</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3 577</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Sequences validation</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767</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Sequences test</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767</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Epoques executees</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30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Parametres du modele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785</w:t>
            </w:r>
          </w:p>
        </w:tc>
      </w:tr>
    </w:tbl>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8"/>
              </w:rPr>
              <w:t>Metrique</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MAE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0.189 ppm</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RMSE</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0.591 ppm</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R2</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0.988</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8"/>
              </w:rPr>
              <w:t>Sequences de test</w:t>
            </w:r>
          </w:p>
        </w:tc>
        <w:tc>
          <w:tcPr>
            <w:tcW w:type="dxa" w:w="4160"/>
            <w:tcMar>
              <w:top w:w="80" w:type="dxa"/>
              <w:start w:w="120" w:type="dxa"/>
              <w:bottom w:w="80" w:type="dxa"/>
              <w:end w:w="120" w:type="dxa"/>
            </w:tcMar>
            <w:vAlign w:val="center"/>
          </w:tcPr>
          <w:p>
            <w:pPr>
              <w:spacing w:after="40" w:line="252" w:lineRule="auto"/>
            </w:pPr>
            <w:r>
              <w:rPr>
                <w:rFonts w:ascii="Calibri" w:hAnsi="Calibri"/>
                <w:sz w:val="18"/>
              </w:rPr>
              <w:t>767</w:t>
            </w:r>
          </w:p>
        </w:tc>
      </w:tr>
    </w:tbl>
    <w:p>
      <w:pPr>
        <w:jc w:val="center"/>
      </w:pPr>
      <w:r>
        <w:drawing>
          <wp:inline xmlns:a="http://schemas.openxmlformats.org/drawingml/2006/main" xmlns:pic="http://schemas.openxmlformats.org/drawingml/2006/picture">
            <wp:extent cx="5715000" cy="2143125"/>
            <wp:docPr id="6" name="Picture 6"/>
            <wp:cNvGraphicFramePr>
              <a:graphicFrameLocks noChangeAspect="1"/>
            </wp:cNvGraphicFramePr>
            <a:graphic>
              <a:graphicData uri="http://schemas.openxmlformats.org/drawingml/2006/picture">
                <pic:pic>
                  <pic:nvPicPr>
                    <pic:cNvPr id="0" name="06_lstm_courbes_entrainement.png"/>
                    <pic:cNvPicPr/>
                  </pic:nvPicPr>
                  <pic:blipFill>
                    <a:blip r:embed="rId16"/>
                    <a:stretch>
                      <a:fillRect/>
                    </a:stretch>
                  </pic:blipFill>
                  <pic:spPr>
                    <a:xfrm>
                      <a:off x="0" y="0"/>
                      <a:ext cx="5715000" cy="2143125"/>
                    </a:xfrm>
                    <a:prstGeom prst="rect"/>
                  </pic:spPr>
                </pic:pic>
              </a:graphicData>
            </a:graphic>
          </wp:inline>
        </w:drawing>
      </w:r>
    </w:p>
    <w:p>
      <w:pPr>
        <w:spacing w:after="160"/>
        <w:jc w:val="center"/>
      </w:pPr>
      <w:r>
        <w:rPr>
          <w:rFonts w:ascii="Calibri" w:hAnsi="Calibri"/>
          <w:i/>
          <w:color w:val="5A5A5A"/>
          <w:sz w:val="18"/>
        </w:rPr>
        <w:t>Figure 6 - Courbes d'entrainement LSTM : loss et MAE.</w:t>
      </w:r>
    </w:p>
    <w:p>
      <w:pPr>
        <w:jc w:val="center"/>
      </w:pPr>
      <w:r>
        <w:drawing>
          <wp:inline xmlns:a="http://schemas.openxmlformats.org/drawingml/2006/main" xmlns:pic="http://schemas.openxmlformats.org/drawingml/2006/picture">
            <wp:extent cx="5715000" cy="2571750"/>
            <wp:docPr id="7" name="Picture 7"/>
            <wp:cNvGraphicFramePr>
              <a:graphicFrameLocks noChangeAspect="1"/>
            </wp:cNvGraphicFramePr>
            <a:graphic>
              <a:graphicData uri="http://schemas.openxmlformats.org/drawingml/2006/picture">
                <pic:pic>
                  <pic:nvPicPr>
                    <pic:cNvPr id="0" name="07_lstm_reel_vs_predit.png"/>
                    <pic:cNvPicPr/>
                  </pic:nvPicPr>
                  <pic:blipFill>
                    <a:blip r:embed="rId17"/>
                    <a:stretch>
                      <a:fillRect/>
                    </a:stretch>
                  </pic:blipFill>
                  <pic:spPr>
                    <a:xfrm>
                      <a:off x="0" y="0"/>
                      <a:ext cx="5715000" cy="2571750"/>
                    </a:xfrm>
                    <a:prstGeom prst="rect"/>
                  </pic:spPr>
                </pic:pic>
              </a:graphicData>
            </a:graphic>
          </wp:inline>
        </w:drawing>
      </w:r>
    </w:p>
    <w:p>
      <w:pPr>
        <w:spacing w:after="160"/>
        <w:jc w:val="center"/>
      </w:pPr>
      <w:r>
        <w:rPr>
          <w:rFonts w:ascii="Calibri" w:hAnsi="Calibri"/>
          <w:i/>
          <w:color w:val="5A5A5A"/>
          <w:sz w:val="18"/>
        </w:rPr>
        <w:t>Figure 7 - Comparaison H2S reel vs H2S predit par le LSTM.</w:t>
      </w:r>
    </w:p>
    <w:p>
      <w:pPr>
        <w:jc w:val="center"/>
      </w:pPr>
      <w:r>
        <w:drawing>
          <wp:inline xmlns:a="http://schemas.openxmlformats.org/drawingml/2006/main" xmlns:pic="http://schemas.openxmlformats.org/drawingml/2006/picture">
            <wp:extent cx="5715000" cy="3673929"/>
            <wp:docPr id="8" name="Picture 8"/>
            <wp:cNvGraphicFramePr>
              <a:graphicFrameLocks noChangeAspect="1"/>
            </wp:cNvGraphicFramePr>
            <a:graphic>
              <a:graphicData uri="http://schemas.openxmlformats.org/drawingml/2006/picture">
                <pic:pic>
                  <pic:nvPicPr>
                    <pic:cNvPr id="0" name="08_lstm_distribution_erreurs.png"/>
                    <pic:cNvPicPr/>
                  </pic:nvPicPr>
                  <pic:blipFill>
                    <a:blip r:embed="rId18"/>
                    <a:stretch>
                      <a:fillRect/>
                    </a:stretch>
                  </pic:blipFill>
                  <pic:spPr>
                    <a:xfrm>
                      <a:off x="0" y="0"/>
                      <a:ext cx="5715000" cy="3673929"/>
                    </a:xfrm>
                    <a:prstGeom prst="rect"/>
                  </pic:spPr>
                </pic:pic>
              </a:graphicData>
            </a:graphic>
          </wp:inline>
        </w:drawing>
      </w:r>
    </w:p>
    <w:p>
      <w:pPr>
        <w:spacing w:after="160"/>
        <w:jc w:val="center"/>
      </w:pPr>
      <w:r>
        <w:rPr>
          <w:rFonts w:ascii="Calibri" w:hAnsi="Calibri"/>
          <w:i/>
          <w:color w:val="5A5A5A"/>
          <w:sz w:val="18"/>
        </w:rPr>
        <w:t>Figure 8 - Distribution des erreurs de prediction LSTM.</w:t>
      </w:r>
    </w:p>
    <w:tbl>
      <w:tblPr>
        <w:tblStyle w:val="TableGrid"/>
        <w:tblW w:type="dxa" w:w="9360"/>
        <w:jc w:val="left"/>
        <w:tblLayout w:type="fixed"/>
        <w:tblLook w:firstColumn="1" w:firstRow="1" w:lastColumn="0" w:lastRow="0" w:noHBand="0" w:noVBand="1" w:val="04A0"/>
        <w:tblInd w:w="120" w:type="dxa"/>
      </w:tblPr>
      <w:tblGrid>
        <w:gridCol w:w="3200"/>
        <w:gridCol w:w="3000"/>
        <w:gridCol w:w="3160"/>
      </w:tblGrid>
      <w:tr>
        <w:tc>
          <w:tcPr>
            <w:tcW w:type="dxa" w:w="3200"/>
            <w:tcMar>
              <w:top w:w="80" w:type="dxa"/>
              <w:start w:w="120" w:type="dxa"/>
              <w:bottom w:w="80" w:type="dxa"/>
              <w:end w:w="120" w:type="dxa"/>
            </w:tcMar>
            <w:vAlign w:val="center"/>
            <w:shd w:fill="F2F4F7"/>
          </w:tcPr>
          <w:p>
            <w:pPr>
              <w:spacing w:after="40" w:line="252" w:lineRule="auto"/>
            </w:pPr>
            <w:r>
              <w:rPr>
                <w:rFonts w:ascii="Calibri" w:hAnsi="Calibri"/>
                <w:b/>
                <w:color w:val="0B2545"/>
                <w:sz w:val="18"/>
              </w:rPr>
              <w:t>Classe future</w:t>
            </w:r>
          </w:p>
        </w:tc>
        <w:tc>
          <w:tcPr>
            <w:tcW w:type="dxa" w:w="30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Par seuil H2S</w:t>
            </w:r>
          </w:p>
        </w:tc>
        <w:tc>
          <w:tcPr>
            <w:tcW w:type="dxa" w:w="3160"/>
            <w:tcMar>
              <w:top w:w="80" w:type="dxa"/>
              <w:start w:w="120" w:type="dxa"/>
              <w:bottom w:w="80" w:type="dxa"/>
              <w:end w:w="120" w:type="dxa"/>
            </w:tcMar>
            <w:vAlign w:val="center"/>
            <w:shd w:fill="F2F4F7"/>
          </w:tcPr>
          <w:p>
            <w:pPr>
              <w:spacing w:after="40" w:line="252" w:lineRule="auto"/>
            </w:pPr>
            <w:r>
              <w:rPr>
                <w:rFonts w:ascii="Calibri" w:hAnsi="Calibri"/>
                <w:b/>
                <w:color w:val="0B2545"/>
                <w:sz w:val="18"/>
              </w:rPr>
              <w:t>Par Random Forest</w:t>
            </w:r>
          </w:p>
        </w:tc>
      </w:tr>
      <w:tr>
        <w:tc>
          <w:tcPr>
            <w:tcW w:type="dxa" w:w="3200"/>
            <w:tcMar>
              <w:top w:w="80" w:type="dxa"/>
              <w:start w:w="120" w:type="dxa"/>
              <w:bottom w:w="80" w:type="dxa"/>
              <w:end w:w="120" w:type="dxa"/>
            </w:tcMar>
            <w:vAlign w:val="center"/>
          </w:tcPr>
          <w:p>
            <w:pPr>
              <w:spacing w:after="40" w:line="252" w:lineRule="auto"/>
            </w:pPr>
            <w:r>
              <w:rPr>
                <w:rFonts w:ascii="Calibri" w:hAnsi="Calibri"/>
                <w:sz w:val="18"/>
              </w:rPr>
              <w:t>NORMAL</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711</w:t>
            </w:r>
          </w:p>
        </w:tc>
        <w:tc>
          <w:tcPr>
            <w:tcW w:type="dxa" w:w="3160"/>
            <w:tcMar>
              <w:top w:w="80" w:type="dxa"/>
              <w:start w:w="120" w:type="dxa"/>
              <w:bottom w:w="80" w:type="dxa"/>
              <w:end w:w="120" w:type="dxa"/>
            </w:tcMar>
            <w:vAlign w:val="center"/>
          </w:tcPr>
          <w:p>
            <w:pPr>
              <w:spacing w:after="40" w:line="252" w:lineRule="auto"/>
            </w:pPr>
            <w:r>
              <w:rPr>
                <w:rFonts w:ascii="Calibri" w:hAnsi="Calibri"/>
                <w:sz w:val="18"/>
              </w:rPr>
              <w:t>711</w:t>
            </w:r>
          </w:p>
        </w:tc>
      </w:tr>
      <w:tr>
        <w:tc>
          <w:tcPr>
            <w:tcW w:type="dxa" w:w="3200"/>
            <w:tcMar>
              <w:top w:w="80" w:type="dxa"/>
              <w:start w:w="120" w:type="dxa"/>
              <w:bottom w:w="80" w:type="dxa"/>
              <w:end w:w="120" w:type="dxa"/>
            </w:tcMar>
            <w:vAlign w:val="center"/>
          </w:tcPr>
          <w:p>
            <w:pPr>
              <w:spacing w:after="40" w:line="252" w:lineRule="auto"/>
            </w:pPr>
            <w:r>
              <w:rPr>
                <w:rFonts w:ascii="Calibri" w:hAnsi="Calibri"/>
                <w:sz w:val="18"/>
              </w:rPr>
              <w:t>MODERE</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22</w:t>
            </w:r>
          </w:p>
        </w:tc>
        <w:tc>
          <w:tcPr>
            <w:tcW w:type="dxa" w:w="3160"/>
            <w:tcMar>
              <w:top w:w="80" w:type="dxa"/>
              <w:start w:w="120" w:type="dxa"/>
              <w:bottom w:w="80" w:type="dxa"/>
              <w:end w:w="120" w:type="dxa"/>
            </w:tcMar>
            <w:vAlign w:val="center"/>
          </w:tcPr>
          <w:p>
            <w:pPr>
              <w:spacing w:after="40" w:line="252" w:lineRule="auto"/>
            </w:pPr>
            <w:r>
              <w:rPr>
                <w:rFonts w:ascii="Calibri" w:hAnsi="Calibri"/>
                <w:sz w:val="18"/>
              </w:rPr>
              <w:t>22</w:t>
            </w:r>
          </w:p>
        </w:tc>
      </w:tr>
      <w:tr>
        <w:tc>
          <w:tcPr>
            <w:tcW w:type="dxa" w:w="3200"/>
            <w:tcMar>
              <w:top w:w="80" w:type="dxa"/>
              <w:start w:w="120" w:type="dxa"/>
              <w:bottom w:w="80" w:type="dxa"/>
              <w:end w:w="120" w:type="dxa"/>
            </w:tcMar>
            <w:vAlign w:val="center"/>
          </w:tcPr>
          <w:p>
            <w:pPr>
              <w:spacing w:after="40" w:line="252" w:lineRule="auto"/>
            </w:pPr>
            <w:r>
              <w:rPr>
                <w:rFonts w:ascii="Calibri" w:hAnsi="Calibri"/>
                <w:sz w:val="18"/>
              </w:rPr>
              <w:t>DANGEREUX</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34</w:t>
            </w:r>
          </w:p>
        </w:tc>
        <w:tc>
          <w:tcPr>
            <w:tcW w:type="dxa" w:w="3160"/>
            <w:tcMar>
              <w:top w:w="80" w:type="dxa"/>
              <w:start w:w="120" w:type="dxa"/>
              <w:bottom w:w="80" w:type="dxa"/>
              <w:end w:w="120" w:type="dxa"/>
            </w:tcMar>
            <w:vAlign w:val="center"/>
          </w:tcPr>
          <w:p>
            <w:pPr>
              <w:spacing w:after="40" w:line="252" w:lineRule="auto"/>
            </w:pPr>
            <w:r>
              <w:rPr>
                <w:rFonts w:ascii="Calibri" w:hAnsi="Calibri"/>
                <w:sz w:val="18"/>
              </w:rPr>
              <w:t>34</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80" w:line="264" w:lineRule="auto"/>
            </w:pPr>
            <w:r>
              <w:rPr>
                <w:rFonts w:ascii="Calibri" w:hAnsi="Calibri"/>
                <w:b/>
                <w:color w:val="0B2545"/>
                <w:sz w:val="21"/>
              </w:rPr>
              <w:t>Interpretation LSTM</w:t>
            </w:r>
          </w:p>
          <w:p>
            <w:pPr>
              <w:spacing w:after="80" w:line="264" w:lineRule="auto"/>
            </w:pPr>
            <w:r>
              <w:rPr>
                <w:rFonts w:ascii="Calibri" w:hAnsi="Calibri"/>
                <w:sz w:val="21"/>
              </w:rPr>
              <w:t>Le LSTM presente une erreur faible dans cette execution, avec une MAE inferieure a 1 ppm. Ce resultat indique que la dynamique du dataset est fortement apprenable. En condition reelle, il faudra verifier cette performance avec des mesures issues du prototype, car le bruit capteur, la temperature, l'humidite et la ventilation peuvent modifier la dynamique du signal.</w:t>
            </w:r>
          </w:p>
        </w:tc>
      </w:tr>
    </w:tbl>
    <w:p>
      <w:pPr>
        <w:pStyle w:val="Heading1"/>
        <w:spacing w:before="320" w:after="160"/>
      </w:pPr>
      <w:r>
        <w:rPr>
          <w:rFonts w:ascii="Calibri" w:hAnsi="Calibri"/>
          <w:b/>
          <w:color w:val="2E74B5"/>
          <w:sz w:val="32"/>
        </w:rPr>
        <w:t>4. Conclusion et elements a citer</w:t>
      </w:r>
    </w:p>
    <w:p>
      <w:pPr>
        <w:spacing w:after="120" w:line="264" w:lineRule="auto"/>
      </w:pPr>
      <w:r>
        <w:rPr>
          <w:rFonts w:ascii="Calibri" w:hAnsi="Calibri"/>
        </w:rPr>
        <w:t>Les metriques obtenues confirment que la chaine IA est fonctionnelle pour le prototype H2S. Random Forest assure la decision instantanee de danger, tandis que LSTM apporte une prediction temporelle de la concentration future.</w:t>
      </w:r>
    </w:p>
    <w:p>
      <w:pPr>
        <w:spacing w:after="120" w:line="264" w:lineRule="auto"/>
      </w:pPr>
      <w:r>
        <w:rPr>
          <w:rFonts w:ascii="Calibri" w:hAnsi="Calibri"/>
        </w:rPr>
        <w:t>Dans le rapport final, il est recommande d'indiquer clairement que le systeme embarque actuel utilise un seul capteur MQ-136. La variable fusionnee historique est conservee pour compatibilite avec l'entrainement, mais elle correspond a h2s_ppm dans le prototype reel.</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tcMar>
              <w:top w:w="80" w:type="dxa"/>
              <w:start w:w="120" w:type="dxa"/>
              <w:bottom w:w="80" w:type="dxa"/>
              <w:end w:w="120" w:type="dxa"/>
            </w:tcMar>
            <w:vAlign w:val="center"/>
            <w:shd w:fill="F2F4F7"/>
          </w:tcPr>
          <w:p>
            <w:pPr>
              <w:spacing w:after="40" w:line="252" w:lineRule="auto"/>
            </w:pPr>
            <w:r>
              <w:rPr>
                <w:rFonts w:ascii="Calibri" w:hAnsi="Calibri"/>
                <w:b/>
                <w:color w:val="0B2545"/>
                <w:sz w:val="18"/>
              </w:rPr>
              <w:t>Element</w:t>
            </w:r>
          </w:p>
        </w:tc>
        <w:tc>
          <w:tcPr>
            <w:tcW w:type="dxa" w:w="6360"/>
            <w:tcMar>
              <w:top w:w="80" w:type="dxa"/>
              <w:start w:w="120" w:type="dxa"/>
              <w:bottom w:w="80" w:type="dxa"/>
              <w:end w:w="120" w:type="dxa"/>
            </w:tcMar>
            <w:vAlign w:val="center"/>
            <w:shd w:fill="F2F4F7"/>
          </w:tcPr>
          <w:p>
            <w:pPr>
              <w:spacing w:after="40" w:line="252" w:lineRule="auto"/>
            </w:pPr>
            <w:r>
              <w:rPr>
                <w:rFonts w:ascii="Calibri" w:hAnsi="Calibri"/>
                <w:b/>
                <w:color w:val="0B2545"/>
                <w:sz w:val="18"/>
              </w:rPr>
              <w:t>Chemin</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Notebook recupere</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RUPHIN\final\CORRECTION\MODELE\modele_h2s_colab_rf_lstm_RECUPERE_METRIQUES.ipynb</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Dataset</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RUPHIN\final\CORRECTION\MODELE\DATASET01.csv</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Metriques JSON</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RUPHIN\final\CORRECTION\MODELE\rapport_metriques_modele_h2s_assets\metrics_resultats_modele_h2s.json</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Dossier des figures</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RUPHIN\final\CORRECTION\MODELE\rapport_metriques_modele_h2s_assets</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Rapport Word</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RUPHIN\final\CORRECTION\MODELE\rapport_metriques_courbes_modele_h2s.docx</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Copie projet</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C:\Users\labul\gas_monitoring_system\gas_monitoring_system\docs\rapport_metriques_courbes_modele_h2s.docx</w:t>
            </w:r>
          </w:p>
        </w:tc>
      </w:tr>
    </w:tbl>
    <w:p>
      <w:r>
        <w:rPr>
          <w:rFonts w:ascii="Calibri" w:hAnsi="Calibri"/>
          <w:i/>
          <w:color w:val="5A5A5A"/>
          <w:sz w:val="18"/>
        </w:rPr>
        <w:t>Preset applique : standard_business_brief. Les figures et metriques proviennent d'une execution complete sur DATASET01.csv.</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Systeme de surveillance H2S - Random Forest / LSTM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Metriques et courbes du modele H2S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