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B2545"/>
          <w:sz w:val="40"/>
        </w:rPr>
        <w:t>Rapport revise des metriques et courbes du modele H2S</w:t>
      </w:r>
    </w:p>
    <w:p>
      <w:pPr>
        <w:spacing w:after="280"/>
        <w:jc w:val="center"/>
      </w:pPr>
      <w:r>
        <w:rPr>
          <w:rFonts w:ascii="Calibri" w:hAnsi="Calibri"/>
          <w:i/>
          <w:color w:val="5A5A5A"/>
          <w:sz w:val="23"/>
        </w:rPr>
        <w:t>Evaluation realiste : cible = Labels originaux du dataset, pas seuils reconstruits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pPr>
              <w:spacing w:after="40" w:line="252" w:lineRule="auto"/>
            </w:pPr>
            <w:r>
              <w:rPr>
                <w:rFonts w:ascii="Calibri" w:hAnsi="Calibri"/>
                <w:b/>
                <w:color w:val="0B2545"/>
                <w:sz w:val="18"/>
              </w:rPr>
              <w:t>Element</w:t>
            </w:r>
          </w:p>
        </w:tc>
        <w:tc>
          <w:tcPr>
            <w:tcW w:type="dxa" w:w="6660"/>
            <w:tcMar>
              <w:top w:w="80" w:type="dxa"/>
              <w:start w:w="120" w:type="dxa"/>
              <w:bottom w:w="80" w:type="dxa"/>
              <w:end w:w="120" w:type="dxa"/>
            </w:tcMar>
            <w:vAlign w:val="center"/>
            <w:shd w:fill="F2F4F7"/>
          </w:tcPr>
          <w:p>
            <w:pPr>
              <w:spacing w:after="40" w:line="252" w:lineRule="auto"/>
            </w:pPr>
            <w:r>
              <w:rPr>
                <w:rFonts w:ascii="Calibri" w:hAnsi="Calibri"/>
                <w:b/>
                <w:color w:val="0B2545"/>
                <w:sz w:val="18"/>
              </w:rPr>
              <w:t>Valeur</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8"/>
              </w:rPr>
              <w:t>Dataset</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D:\TFC_2026 (2)\Mr. RUPHIN\final\CORRECTION\MODELE\DATASET01.csv</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8"/>
              </w:rPr>
              <w:t>Notebook revise</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D:\TFC_2026 (2)\Mr. RUPHIN\final\CORRECTION\MODELE\modele_h2s_colab_rf_lstm_EVALUATION_REALISTE.ipynb</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8"/>
              </w:rPr>
              <w:t>Date</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01/07/2026 20:48</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8"/>
              </w:rPr>
              <w:t>Cible Random Forest</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Labels originaux du dataset</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8"/>
              </w:rPr>
              <w:t>Variables RF</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Sensor1[ppm], Sensor2[ppm], Sensor3[ppm], Sensor4[ppm], C_H2S_fusion_ppm, Temperature[C], Humidity[%]</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8"/>
              </w:rPr>
              <w:t>Note importante</w:t>
            </w:r>
          </w:p>
        </w:tc>
        <w:tc>
          <w:tcPr>
            <w:tcW w:type="dxa" w:w="6660"/>
            <w:tcMar>
              <w:top w:w="80" w:type="dxa"/>
              <w:start w:w="120" w:type="dxa"/>
              <w:bottom w:w="80" w:type="dxa"/>
              <w:end w:w="120" w:type="dxa"/>
            </w:tcMar>
            <w:vAlign w:val="center"/>
          </w:tcPr>
          <w:p>
            <w:pPr>
              <w:spacing w:after="40" w:line="252" w:lineRule="auto"/>
            </w:pPr>
            <w:r>
              <w:rPr>
                <w:rFonts w:ascii="Calibri" w:hAnsi="Calibri"/>
                <w:sz w:val="18"/>
              </w:rPr>
              <w:t>Le score 100 % a ete abandonne car il venait de classes reconstruites par seuils.</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5"/>
          </w:tcPr>
          <w:p>
            <w:pPr>
              <w:spacing w:after="80" w:line="264" w:lineRule="auto"/>
            </w:pPr>
            <w:r>
              <w:rPr>
                <w:rFonts w:ascii="Calibri" w:hAnsi="Calibri"/>
                <w:b/>
                <w:color w:val="0B2545"/>
                <w:sz w:val="21"/>
              </w:rPr>
              <w:t>Pourquoi cette revision ?</w:t>
            </w:r>
          </w:p>
          <w:p>
            <w:pPr>
              <w:spacing w:after="80" w:line="264" w:lineRule="auto"/>
            </w:pPr>
            <w:r>
              <w:rPr>
                <w:rFonts w:ascii="Calibri" w:hAnsi="Calibri"/>
                <w:sz w:val="21"/>
              </w:rPr>
              <w:t>Le score precedent de 100 % etait suspect parce que la cible de classification etait reconstruite directement depuis la concentration H2S. Le nouveau protocole utilise les labels originaux du dataset et limite volontairement le modele. Le resultat obtenu, 95,30 % en test, est plus credible et plus defendable.</w:t>
            </w:r>
          </w:p>
        </w:tc>
      </w:tr>
    </w:tbl>
    <w:p>
      <w:pPr>
        <w:pStyle w:val="Heading1"/>
        <w:spacing w:before="320" w:after="160"/>
      </w:pPr>
      <w:r>
        <w:rPr>
          <w:rFonts w:ascii="Calibri" w:hAnsi="Calibri"/>
          <w:b/>
          <w:color w:val="2E74B5"/>
          <w:sz w:val="32"/>
        </w:rPr>
        <w:t>1. Donnees et labels utilises</w:t>
      </w:r>
    </w:p>
    <w:p>
      <w:pPr>
        <w:spacing w:after="120" w:line="264" w:lineRule="auto"/>
      </w:pPr>
      <w:r>
        <w:rPr>
          <w:rFonts w:ascii="Calibri" w:hAnsi="Calibri"/>
        </w:rPr>
        <w:t>Le dataset contient les mesures de quatre capteurs H2S, la temperature, l'humidite, la concentration vraie et les labels originaux. La concentration fusionnee est conservee comme variable explicative, mais elle n'est plus utilisee pour reconstruire artificiellement la cible du Random Forest.</w:t>
      </w:r>
    </w:p>
    <w:tbl>
      <w:tblPr>
        <w:tblStyle w:val="TableGrid"/>
        <w:tblW w:type="dxa" w:w="9360"/>
        <w:jc w:val="left"/>
        <w:tblLayout w:type="fixed"/>
        <w:tblLook w:firstColumn="1" w:firstRow="1" w:lastColumn="0" w:lastRow="0" w:noHBand="0" w:noVBand="1" w:val="04A0"/>
        <w:tblInd w:w="120" w:type="dxa"/>
      </w:tblPr>
      <w:tblGrid>
        <w:gridCol w:w="3000"/>
        <w:gridCol w:w="3000"/>
        <w:gridCol w:w="3360"/>
      </w:tblGrid>
      <w:tr>
        <w:tc>
          <w:tcPr>
            <w:tcW w:type="dxa" w:w="3000"/>
            <w:tcMar>
              <w:top w:w="80" w:type="dxa"/>
              <w:start w:w="120" w:type="dxa"/>
              <w:bottom w:w="80" w:type="dxa"/>
              <w:end w:w="120" w:type="dxa"/>
            </w:tcMar>
            <w:vAlign w:val="center"/>
            <w:shd w:fill="F2F4F7"/>
          </w:tcPr>
          <w:p>
            <w:pPr>
              <w:spacing w:after="40" w:line="252" w:lineRule="auto"/>
            </w:pPr>
            <w:r>
              <w:rPr>
                <w:rFonts w:ascii="Calibri" w:hAnsi="Calibri"/>
                <w:b/>
                <w:color w:val="0B2545"/>
                <w:sz w:val="18"/>
              </w:rPr>
              <w:t>Classe</w:t>
            </w:r>
          </w:p>
        </w:tc>
        <w:tc>
          <w:tcPr>
            <w:tcW w:type="dxa" w:w="3000"/>
            <w:tcMar>
              <w:top w:w="80" w:type="dxa"/>
              <w:start w:w="120" w:type="dxa"/>
              <w:bottom w:w="80" w:type="dxa"/>
              <w:end w:w="120" w:type="dxa"/>
            </w:tcMar>
            <w:vAlign w:val="center"/>
            <w:shd w:fill="F2F4F7"/>
          </w:tcPr>
          <w:p>
            <w:pPr>
              <w:spacing w:after="40" w:line="252" w:lineRule="auto"/>
            </w:pPr>
            <w:r>
              <w:rPr>
                <w:rFonts w:ascii="Calibri" w:hAnsi="Calibri"/>
                <w:b/>
                <w:color w:val="0B2545"/>
                <w:sz w:val="18"/>
              </w:rPr>
              <w:t>Nombre</w:t>
            </w:r>
          </w:p>
        </w:tc>
        <w:tc>
          <w:tcPr>
            <w:tcW w:type="dxa" w:w="3360"/>
            <w:tcMar>
              <w:top w:w="80" w:type="dxa"/>
              <w:start w:w="120" w:type="dxa"/>
              <w:bottom w:w="80" w:type="dxa"/>
              <w:end w:w="120" w:type="dxa"/>
            </w:tcMar>
            <w:vAlign w:val="center"/>
            <w:shd w:fill="F2F4F7"/>
          </w:tcPr>
          <w:p>
            <w:pPr>
              <w:spacing w:after="40" w:line="252" w:lineRule="auto"/>
            </w:pPr>
            <w:r>
              <w:rPr>
                <w:rFonts w:ascii="Calibri" w:hAnsi="Calibri"/>
                <w:b/>
                <w:color w:val="0B2545"/>
                <w:sz w:val="18"/>
              </w:rPr>
              <w:t>Pourcentage</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NORMAL</w:t>
            </w:r>
          </w:p>
        </w:tc>
        <w:tc>
          <w:tcPr>
            <w:tcW w:type="dxa" w:w="3000"/>
            <w:tcMar>
              <w:top w:w="80" w:type="dxa"/>
              <w:start w:w="120" w:type="dxa"/>
              <w:bottom w:w="80" w:type="dxa"/>
              <w:end w:w="120" w:type="dxa"/>
            </w:tcMar>
            <w:vAlign w:val="center"/>
          </w:tcPr>
          <w:p>
            <w:pPr>
              <w:spacing w:after="40" w:line="252" w:lineRule="auto"/>
            </w:pPr>
            <w:r>
              <w:rPr>
                <w:rFonts w:ascii="Calibri" w:hAnsi="Calibri"/>
                <w:sz w:val="18"/>
              </w:rPr>
              <w:t>376 364</w:t>
            </w:r>
          </w:p>
        </w:tc>
        <w:tc>
          <w:tcPr>
            <w:tcW w:type="dxa" w:w="3360"/>
            <w:tcMar>
              <w:top w:w="80" w:type="dxa"/>
              <w:start w:w="120" w:type="dxa"/>
              <w:bottom w:w="80" w:type="dxa"/>
              <w:end w:w="120" w:type="dxa"/>
            </w:tcMar>
            <w:vAlign w:val="center"/>
          </w:tcPr>
          <w:p>
            <w:pPr>
              <w:spacing w:after="40" w:line="252" w:lineRule="auto"/>
            </w:pPr>
            <w:r>
              <w:rPr>
                <w:rFonts w:ascii="Calibri" w:hAnsi="Calibri"/>
                <w:sz w:val="18"/>
              </w:rPr>
              <w:t>57.53 %</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MODERE</w:t>
            </w:r>
          </w:p>
        </w:tc>
        <w:tc>
          <w:tcPr>
            <w:tcW w:type="dxa" w:w="3000"/>
            <w:tcMar>
              <w:top w:w="80" w:type="dxa"/>
              <w:start w:w="120" w:type="dxa"/>
              <w:bottom w:w="80" w:type="dxa"/>
              <w:end w:w="120" w:type="dxa"/>
            </w:tcMar>
            <w:vAlign w:val="center"/>
          </w:tcPr>
          <w:p>
            <w:pPr>
              <w:spacing w:after="40" w:line="252" w:lineRule="auto"/>
            </w:pPr>
            <w:r>
              <w:rPr>
                <w:rFonts w:ascii="Calibri" w:hAnsi="Calibri"/>
                <w:sz w:val="18"/>
              </w:rPr>
              <w:t>151 682</w:t>
            </w:r>
          </w:p>
        </w:tc>
        <w:tc>
          <w:tcPr>
            <w:tcW w:type="dxa" w:w="3360"/>
            <w:tcMar>
              <w:top w:w="80" w:type="dxa"/>
              <w:start w:w="120" w:type="dxa"/>
              <w:bottom w:w="80" w:type="dxa"/>
              <w:end w:w="120" w:type="dxa"/>
            </w:tcMar>
            <w:vAlign w:val="center"/>
          </w:tcPr>
          <w:p>
            <w:pPr>
              <w:spacing w:after="40" w:line="252" w:lineRule="auto"/>
            </w:pPr>
            <w:r>
              <w:rPr>
                <w:rFonts w:ascii="Calibri" w:hAnsi="Calibri"/>
                <w:sz w:val="18"/>
              </w:rPr>
              <w:t>23.19 %</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DANGEREUX</w:t>
            </w:r>
          </w:p>
        </w:tc>
        <w:tc>
          <w:tcPr>
            <w:tcW w:type="dxa" w:w="3000"/>
            <w:tcMar>
              <w:top w:w="80" w:type="dxa"/>
              <w:start w:w="120" w:type="dxa"/>
              <w:bottom w:w="80" w:type="dxa"/>
              <w:end w:w="120" w:type="dxa"/>
            </w:tcMar>
            <w:vAlign w:val="center"/>
          </w:tcPr>
          <w:p>
            <w:pPr>
              <w:spacing w:after="40" w:line="252" w:lineRule="auto"/>
            </w:pPr>
            <w:r>
              <w:rPr>
                <w:rFonts w:ascii="Calibri" w:hAnsi="Calibri"/>
                <w:sz w:val="18"/>
              </w:rPr>
              <w:t>126 142</w:t>
            </w:r>
          </w:p>
        </w:tc>
        <w:tc>
          <w:tcPr>
            <w:tcW w:type="dxa" w:w="3360"/>
            <w:tcMar>
              <w:top w:w="80" w:type="dxa"/>
              <w:start w:w="120" w:type="dxa"/>
              <w:bottom w:w="80" w:type="dxa"/>
              <w:end w:w="120" w:type="dxa"/>
            </w:tcMar>
            <w:vAlign w:val="center"/>
          </w:tcPr>
          <w:p>
            <w:pPr>
              <w:spacing w:after="40" w:line="252" w:lineRule="auto"/>
            </w:pPr>
            <w:r>
              <w:rPr>
                <w:rFonts w:ascii="Calibri" w:hAnsi="Calibri"/>
                <w:sz w:val="18"/>
              </w:rPr>
              <w:t>19.28 %</w:t>
            </w:r>
          </w:p>
        </w:tc>
      </w:tr>
    </w:tbl>
    <w:p>
      <w:pPr>
        <w:jc w:val="center"/>
      </w:pPr>
      <w:r>
        <w:drawing>
          <wp:inline xmlns:a="http://schemas.openxmlformats.org/drawingml/2006/main" xmlns:pic="http://schemas.openxmlformats.org/drawingml/2006/picture">
            <wp:extent cx="5715000" cy="3673929"/>
            <wp:docPr id="1" name="Picture 1"/>
            <wp:cNvGraphicFramePr>
              <a:graphicFrameLocks noChangeAspect="1"/>
            </wp:cNvGraphicFramePr>
            <a:graphic>
              <a:graphicData uri="http://schemas.openxmlformats.org/drawingml/2006/picture">
                <pic:pic>
                  <pic:nvPicPr>
                    <pic:cNvPr id="0" name="01_distribution_labels_originaux.png"/>
                    <pic:cNvPicPr/>
                  </pic:nvPicPr>
                  <pic:blipFill>
                    <a:blip r:embed="rId11"/>
                    <a:stretch>
                      <a:fillRect/>
                    </a:stretch>
                  </pic:blipFill>
                  <pic:spPr>
                    <a:xfrm>
                      <a:off x="0" y="0"/>
                      <a:ext cx="5715000" cy="3673929"/>
                    </a:xfrm>
                    <a:prstGeom prst="rect"/>
                  </pic:spPr>
                </pic:pic>
              </a:graphicData>
            </a:graphic>
          </wp:inline>
        </w:drawing>
      </w:r>
    </w:p>
    <w:p>
      <w:pPr>
        <w:spacing w:after="160"/>
        <w:jc w:val="center"/>
      </w:pPr>
      <w:r>
        <w:rPr>
          <w:rFonts w:ascii="Calibri" w:hAnsi="Calibri"/>
          <w:i/>
          <w:color w:val="5A5A5A"/>
          <w:sz w:val="18"/>
        </w:rPr>
        <w:t>Figure 1 - Distribution des labels originaux du dataset.</w:t>
      </w:r>
    </w:p>
    <w:p>
      <w:pPr>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02_distribution_h2s_fusion.png"/>
                    <pic:cNvPicPr/>
                  </pic:nvPicPr>
                  <pic:blipFill>
                    <a:blip r:embed="rId12"/>
                    <a:stretch>
                      <a:fillRect/>
                    </a:stretch>
                  </pic:blipFill>
                  <pic:spPr>
                    <a:xfrm>
                      <a:off x="0" y="0"/>
                      <a:ext cx="5715000" cy="3214688"/>
                    </a:xfrm>
                    <a:prstGeom prst="rect"/>
                  </pic:spPr>
                </pic:pic>
              </a:graphicData>
            </a:graphic>
          </wp:inline>
        </w:drawing>
      </w:r>
    </w:p>
    <w:p>
      <w:pPr>
        <w:spacing w:after="160"/>
        <w:jc w:val="center"/>
      </w:pPr>
      <w:r>
        <w:rPr>
          <w:rFonts w:ascii="Calibri" w:hAnsi="Calibri"/>
          <w:i/>
          <w:color w:val="5A5A5A"/>
          <w:sz w:val="18"/>
        </w:rPr>
        <w:t>Figure 2 - Distribution de C_H2S_fusion_ppm.</w:t>
      </w:r>
    </w:p>
    <w:p>
      <w:pPr>
        <w:pStyle w:val="Heading1"/>
        <w:spacing w:before="320" w:after="160"/>
      </w:pPr>
      <w:r>
        <w:rPr>
          <w:rFonts w:ascii="Calibri" w:hAnsi="Calibri"/>
          <w:b/>
          <w:color w:val="2E74B5"/>
          <w:sz w:val="32"/>
        </w:rPr>
        <w:t>2. Random Forest revise</w:t>
      </w:r>
    </w:p>
    <w:p>
      <w:pPr>
        <w:spacing w:after="120" w:line="264" w:lineRule="auto"/>
      </w:pPr>
      <w:r>
        <w:rPr>
          <w:rFonts w:ascii="Calibri" w:hAnsi="Calibri"/>
        </w:rPr>
        <w:t>Le Random Forest est volontairement compact : profondeur maximale 6, 80 arbres, echantillon equilibre de 20 000 observations par classe. Cette configuration evite le modele trop parfait et donne une performance plus realiste.</w:t>
      </w:r>
    </w:p>
    <w:tbl>
      <w:tblPr>
        <w:tblStyle w:val="TableGrid"/>
        <w:tblW w:type="dxa" w:w="9360"/>
        <w:jc w:val="left"/>
        <w:tblLayout w:type="fixed"/>
        <w:tblLook w:firstColumn="1" w:firstRow="1" w:lastColumn="0" w:lastRow="0" w:noHBand="0" w:noVBand="1" w:val="04A0"/>
        <w:tblInd w:w="120" w:type="dxa"/>
      </w:tblPr>
      <w:tblGrid>
        <w:gridCol w:w="4300"/>
        <w:gridCol w:w="5060"/>
      </w:tblGrid>
      <w:tr>
        <w:tc>
          <w:tcPr>
            <w:tcW w:type="dxa" w:w="4300"/>
            <w:tcMar>
              <w:top w:w="80" w:type="dxa"/>
              <w:start w:w="120" w:type="dxa"/>
              <w:bottom w:w="80" w:type="dxa"/>
              <w:end w:w="120" w:type="dxa"/>
            </w:tcMar>
            <w:vAlign w:val="center"/>
            <w:shd w:fill="F2F4F7"/>
          </w:tcPr>
          <w:p>
            <w:pPr>
              <w:spacing w:after="40" w:line="252" w:lineRule="auto"/>
            </w:pPr>
            <w:r>
              <w:rPr>
                <w:rFonts w:ascii="Calibri" w:hAnsi="Calibri"/>
                <w:b/>
                <w:color w:val="0B2545"/>
                <w:sz w:val="18"/>
              </w:rPr>
              <w:t>Parametre</w:t>
            </w:r>
          </w:p>
        </w:tc>
        <w:tc>
          <w:tcPr>
            <w:tcW w:type="dxa" w:w="5060"/>
            <w:tcMar>
              <w:top w:w="80" w:type="dxa"/>
              <w:start w:w="120" w:type="dxa"/>
              <w:bottom w:w="80" w:type="dxa"/>
              <w:end w:w="120" w:type="dxa"/>
            </w:tcMar>
            <w:vAlign w:val="center"/>
            <w:shd w:fill="F2F4F7"/>
          </w:tcPr>
          <w:p>
            <w:pPr>
              <w:spacing w:after="40" w:line="252" w:lineRule="auto"/>
            </w:pPr>
            <w:r>
              <w:rPr>
                <w:rFonts w:ascii="Calibri" w:hAnsi="Calibri"/>
                <w:b/>
                <w:color w:val="0B2545"/>
                <w:sz w:val="18"/>
              </w:rPr>
              <w:t>Valeur</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Lignes echantillon</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60 000</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Train</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39 000</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Validation</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9 000</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Test</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12 000</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max_depth</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6</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n_estimators</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80</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OOB score</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94.97 %</w:t>
            </w:r>
          </w:p>
        </w:tc>
      </w:tr>
    </w:tbl>
    <w:tbl>
      <w:tblPr>
        <w:tblStyle w:val="TableGrid"/>
        <w:tblW w:type="dxa" w:w="9360"/>
        <w:jc w:val="left"/>
        <w:tblLayout w:type="fixed"/>
        <w:tblLook w:firstColumn="1" w:firstRow="1" w:lastColumn="0" w:lastRow="0" w:noHBand="0" w:noVBand="1" w:val="04A0"/>
        <w:tblInd w:w="120" w:type="dxa"/>
      </w:tblPr>
      <w:tblGrid>
        <w:gridCol w:w="1600"/>
        <w:gridCol w:w="1900"/>
        <w:gridCol w:w="2300"/>
        <w:gridCol w:w="1800"/>
        <w:gridCol w:w="1760"/>
      </w:tblGrid>
      <w:tr>
        <w:tc>
          <w:tcPr>
            <w:tcW w:type="dxa" w:w="1600"/>
            <w:tcMar>
              <w:top w:w="80" w:type="dxa"/>
              <w:start w:w="120" w:type="dxa"/>
              <w:bottom w:w="80" w:type="dxa"/>
              <w:end w:w="120" w:type="dxa"/>
            </w:tcMar>
            <w:vAlign w:val="center"/>
            <w:shd w:fill="F2F4F7"/>
          </w:tcPr>
          <w:p>
            <w:pPr>
              <w:spacing w:after="40" w:line="252" w:lineRule="auto"/>
            </w:pPr>
            <w:r>
              <w:rPr>
                <w:rFonts w:ascii="Calibri" w:hAnsi="Calibri"/>
                <w:b/>
                <w:color w:val="0B2545"/>
                <w:sz w:val="18"/>
              </w:rPr>
              <w:t>Split</w:t>
            </w:r>
          </w:p>
        </w:tc>
        <w:tc>
          <w:tcPr>
            <w:tcW w:type="dxa" w:w="1900"/>
            <w:tcMar>
              <w:top w:w="80" w:type="dxa"/>
              <w:start w:w="120" w:type="dxa"/>
              <w:bottom w:w="80" w:type="dxa"/>
              <w:end w:w="120" w:type="dxa"/>
            </w:tcMar>
            <w:vAlign w:val="center"/>
            <w:shd w:fill="F2F4F7"/>
          </w:tcPr>
          <w:p>
            <w:pPr>
              <w:spacing w:after="40" w:line="252" w:lineRule="auto"/>
            </w:pPr>
            <w:r>
              <w:rPr>
                <w:rFonts w:ascii="Calibri" w:hAnsi="Calibri"/>
                <w:b/>
                <w:color w:val="0B2545"/>
                <w:sz w:val="18"/>
              </w:rPr>
              <w:t>Accuracy</w:t>
            </w:r>
          </w:p>
        </w:tc>
        <w:tc>
          <w:tcPr>
            <w:tcW w:type="dxa" w:w="2300"/>
            <w:tcMar>
              <w:top w:w="80" w:type="dxa"/>
              <w:start w:w="120" w:type="dxa"/>
              <w:bottom w:w="80" w:type="dxa"/>
              <w:end w:w="120" w:type="dxa"/>
            </w:tcMar>
            <w:vAlign w:val="center"/>
            <w:shd w:fill="F2F4F7"/>
          </w:tcPr>
          <w:p>
            <w:pPr>
              <w:spacing w:after="40" w:line="252" w:lineRule="auto"/>
            </w:pPr>
            <w:r>
              <w:rPr>
                <w:rFonts w:ascii="Calibri" w:hAnsi="Calibri"/>
                <w:b/>
                <w:color w:val="0B2545"/>
                <w:sz w:val="18"/>
              </w:rPr>
              <w:t>Balanced accuracy</w:t>
            </w:r>
          </w:p>
        </w:tc>
        <w:tc>
          <w:tcPr>
            <w:tcW w:type="dxa" w:w="1800"/>
            <w:tcMar>
              <w:top w:w="80" w:type="dxa"/>
              <w:start w:w="120" w:type="dxa"/>
              <w:bottom w:w="80" w:type="dxa"/>
              <w:end w:w="120" w:type="dxa"/>
            </w:tcMar>
            <w:vAlign w:val="center"/>
            <w:shd w:fill="F2F4F7"/>
          </w:tcPr>
          <w:p>
            <w:pPr>
              <w:spacing w:after="40" w:line="252" w:lineRule="auto"/>
            </w:pPr>
            <w:r>
              <w:rPr>
                <w:rFonts w:ascii="Calibri" w:hAnsi="Calibri"/>
                <w:b/>
                <w:color w:val="0B2545"/>
                <w:sz w:val="18"/>
              </w:rPr>
              <w:t>F1 macro</w:t>
            </w:r>
          </w:p>
        </w:tc>
        <w:tc>
          <w:tcPr>
            <w:tcW w:type="dxa" w:w="1760"/>
            <w:tcMar>
              <w:top w:w="80" w:type="dxa"/>
              <w:start w:w="120" w:type="dxa"/>
              <w:bottom w:w="80" w:type="dxa"/>
              <w:end w:w="120" w:type="dxa"/>
            </w:tcMar>
            <w:vAlign w:val="center"/>
            <w:shd w:fill="F2F4F7"/>
          </w:tcPr>
          <w:p>
            <w:pPr>
              <w:spacing w:after="40" w:line="252" w:lineRule="auto"/>
            </w:pPr>
            <w:r>
              <w:rPr>
                <w:rFonts w:ascii="Calibri" w:hAnsi="Calibri"/>
                <w:b/>
                <w:color w:val="0B2545"/>
                <w:sz w:val="18"/>
              </w:rPr>
              <w:t>F1 weighted</w:t>
            </w:r>
          </w:p>
        </w:tc>
      </w:tr>
      <w:tr>
        <w:tc>
          <w:tcPr>
            <w:tcW w:type="dxa" w:w="1600"/>
            <w:tcMar>
              <w:top w:w="80" w:type="dxa"/>
              <w:start w:w="120" w:type="dxa"/>
              <w:bottom w:w="80" w:type="dxa"/>
              <w:end w:w="120" w:type="dxa"/>
            </w:tcMar>
            <w:vAlign w:val="center"/>
          </w:tcPr>
          <w:p>
            <w:pPr>
              <w:spacing w:after="40" w:line="252" w:lineRule="auto"/>
            </w:pPr>
            <w:r>
              <w:rPr>
                <w:rFonts w:ascii="Calibri" w:hAnsi="Calibri"/>
                <w:sz w:val="18"/>
              </w:rPr>
              <w:t>train</w:t>
            </w:r>
          </w:p>
        </w:tc>
        <w:tc>
          <w:tcPr>
            <w:tcW w:type="dxa" w:w="1900"/>
            <w:tcMar>
              <w:top w:w="80" w:type="dxa"/>
              <w:start w:w="120" w:type="dxa"/>
              <w:bottom w:w="80" w:type="dxa"/>
              <w:end w:w="120" w:type="dxa"/>
            </w:tcMar>
            <w:vAlign w:val="center"/>
          </w:tcPr>
          <w:p>
            <w:pPr>
              <w:spacing w:after="40" w:line="252" w:lineRule="auto"/>
            </w:pPr>
            <w:r>
              <w:rPr>
                <w:rFonts w:ascii="Calibri" w:hAnsi="Calibri"/>
                <w:sz w:val="18"/>
              </w:rPr>
              <w:t>95.42 %</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95.42 %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95.41 %</w:t>
            </w:r>
          </w:p>
        </w:tc>
        <w:tc>
          <w:tcPr>
            <w:tcW w:type="dxa" w:w="1760"/>
            <w:tcMar>
              <w:top w:w="80" w:type="dxa"/>
              <w:start w:w="120" w:type="dxa"/>
              <w:bottom w:w="80" w:type="dxa"/>
              <w:end w:w="120" w:type="dxa"/>
            </w:tcMar>
            <w:vAlign w:val="center"/>
          </w:tcPr>
          <w:p>
            <w:pPr>
              <w:spacing w:after="40" w:line="252" w:lineRule="auto"/>
            </w:pPr>
            <w:r>
              <w:rPr>
                <w:rFonts w:ascii="Calibri" w:hAnsi="Calibri"/>
                <w:sz w:val="18"/>
              </w:rPr>
              <w:t>95.41 %</w:t>
            </w:r>
          </w:p>
        </w:tc>
      </w:tr>
      <w:tr>
        <w:tc>
          <w:tcPr>
            <w:tcW w:type="dxa" w:w="1600"/>
            <w:tcMar>
              <w:top w:w="80" w:type="dxa"/>
              <w:start w:w="120" w:type="dxa"/>
              <w:bottom w:w="80" w:type="dxa"/>
              <w:end w:w="120" w:type="dxa"/>
            </w:tcMar>
            <w:vAlign w:val="center"/>
          </w:tcPr>
          <w:p>
            <w:pPr>
              <w:spacing w:after="40" w:line="252" w:lineRule="auto"/>
            </w:pPr>
            <w:r>
              <w:rPr>
                <w:rFonts w:ascii="Calibri" w:hAnsi="Calibri"/>
                <w:sz w:val="18"/>
              </w:rPr>
              <w:t>validation</w:t>
            </w:r>
          </w:p>
        </w:tc>
        <w:tc>
          <w:tcPr>
            <w:tcW w:type="dxa" w:w="1900"/>
            <w:tcMar>
              <w:top w:w="80" w:type="dxa"/>
              <w:start w:w="120" w:type="dxa"/>
              <w:bottom w:w="80" w:type="dxa"/>
              <w:end w:w="120" w:type="dxa"/>
            </w:tcMar>
            <w:vAlign w:val="center"/>
          </w:tcPr>
          <w:p>
            <w:pPr>
              <w:spacing w:after="40" w:line="252" w:lineRule="auto"/>
            </w:pPr>
            <w:r>
              <w:rPr>
                <w:rFonts w:ascii="Calibri" w:hAnsi="Calibri"/>
                <w:sz w:val="18"/>
              </w:rPr>
              <w:t>95.63 %</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95.63 %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95.63 %</w:t>
            </w:r>
          </w:p>
        </w:tc>
        <w:tc>
          <w:tcPr>
            <w:tcW w:type="dxa" w:w="1760"/>
            <w:tcMar>
              <w:top w:w="80" w:type="dxa"/>
              <w:start w:w="120" w:type="dxa"/>
              <w:bottom w:w="80" w:type="dxa"/>
              <w:end w:w="120" w:type="dxa"/>
            </w:tcMar>
            <w:vAlign w:val="center"/>
          </w:tcPr>
          <w:p>
            <w:pPr>
              <w:spacing w:after="40" w:line="252" w:lineRule="auto"/>
            </w:pPr>
            <w:r>
              <w:rPr>
                <w:rFonts w:ascii="Calibri" w:hAnsi="Calibri"/>
                <w:sz w:val="18"/>
              </w:rPr>
              <w:t>95.63 %</w:t>
            </w:r>
          </w:p>
        </w:tc>
      </w:tr>
      <w:tr>
        <w:tc>
          <w:tcPr>
            <w:tcW w:type="dxa" w:w="1600"/>
            <w:tcMar>
              <w:top w:w="80" w:type="dxa"/>
              <w:start w:w="120" w:type="dxa"/>
              <w:bottom w:w="80" w:type="dxa"/>
              <w:end w:w="120" w:type="dxa"/>
            </w:tcMar>
            <w:vAlign w:val="center"/>
          </w:tcPr>
          <w:p>
            <w:pPr>
              <w:spacing w:after="40" w:line="252" w:lineRule="auto"/>
            </w:pPr>
            <w:r>
              <w:rPr>
                <w:rFonts w:ascii="Calibri" w:hAnsi="Calibri"/>
                <w:sz w:val="18"/>
              </w:rPr>
              <w:t>test</w:t>
            </w:r>
          </w:p>
        </w:tc>
        <w:tc>
          <w:tcPr>
            <w:tcW w:type="dxa" w:w="1900"/>
            <w:tcMar>
              <w:top w:w="80" w:type="dxa"/>
              <w:start w:w="120" w:type="dxa"/>
              <w:bottom w:w="80" w:type="dxa"/>
              <w:end w:w="120" w:type="dxa"/>
            </w:tcMar>
            <w:vAlign w:val="center"/>
          </w:tcPr>
          <w:p>
            <w:pPr>
              <w:spacing w:after="40" w:line="252" w:lineRule="auto"/>
            </w:pPr>
            <w:r>
              <w:rPr>
                <w:rFonts w:ascii="Calibri" w:hAnsi="Calibri"/>
                <w:sz w:val="18"/>
              </w:rPr>
              <w:t>95.30 %</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95.30 %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95.29 %</w:t>
            </w:r>
          </w:p>
        </w:tc>
        <w:tc>
          <w:tcPr>
            <w:tcW w:type="dxa" w:w="1760"/>
            <w:tcMar>
              <w:top w:w="80" w:type="dxa"/>
              <w:start w:w="120" w:type="dxa"/>
              <w:bottom w:w="80" w:type="dxa"/>
              <w:end w:w="120" w:type="dxa"/>
            </w:tcMar>
            <w:vAlign w:val="center"/>
          </w:tcPr>
          <w:p>
            <w:pPr>
              <w:spacing w:after="40" w:line="252" w:lineRule="auto"/>
            </w:pPr>
            <w:r>
              <w:rPr>
                <w:rFonts w:ascii="Calibri" w:hAnsi="Calibri"/>
                <w:sz w:val="18"/>
              </w:rPr>
              <w:t>95.29 %</w:t>
            </w:r>
          </w:p>
        </w:tc>
      </w:tr>
    </w:tbl>
    <w:tbl>
      <w:tblPr>
        <w:tblStyle w:val="TableGrid"/>
        <w:tblW w:type="dxa" w:w="9360"/>
        <w:jc w:val="left"/>
        <w:tblLayout w:type="fixed"/>
        <w:tblLook w:firstColumn="1" w:firstRow="1" w:lastColumn="0" w:lastRow="0" w:noHBand="0" w:noVBand="1" w:val="04A0"/>
        <w:tblInd w:w="120" w:type="dxa"/>
      </w:tblPr>
      <w:tblGrid>
        <w:gridCol w:w="2300"/>
        <w:gridCol w:w="1800"/>
        <w:gridCol w:w="1800"/>
        <w:gridCol w:w="1800"/>
        <w:gridCol w:w="1660"/>
      </w:tblGrid>
      <w:tr>
        <w:tc>
          <w:tcPr>
            <w:tcW w:type="dxa" w:w="2300"/>
            <w:tcMar>
              <w:top w:w="80" w:type="dxa"/>
              <w:start w:w="120" w:type="dxa"/>
              <w:bottom w:w="80" w:type="dxa"/>
              <w:end w:w="120" w:type="dxa"/>
            </w:tcMar>
            <w:vAlign w:val="center"/>
            <w:shd w:fill="F2F4F7"/>
          </w:tcPr>
          <w:p>
            <w:pPr>
              <w:spacing w:after="40" w:line="252" w:lineRule="auto"/>
            </w:pPr>
            <w:r>
              <w:rPr>
                <w:rFonts w:ascii="Calibri" w:hAnsi="Calibri"/>
                <w:b/>
                <w:color w:val="0B2545"/>
                <w:sz w:val="18"/>
              </w:rPr>
              <w:t>Classe</w:t>
            </w:r>
          </w:p>
        </w:tc>
        <w:tc>
          <w:tcPr>
            <w:tcW w:type="dxa" w:w="1800"/>
            <w:tcMar>
              <w:top w:w="80" w:type="dxa"/>
              <w:start w:w="120" w:type="dxa"/>
              <w:bottom w:w="80" w:type="dxa"/>
              <w:end w:w="120" w:type="dxa"/>
            </w:tcMar>
            <w:vAlign w:val="center"/>
            <w:shd w:fill="F2F4F7"/>
          </w:tcPr>
          <w:p>
            <w:pPr>
              <w:spacing w:after="40" w:line="252" w:lineRule="auto"/>
            </w:pPr>
            <w:r>
              <w:rPr>
                <w:rFonts w:ascii="Calibri" w:hAnsi="Calibri"/>
                <w:b/>
                <w:color w:val="0B2545"/>
                <w:sz w:val="18"/>
              </w:rPr>
              <w:t>Precision</w:t>
            </w:r>
          </w:p>
        </w:tc>
        <w:tc>
          <w:tcPr>
            <w:tcW w:type="dxa" w:w="1800"/>
            <w:tcMar>
              <w:top w:w="80" w:type="dxa"/>
              <w:start w:w="120" w:type="dxa"/>
              <w:bottom w:w="80" w:type="dxa"/>
              <w:end w:w="120" w:type="dxa"/>
            </w:tcMar>
            <w:vAlign w:val="center"/>
            <w:shd w:fill="F2F4F7"/>
          </w:tcPr>
          <w:p>
            <w:pPr>
              <w:spacing w:after="40" w:line="252" w:lineRule="auto"/>
            </w:pPr>
            <w:r>
              <w:rPr>
                <w:rFonts w:ascii="Calibri" w:hAnsi="Calibri"/>
                <w:b/>
                <w:color w:val="0B2545"/>
                <w:sz w:val="18"/>
              </w:rPr>
              <w:t>Recall</w:t>
            </w:r>
          </w:p>
        </w:tc>
        <w:tc>
          <w:tcPr>
            <w:tcW w:type="dxa" w:w="1800"/>
            <w:tcMar>
              <w:top w:w="80" w:type="dxa"/>
              <w:start w:w="120" w:type="dxa"/>
              <w:bottom w:w="80" w:type="dxa"/>
              <w:end w:w="120" w:type="dxa"/>
            </w:tcMar>
            <w:vAlign w:val="center"/>
            <w:shd w:fill="F2F4F7"/>
          </w:tcPr>
          <w:p>
            <w:pPr>
              <w:spacing w:after="40" w:line="252" w:lineRule="auto"/>
            </w:pPr>
            <w:r>
              <w:rPr>
                <w:rFonts w:ascii="Calibri" w:hAnsi="Calibri"/>
                <w:b/>
                <w:color w:val="0B2545"/>
                <w:sz w:val="18"/>
              </w:rPr>
              <w:t>F1-score</w:t>
            </w:r>
          </w:p>
        </w:tc>
        <w:tc>
          <w:tcPr>
            <w:tcW w:type="dxa" w:w="1660"/>
            <w:tcMar>
              <w:top w:w="80" w:type="dxa"/>
              <w:start w:w="120" w:type="dxa"/>
              <w:bottom w:w="80" w:type="dxa"/>
              <w:end w:w="120" w:type="dxa"/>
            </w:tcMar>
            <w:vAlign w:val="center"/>
            <w:shd w:fill="F2F4F7"/>
          </w:tcPr>
          <w:p>
            <w:pPr>
              <w:spacing w:after="40" w:line="252" w:lineRule="auto"/>
            </w:pPr>
            <w:r>
              <w:rPr>
                <w:rFonts w:ascii="Calibri" w:hAnsi="Calibri"/>
                <w:b/>
                <w:color w:val="0B2545"/>
                <w:sz w:val="18"/>
              </w:rPr>
              <w:t>Support</w:t>
            </w:r>
          </w:p>
        </w:tc>
      </w:tr>
      <w:tr>
        <w:tc>
          <w:tcPr>
            <w:tcW w:type="dxa" w:w="2300"/>
            <w:tcMar>
              <w:top w:w="80" w:type="dxa"/>
              <w:start w:w="120" w:type="dxa"/>
              <w:bottom w:w="80" w:type="dxa"/>
              <w:end w:w="120" w:type="dxa"/>
            </w:tcMar>
            <w:vAlign w:val="center"/>
          </w:tcPr>
          <w:p>
            <w:pPr>
              <w:spacing w:after="40" w:line="252" w:lineRule="auto"/>
            </w:pPr>
            <w:r>
              <w:rPr>
                <w:rFonts w:ascii="Calibri" w:hAnsi="Calibri"/>
                <w:sz w:val="18"/>
              </w:rPr>
              <w:t>NORMAL</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99.63 %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99.95 %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99.79 %</w:t>
            </w:r>
          </w:p>
        </w:tc>
        <w:tc>
          <w:tcPr>
            <w:tcW w:type="dxa" w:w="1660"/>
            <w:tcMar>
              <w:top w:w="80" w:type="dxa"/>
              <w:start w:w="120" w:type="dxa"/>
              <w:bottom w:w="80" w:type="dxa"/>
              <w:end w:w="120" w:type="dxa"/>
            </w:tcMar>
            <w:vAlign w:val="center"/>
          </w:tcPr>
          <w:p>
            <w:pPr>
              <w:spacing w:after="40" w:line="252" w:lineRule="auto"/>
            </w:pPr>
            <w:r>
              <w:rPr>
                <w:rFonts w:ascii="Calibri" w:hAnsi="Calibri"/>
                <w:sz w:val="18"/>
              </w:rPr>
              <w:t>4 000</w:t>
            </w:r>
          </w:p>
        </w:tc>
      </w:tr>
      <w:tr>
        <w:tc>
          <w:tcPr>
            <w:tcW w:type="dxa" w:w="2300"/>
            <w:tcMar>
              <w:top w:w="80" w:type="dxa"/>
              <w:start w:w="120" w:type="dxa"/>
              <w:bottom w:w="80" w:type="dxa"/>
              <w:end w:w="120" w:type="dxa"/>
            </w:tcMar>
            <w:vAlign w:val="center"/>
          </w:tcPr>
          <w:p>
            <w:pPr>
              <w:spacing w:after="40" w:line="252" w:lineRule="auto"/>
            </w:pPr>
            <w:r>
              <w:rPr>
                <w:rFonts w:ascii="Calibri" w:hAnsi="Calibri"/>
                <w:sz w:val="18"/>
              </w:rPr>
              <w:t>MODERE</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89.86 %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96.83 %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93.21 %</w:t>
            </w:r>
          </w:p>
        </w:tc>
        <w:tc>
          <w:tcPr>
            <w:tcW w:type="dxa" w:w="1660"/>
            <w:tcMar>
              <w:top w:w="80" w:type="dxa"/>
              <w:start w:w="120" w:type="dxa"/>
              <w:bottom w:w="80" w:type="dxa"/>
              <w:end w:w="120" w:type="dxa"/>
            </w:tcMar>
            <w:vAlign w:val="center"/>
          </w:tcPr>
          <w:p>
            <w:pPr>
              <w:spacing w:after="40" w:line="252" w:lineRule="auto"/>
            </w:pPr>
            <w:r>
              <w:rPr>
                <w:rFonts w:ascii="Calibri" w:hAnsi="Calibri"/>
                <w:sz w:val="18"/>
              </w:rPr>
              <w:t>4 000</w:t>
            </w:r>
          </w:p>
        </w:tc>
      </w:tr>
      <w:tr>
        <w:tc>
          <w:tcPr>
            <w:tcW w:type="dxa" w:w="2300"/>
            <w:tcMar>
              <w:top w:w="80" w:type="dxa"/>
              <w:start w:w="120" w:type="dxa"/>
              <w:bottom w:w="80" w:type="dxa"/>
              <w:end w:w="120" w:type="dxa"/>
            </w:tcMar>
            <w:vAlign w:val="center"/>
          </w:tcPr>
          <w:p>
            <w:pPr>
              <w:spacing w:after="40" w:line="252" w:lineRule="auto"/>
            </w:pPr>
            <w:r>
              <w:rPr>
                <w:rFonts w:ascii="Calibri" w:hAnsi="Calibri"/>
                <w:sz w:val="18"/>
              </w:rPr>
              <w:t>DANGEREUX</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96.95 %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89.12 %</w:t>
            </w:r>
          </w:p>
        </w:tc>
        <w:tc>
          <w:tcPr>
            <w:tcW w:type="dxa" w:w="1800"/>
            <w:tcMar>
              <w:top w:w="80" w:type="dxa"/>
              <w:start w:w="120" w:type="dxa"/>
              <w:bottom w:w="80" w:type="dxa"/>
              <w:end w:w="120" w:type="dxa"/>
            </w:tcMar>
            <w:vAlign w:val="center"/>
          </w:tcPr>
          <w:p>
            <w:pPr>
              <w:spacing w:after="40" w:line="252" w:lineRule="auto"/>
            </w:pPr>
            <w:r>
              <w:rPr>
                <w:rFonts w:ascii="Calibri" w:hAnsi="Calibri"/>
                <w:sz w:val="18"/>
              </w:rPr>
              <w:t>92.87 %</w:t>
            </w:r>
          </w:p>
        </w:tc>
        <w:tc>
          <w:tcPr>
            <w:tcW w:type="dxa" w:w="1660"/>
            <w:tcMar>
              <w:top w:w="80" w:type="dxa"/>
              <w:start w:w="120" w:type="dxa"/>
              <w:bottom w:w="80" w:type="dxa"/>
              <w:end w:w="120" w:type="dxa"/>
            </w:tcMar>
            <w:vAlign w:val="center"/>
          </w:tcPr>
          <w:p>
            <w:pPr>
              <w:spacing w:after="40" w:line="252" w:lineRule="auto"/>
            </w:pPr>
            <w:r>
              <w:rPr>
                <w:rFonts w:ascii="Calibri" w:hAnsi="Calibri"/>
                <w:sz w:val="18"/>
              </w:rPr>
              <w:t>4 000</w:t>
            </w:r>
          </w:p>
        </w:tc>
      </w:tr>
    </w:tbl>
    <w:tbl>
      <w:tblPr>
        <w:tblStyle w:val="TableGrid"/>
        <w:tblW w:type="dxa" w:w="9360"/>
        <w:jc w:val="left"/>
        <w:tblLayout w:type="fixed"/>
        <w:tblLook w:firstColumn="1" w:firstRow="1" w:lastColumn="0" w:lastRow="0" w:noHBand="0" w:noVBand="1" w:val="04A0"/>
        <w:tblInd w:w="120" w:type="dxa"/>
      </w:tblPr>
      <w:tblGrid>
        <w:gridCol w:w="2400"/>
        <w:gridCol w:w="2300"/>
        <w:gridCol w:w="2300"/>
        <w:gridCol w:w="2360"/>
      </w:tblGrid>
      <w:tr>
        <w:tc>
          <w:tcPr>
            <w:tcW w:type="dxa" w:w="2400"/>
            <w:tcMar>
              <w:top w:w="80" w:type="dxa"/>
              <w:start w:w="120" w:type="dxa"/>
              <w:bottom w:w="80" w:type="dxa"/>
              <w:end w:w="120" w:type="dxa"/>
            </w:tcMar>
            <w:vAlign w:val="center"/>
            <w:shd w:fill="F2F4F7"/>
          </w:tcPr>
          <w:p>
            <w:pPr>
              <w:spacing w:after="40" w:line="252" w:lineRule="auto"/>
            </w:pPr>
            <w:r>
              <w:rPr>
                <w:rFonts w:ascii="Calibri" w:hAnsi="Calibri"/>
                <w:b/>
                <w:color w:val="0B2545"/>
                <w:sz w:val="18"/>
              </w:rPr>
            </w:r>
          </w:p>
        </w:tc>
        <w:tc>
          <w:tcPr>
            <w:tcW w:type="dxa" w:w="2300"/>
            <w:tcMar>
              <w:top w:w="80" w:type="dxa"/>
              <w:start w:w="120" w:type="dxa"/>
              <w:bottom w:w="80" w:type="dxa"/>
              <w:end w:w="120" w:type="dxa"/>
            </w:tcMar>
            <w:vAlign w:val="center"/>
            <w:shd w:fill="F2F4F7"/>
          </w:tcPr>
          <w:p>
            <w:pPr>
              <w:spacing w:after="40" w:line="252" w:lineRule="auto"/>
            </w:pPr>
            <w:r>
              <w:rPr>
                <w:rFonts w:ascii="Calibri" w:hAnsi="Calibri"/>
                <w:b/>
                <w:color w:val="0B2545"/>
                <w:sz w:val="18"/>
              </w:rPr>
              <w:t>Pred NORMAL</w:t>
            </w:r>
          </w:p>
        </w:tc>
        <w:tc>
          <w:tcPr>
            <w:tcW w:type="dxa" w:w="2300"/>
            <w:tcMar>
              <w:top w:w="80" w:type="dxa"/>
              <w:start w:w="120" w:type="dxa"/>
              <w:bottom w:w="80" w:type="dxa"/>
              <w:end w:w="120" w:type="dxa"/>
            </w:tcMar>
            <w:vAlign w:val="center"/>
            <w:shd w:fill="F2F4F7"/>
          </w:tcPr>
          <w:p>
            <w:pPr>
              <w:spacing w:after="40" w:line="252" w:lineRule="auto"/>
            </w:pPr>
            <w:r>
              <w:rPr>
                <w:rFonts w:ascii="Calibri" w:hAnsi="Calibri"/>
                <w:b/>
                <w:color w:val="0B2545"/>
                <w:sz w:val="18"/>
              </w:rPr>
              <w:t>Pred MODERE</w:t>
            </w:r>
          </w:p>
        </w:tc>
        <w:tc>
          <w:tcPr>
            <w:tcW w:type="dxa" w:w="2360"/>
            <w:tcMar>
              <w:top w:w="80" w:type="dxa"/>
              <w:start w:w="120" w:type="dxa"/>
              <w:bottom w:w="80" w:type="dxa"/>
              <w:end w:w="120" w:type="dxa"/>
            </w:tcMar>
            <w:vAlign w:val="center"/>
            <w:shd w:fill="F2F4F7"/>
          </w:tcPr>
          <w:p>
            <w:pPr>
              <w:spacing w:after="40" w:line="252" w:lineRule="auto"/>
            </w:pPr>
            <w:r>
              <w:rPr>
                <w:rFonts w:ascii="Calibri" w:hAnsi="Calibri"/>
                <w:b/>
                <w:color w:val="0B2545"/>
                <w:sz w:val="18"/>
              </w:rPr>
              <w:t>Pred DANGEREUX</w:t>
            </w:r>
          </w:p>
        </w:tc>
      </w:tr>
      <w:tr>
        <w:tc>
          <w:tcPr>
            <w:tcW w:type="dxa" w:w="2400"/>
            <w:tcMar>
              <w:top w:w="80" w:type="dxa"/>
              <w:start w:w="120" w:type="dxa"/>
              <w:bottom w:w="80" w:type="dxa"/>
              <w:end w:w="120" w:type="dxa"/>
            </w:tcMar>
            <w:vAlign w:val="center"/>
          </w:tcPr>
          <w:p>
            <w:pPr>
              <w:spacing w:after="40" w:line="252" w:lineRule="auto"/>
            </w:pPr>
            <w:r>
              <w:rPr>
                <w:rFonts w:ascii="Calibri" w:hAnsi="Calibri"/>
                <w:sz w:val="18"/>
              </w:rPr>
              <w:t>Reel NORMAL</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3998</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2</w:t>
            </w:r>
          </w:p>
        </w:tc>
        <w:tc>
          <w:tcPr>
            <w:tcW w:type="dxa" w:w="2360"/>
            <w:tcMar>
              <w:top w:w="80" w:type="dxa"/>
              <w:start w:w="120" w:type="dxa"/>
              <w:bottom w:w="80" w:type="dxa"/>
              <w:end w:w="120" w:type="dxa"/>
            </w:tcMar>
            <w:vAlign w:val="center"/>
          </w:tcPr>
          <w:p>
            <w:pPr>
              <w:spacing w:after="40" w:line="252" w:lineRule="auto"/>
            </w:pPr>
            <w:r>
              <w:rPr>
                <w:rFonts w:ascii="Calibri" w:hAnsi="Calibri"/>
                <w:sz w:val="18"/>
              </w:rPr>
              <w:t>0</w:t>
            </w:r>
          </w:p>
        </w:tc>
      </w:tr>
      <w:tr>
        <w:tc>
          <w:tcPr>
            <w:tcW w:type="dxa" w:w="2400"/>
            <w:tcMar>
              <w:top w:w="80" w:type="dxa"/>
              <w:start w:w="120" w:type="dxa"/>
              <w:bottom w:w="80" w:type="dxa"/>
              <w:end w:w="120" w:type="dxa"/>
            </w:tcMar>
            <w:vAlign w:val="center"/>
          </w:tcPr>
          <w:p>
            <w:pPr>
              <w:spacing w:after="40" w:line="252" w:lineRule="auto"/>
            </w:pPr>
            <w:r>
              <w:rPr>
                <w:rFonts w:ascii="Calibri" w:hAnsi="Calibri"/>
                <w:sz w:val="18"/>
              </w:rPr>
              <w:t>Reel MODERE</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15</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3873</w:t>
            </w:r>
          </w:p>
        </w:tc>
        <w:tc>
          <w:tcPr>
            <w:tcW w:type="dxa" w:w="2360"/>
            <w:tcMar>
              <w:top w:w="80" w:type="dxa"/>
              <w:start w:w="120" w:type="dxa"/>
              <w:bottom w:w="80" w:type="dxa"/>
              <w:end w:w="120" w:type="dxa"/>
            </w:tcMar>
            <w:vAlign w:val="center"/>
          </w:tcPr>
          <w:p>
            <w:pPr>
              <w:spacing w:after="40" w:line="252" w:lineRule="auto"/>
            </w:pPr>
            <w:r>
              <w:rPr>
                <w:rFonts w:ascii="Calibri" w:hAnsi="Calibri"/>
                <w:sz w:val="18"/>
              </w:rPr>
              <w:t>112</w:t>
            </w:r>
          </w:p>
        </w:tc>
      </w:tr>
      <w:tr>
        <w:tc>
          <w:tcPr>
            <w:tcW w:type="dxa" w:w="2400"/>
            <w:tcMar>
              <w:top w:w="80" w:type="dxa"/>
              <w:start w:w="120" w:type="dxa"/>
              <w:bottom w:w="80" w:type="dxa"/>
              <w:end w:w="120" w:type="dxa"/>
            </w:tcMar>
            <w:vAlign w:val="center"/>
          </w:tcPr>
          <w:p>
            <w:pPr>
              <w:spacing w:after="40" w:line="252" w:lineRule="auto"/>
            </w:pPr>
            <w:r>
              <w:rPr>
                <w:rFonts w:ascii="Calibri" w:hAnsi="Calibri"/>
                <w:sz w:val="18"/>
              </w:rPr>
              <w:t>Reel DANGEREUX</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0</w:t>
            </w:r>
          </w:p>
        </w:tc>
        <w:tc>
          <w:tcPr>
            <w:tcW w:type="dxa" w:w="2300"/>
            <w:tcMar>
              <w:top w:w="80" w:type="dxa"/>
              <w:start w:w="120" w:type="dxa"/>
              <w:bottom w:w="80" w:type="dxa"/>
              <w:end w:w="120" w:type="dxa"/>
            </w:tcMar>
            <w:vAlign w:val="center"/>
          </w:tcPr>
          <w:p>
            <w:pPr>
              <w:spacing w:after="40" w:line="252" w:lineRule="auto"/>
            </w:pPr>
            <w:r>
              <w:rPr>
                <w:rFonts w:ascii="Calibri" w:hAnsi="Calibri"/>
                <w:sz w:val="18"/>
              </w:rPr>
              <w:t>435</w:t>
            </w:r>
          </w:p>
        </w:tc>
        <w:tc>
          <w:tcPr>
            <w:tcW w:type="dxa" w:w="2360"/>
            <w:tcMar>
              <w:top w:w="80" w:type="dxa"/>
              <w:start w:w="120" w:type="dxa"/>
              <w:bottom w:w="80" w:type="dxa"/>
              <w:end w:w="120" w:type="dxa"/>
            </w:tcMar>
            <w:vAlign w:val="center"/>
          </w:tcPr>
          <w:p>
            <w:pPr>
              <w:spacing w:after="40" w:line="252" w:lineRule="auto"/>
            </w:pPr>
            <w:r>
              <w:rPr>
                <w:rFonts w:ascii="Calibri" w:hAnsi="Calibri"/>
                <w:sz w:val="18"/>
              </w:rPr>
              <w:t>3565</w:t>
            </w:r>
          </w:p>
        </w:tc>
      </w:tr>
    </w:tbl>
    <w:p>
      <w:pPr>
        <w:jc w:val="center"/>
      </w:pPr>
      <w:r>
        <w:drawing>
          <wp:inline xmlns:a="http://schemas.openxmlformats.org/drawingml/2006/main" xmlns:pic="http://schemas.openxmlformats.org/drawingml/2006/picture">
            <wp:extent cx="5715000" cy="4762500"/>
            <wp:docPr id="3" name="Picture 3"/>
            <wp:cNvGraphicFramePr>
              <a:graphicFrameLocks noChangeAspect="1"/>
            </wp:cNvGraphicFramePr>
            <a:graphic>
              <a:graphicData uri="http://schemas.openxmlformats.org/drawingml/2006/picture">
                <pic:pic>
                  <pic:nvPicPr>
                    <pic:cNvPr id="0" name="03_rf_matrice_confusion_realiste.png"/>
                    <pic:cNvPicPr/>
                  </pic:nvPicPr>
                  <pic:blipFill>
                    <a:blip r:embed="rId13"/>
                    <a:stretch>
                      <a:fillRect/>
                    </a:stretch>
                  </pic:blipFill>
                  <pic:spPr>
                    <a:xfrm>
                      <a:off x="0" y="0"/>
                      <a:ext cx="5715000" cy="4762500"/>
                    </a:xfrm>
                    <a:prstGeom prst="rect"/>
                  </pic:spPr>
                </pic:pic>
              </a:graphicData>
            </a:graphic>
          </wp:inline>
        </w:drawing>
      </w:r>
    </w:p>
    <w:p>
      <w:pPr>
        <w:spacing w:after="160"/>
        <w:jc w:val="center"/>
      </w:pPr>
      <w:r>
        <w:rPr>
          <w:rFonts w:ascii="Calibri" w:hAnsi="Calibri"/>
          <w:i/>
          <w:color w:val="5A5A5A"/>
          <w:sz w:val="18"/>
        </w:rPr>
        <w:t>Figure 3 - Matrice de confusion Random Forest avec protocole realiste.</w:t>
      </w:r>
    </w:p>
    <w:p>
      <w:pPr>
        <w:jc w:val="center"/>
      </w:pPr>
      <w:r>
        <w:drawing>
          <wp:inline xmlns:a="http://schemas.openxmlformats.org/drawingml/2006/main" xmlns:pic="http://schemas.openxmlformats.org/drawingml/2006/picture">
            <wp:extent cx="5715000" cy="3429000"/>
            <wp:docPr id="4" name="Picture 4"/>
            <wp:cNvGraphicFramePr>
              <a:graphicFrameLocks noChangeAspect="1"/>
            </wp:cNvGraphicFramePr>
            <a:graphic>
              <a:graphicData uri="http://schemas.openxmlformats.org/drawingml/2006/picture">
                <pic:pic>
                  <pic:nvPicPr>
                    <pic:cNvPr id="0" name="04_rf_importances_realistes.png"/>
                    <pic:cNvPicPr/>
                  </pic:nvPicPr>
                  <pic:blipFill>
                    <a:blip r:embed="rId14"/>
                    <a:stretch>
                      <a:fillRect/>
                    </a:stretch>
                  </pic:blipFill>
                  <pic:spPr>
                    <a:xfrm>
                      <a:off x="0" y="0"/>
                      <a:ext cx="5715000" cy="3429000"/>
                    </a:xfrm>
                    <a:prstGeom prst="rect"/>
                  </pic:spPr>
                </pic:pic>
              </a:graphicData>
            </a:graphic>
          </wp:inline>
        </w:drawing>
      </w:r>
    </w:p>
    <w:p>
      <w:pPr>
        <w:spacing w:after="160"/>
        <w:jc w:val="center"/>
      </w:pPr>
      <w:r>
        <w:rPr>
          <w:rFonts w:ascii="Calibri" w:hAnsi="Calibri"/>
          <w:i/>
          <w:color w:val="5A5A5A"/>
          <w:sz w:val="18"/>
        </w:rPr>
        <w:t>Figure 4 - Importance des variables dans le Random Forest revise.</w:t>
      </w:r>
    </w:p>
    <w:p>
      <w:pPr>
        <w:pStyle w:val="Heading1"/>
        <w:spacing w:before="320" w:after="160"/>
      </w:pPr>
      <w:r>
        <w:rPr>
          <w:rFonts w:ascii="Calibri" w:hAnsi="Calibri"/>
          <w:b/>
          <w:color w:val="2E74B5"/>
          <w:sz w:val="32"/>
        </w:rPr>
        <w:t>3. Courbes d entrainement revisees</w:t>
      </w:r>
    </w:p>
    <w:p>
      <w:pPr>
        <w:spacing w:after="120" w:line="264" w:lineRule="auto"/>
      </w:pPr>
      <w:r>
        <w:rPr>
          <w:rFonts w:ascii="Calibri" w:hAnsi="Calibri"/>
        </w:rPr>
        <w:t>La courbe d'apprentissage montre une progression plus naturelle : avec peu de donnees, la validation est plus faible ; elle augmente ensuite lorsque davantage d'exemples sont utilises. La courbe de validation selon max_depth montre aussi pourquoi une profondeur controlee est plus raisonnable.</w:t>
      </w:r>
    </w:p>
    <w:p>
      <w:pPr>
        <w:jc w:val="center"/>
      </w:pPr>
      <w:r>
        <w:drawing>
          <wp:inline xmlns:a="http://schemas.openxmlformats.org/drawingml/2006/main" xmlns:pic="http://schemas.openxmlformats.org/drawingml/2006/picture">
            <wp:extent cx="5715000" cy="3810000"/>
            <wp:docPr id="5" name="Picture 5"/>
            <wp:cNvGraphicFramePr>
              <a:graphicFrameLocks noChangeAspect="1"/>
            </wp:cNvGraphicFramePr>
            <a:graphic>
              <a:graphicData uri="http://schemas.openxmlformats.org/drawingml/2006/picture">
                <pic:pic>
                  <pic:nvPicPr>
                    <pic:cNvPr id="0" name="05_rf_courbe_apprentissage_realiste.png"/>
                    <pic:cNvPicPr/>
                  </pic:nvPicPr>
                  <pic:blipFill>
                    <a:blip r:embed="rId15"/>
                    <a:stretch>
                      <a:fillRect/>
                    </a:stretch>
                  </pic:blipFill>
                  <pic:spPr>
                    <a:xfrm>
                      <a:off x="0" y="0"/>
                      <a:ext cx="5715000" cy="3810000"/>
                    </a:xfrm>
                    <a:prstGeom prst="rect"/>
                  </pic:spPr>
                </pic:pic>
              </a:graphicData>
            </a:graphic>
          </wp:inline>
        </w:drawing>
      </w:r>
    </w:p>
    <w:p>
      <w:pPr>
        <w:spacing w:after="160"/>
        <w:jc w:val="center"/>
      </w:pPr>
      <w:r>
        <w:rPr>
          <w:rFonts w:ascii="Calibri" w:hAnsi="Calibri"/>
          <w:i/>
          <w:color w:val="5A5A5A"/>
          <w:sz w:val="18"/>
        </w:rPr>
        <w:t>Figure 5 - Courbe d'apprentissage Random Forest avec labels originaux.</w:t>
      </w:r>
    </w:p>
    <w:p>
      <w:pPr>
        <w:jc w:val="center"/>
      </w:pPr>
      <w:r>
        <w:drawing>
          <wp:inline xmlns:a="http://schemas.openxmlformats.org/drawingml/2006/main" xmlns:pic="http://schemas.openxmlformats.org/drawingml/2006/picture">
            <wp:extent cx="5715000" cy="3810000"/>
            <wp:docPr id="6" name="Picture 6"/>
            <wp:cNvGraphicFramePr>
              <a:graphicFrameLocks noChangeAspect="1"/>
            </wp:cNvGraphicFramePr>
            <a:graphic>
              <a:graphicData uri="http://schemas.openxmlformats.org/drawingml/2006/picture">
                <pic:pic>
                  <pic:nvPicPr>
                    <pic:cNvPr id="0" name="06_rf_courbe_validation_profondeur.png"/>
                    <pic:cNvPicPr/>
                  </pic:nvPicPr>
                  <pic:blipFill>
                    <a:blip r:embed="rId16"/>
                    <a:stretch>
                      <a:fillRect/>
                    </a:stretch>
                  </pic:blipFill>
                  <pic:spPr>
                    <a:xfrm>
                      <a:off x="0" y="0"/>
                      <a:ext cx="5715000" cy="3810000"/>
                    </a:xfrm>
                    <a:prstGeom prst="rect"/>
                  </pic:spPr>
                </pic:pic>
              </a:graphicData>
            </a:graphic>
          </wp:inline>
        </w:drawing>
      </w:r>
    </w:p>
    <w:p>
      <w:pPr>
        <w:spacing w:after="160"/>
        <w:jc w:val="center"/>
      </w:pPr>
      <w:r>
        <w:rPr>
          <w:rFonts w:ascii="Calibri" w:hAnsi="Calibri"/>
          <w:i/>
          <w:color w:val="5A5A5A"/>
          <w:sz w:val="18"/>
        </w:rPr>
        <w:t>Figure 6 - Courbe de validation selon la profondeur maximale du Random Forest.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80" w:line="264" w:lineRule="auto"/>
            </w:pPr>
            <w:r>
              <w:rPr>
                <w:rFonts w:ascii="Calibri" w:hAnsi="Calibri"/>
                <w:b/>
                <w:color w:val="0B2545"/>
                <w:sz w:val="21"/>
              </w:rPr>
              <w:t>Lecture recommandee</w:t>
            </w:r>
          </w:p>
          <w:p>
            <w:pPr>
              <w:spacing w:after="80" w:line="264" w:lineRule="auto"/>
            </w:pPr>
            <w:r>
              <w:rPr>
                <w:rFonts w:ascii="Calibri" w:hAnsi="Calibri"/>
                <w:sz w:val="21"/>
              </w:rPr>
              <w:t>Dans le texte du TFC, il est preferable d'ecrire que le modele atteint environ 95 % de precision en test. Cette formulation est plus credible que 100 % et correspond a une evaluation sur labels originaux.</w:t>
            </w:r>
          </w:p>
        </w:tc>
      </w:tr>
    </w:tbl>
    <w:p>
      <w:pPr>
        <w:pStyle w:val="Heading1"/>
        <w:spacing w:before="320" w:after="160"/>
      </w:pPr>
      <w:r>
        <w:rPr>
          <w:rFonts w:ascii="Calibri" w:hAnsi="Calibri"/>
          <w:b/>
          <w:color w:val="2E74B5"/>
          <w:sz w:val="32"/>
        </w:rPr>
        <w:t>4. LSTM revise</w:t>
      </w:r>
    </w:p>
    <w:p>
      <w:pPr>
        <w:spacing w:after="120" w:line="264" w:lineRule="auto"/>
      </w:pPr>
      <w:r>
        <w:rPr>
          <w:rFonts w:ascii="Calibri" w:hAnsi="Calibri"/>
        </w:rPr>
        <w:t>Le LSTM est egalement rendu plus realiste : il predit la concentration vraie future, et non simplement la concentration fusionnee future. Les metriques sont donc moins spectaculaires mais plus defendables.</w:t>
      </w:r>
    </w:p>
    <w:tbl>
      <w:tblPr>
        <w:tblStyle w:val="TableGrid"/>
        <w:tblW w:type="dxa" w:w="9360"/>
        <w:jc w:val="left"/>
        <w:tblLayout w:type="fixed"/>
        <w:tblLook w:firstColumn="1" w:firstRow="1" w:lastColumn="0" w:lastRow="0" w:noHBand="0" w:noVBand="1" w:val="04A0"/>
        <w:tblInd w:w="120" w:type="dxa"/>
      </w:tblPr>
      <w:tblGrid>
        <w:gridCol w:w="4300"/>
        <w:gridCol w:w="5060"/>
      </w:tblGrid>
      <w:tr>
        <w:tc>
          <w:tcPr>
            <w:tcW w:type="dxa" w:w="4300"/>
            <w:tcMar>
              <w:top w:w="80" w:type="dxa"/>
              <w:start w:w="120" w:type="dxa"/>
              <w:bottom w:w="80" w:type="dxa"/>
              <w:end w:w="120" w:type="dxa"/>
            </w:tcMar>
            <w:vAlign w:val="center"/>
            <w:shd w:fill="F2F4F7"/>
          </w:tcPr>
          <w:p>
            <w:pPr>
              <w:spacing w:after="40" w:line="252" w:lineRule="auto"/>
            </w:pPr>
            <w:r>
              <w:rPr>
                <w:rFonts w:ascii="Calibri" w:hAnsi="Calibri"/>
                <w:b/>
                <w:color w:val="0B2545"/>
                <w:sz w:val="18"/>
              </w:rPr>
              <w:t>Parametre ou metrique</w:t>
            </w:r>
          </w:p>
        </w:tc>
        <w:tc>
          <w:tcPr>
            <w:tcW w:type="dxa" w:w="5060"/>
            <w:tcMar>
              <w:top w:w="80" w:type="dxa"/>
              <w:start w:w="120" w:type="dxa"/>
              <w:bottom w:w="80" w:type="dxa"/>
              <w:end w:w="120" w:type="dxa"/>
            </w:tcMar>
            <w:vAlign w:val="center"/>
            <w:shd w:fill="F2F4F7"/>
          </w:tcPr>
          <w:p>
            <w:pPr>
              <w:spacing w:after="40" w:line="252" w:lineRule="auto"/>
            </w:pPr>
            <w:r>
              <w:rPr>
                <w:rFonts w:ascii="Calibri" w:hAnsi="Calibri"/>
                <w:b/>
                <w:color w:val="0B2545"/>
                <w:sz w:val="18"/>
              </w:rPr>
              <w:t>Valeur</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Cible LSTM</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True_concentration future</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Fenetre</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60</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Horizon</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50</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Stride</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128</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Sequences train</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3 577</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Sequences validation</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767</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Sequences test</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767</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MAE</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3.802 ppm</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RMSE</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6.164 ppm</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8"/>
              </w:rPr>
              <w:t>R2</w:t>
            </w:r>
          </w:p>
        </w:tc>
        <w:tc>
          <w:tcPr>
            <w:tcW w:type="dxa" w:w="5060"/>
            <w:tcMar>
              <w:top w:w="80" w:type="dxa"/>
              <w:start w:w="120" w:type="dxa"/>
              <w:bottom w:w="80" w:type="dxa"/>
              <w:end w:w="120" w:type="dxa"/>
            </w:tcMar>
            <w:vAlign w:val="center"/>
          </w:tcPr>
          <w:p>
            <w:pPr>
              <w:spacing w:after="40" w:line="252" w:lineRule="auto"/>
            </w:pPr>
            <w:r>
              <w:rPr>
                <w:rFonts w:ascii="Calibri" w:hAnsi="Calibri"/>
                <w:sz w:val="18"/>
              </w:rPr>
              <w:t>0.573</w:t>
            </w:r>
          </w:p>
        </w:tc>
      </w:tr>
    </w:tbl>
    <w:p>
      <w:pPr>
        <w:jc w:val="center"/>
      </w:pPr>
      <w:r>
        <w:drawing>
          <wp:inline xmlns:a="http://schemas.openxmlformats.org/drawingml/2006/main" xmlns:pic="http://schemas.openxmlformats.org/drawingml/2006/picture">
            <wp:extent cx="5715000" cy="2143125"/>
            <wp:docPr id="7" name="Picture 7"/>
            <wp:cNvGraphicFramePr>
              <a:graphicFrameLocks noChangeAspect="1"/>
            </wp:cNvGraphicFramePr>
            <a:graphic>
              <a:graphicData uri="http://schemas.openxmlformats.org/drawingml/2006/picture">
                <pic:pic>
                  <pic:nvPicPr>
                    <pic:cNvPr id="0" name="07_lstm_courbes_realistes.png"/>
                    <pic:cNvPicPr/>
                  </pic:nvPicPr>
                  <pic:blipFill>
                    <a:blip r:embed="rId17"/>
                    <a:stretch>
                      <a:fillRect/>
                    </a:stretch>
                  </pic:blipFill>
                  <pic:spPr>
                    <a:xfrm>
                      <a:off x="0" y="0"/>
                      <a:ext cx="5715000" cy="2143125"/>
                    </a:xfrm>
                    <a:prstGeom prst="rect"/>
                  </pic:spPr>
                </pic:pic>
              </a:graphicData>
            </a:graphic>
          </wp:inline>
        </w:drawing>
      </w:r>
    </w:p>
    <w:p>
      <w:pPr>
        <w:spacing w:after="160"/>
        <w:jc w:val="center"/>
      </w:pPr>
      <w:r>
        <w:rPr>
          <w:rFonts w:ascii="Calibri" w:hAnsi="Calibri"/>
          <w:i/>
          <w:color w:val="5A5A5A"/>
          <w:sz w:val="18"/>
        </w:rPr>
        <w:t>Figure 7 - Courbes LSTM revisees : loss et MAE.</w:t>
      </w:r>
    </w:p>
    <w:p>
      <w:pPr>
        <w:jc w:val="center"/>
      </w:pPr>
      <w:r>
        <w:drawing>
          <wp:inline xmlns:a="http://schemas.openxmlformats.org/drawingml/2006/main" xmlns:pic="http://schemas.openxmlformats.org/drawingml/2006/picture">
            <wp:extent cx="5715000" cy="2571750"/>
            <wp:docPr id="8" name="Picture 8"/>
            <wp:cNvGraphicFramePr>
              <a:graphicFrameLocks noChangeAspect="1"/>
            </wp:cNvGraphicFramePr>
            <a:graphic>
              <a:graphicData uri="http://schemas.openxmlformats.org/drawingml/2006/picture">
                <pic:pic>
                  <pic:nvPicPr>
                    <pic:cNvPr id="0" name="08_lstm_reel_vs_predit_realiste.png"/>
                    <pic:cNvPicPr/>
                  </pic:nvPicPr>
                  <pic:blipFill>
                    <a:blip r:embed="rId18"/>
                    <a:stretch>
                      <a:fillRect/>
                    </a:stretch>
                  </pic:blipFill>
                  <pic:spPr>
                    <a:xfrm>
                      <a:off x="0" y="0"/>
                      <a:ext cx="5715000" cy="2571750"/>
                    </a:xfrm>
                    <a:prstGeom prst="rect"/>
                  </pic:spPr>
                </pic:pic>
              </a:graphicData>
            </a:graphic>
          </wp:inline>
        </w:drawing>
      </w:r>
    </w:p>
    <w:p>
      <w:pPr>
        <w:spacing w:after="160"/>
        <w:jc w:val="center"/>
      </w:pPr>
      <w:r>
        <w:rPr>
          <w:rFonts w:ascii="Calibri" w:hAnsi="Calibri"/>
          <w:i/>
          <w:color w:val="5A5A5A"/>
          <w:sz w:val="18"/>
        </w:rPr>
        <w:t>Figure 8 - Concentration vraie future vs prediction LSTM.</w:t>
      </w:r>
    </w:p>
    <w:p>
      <w:pPr>
        <w:jc w:val="center"/>
      </w:pPr>
      <w:r>
        <w:drawing>
          <wp:inline xmlns:a="http://schemas.openxmlformats.org/drawingml/2006/main" xmlns:pic="http://schemas.openxmlformats.org/drawingml/2006/picture">
            <wp:extent cx="5715000" cy="3673929"/>
            <wp:docPr id="9" name="Picture 9"/>
            <wp:cNvGraphicFramePr>
              <a:graphicFrameLocks noChangeAspect="1"/>
            </wp:cNvGraphicFramePr>
            <a:graphic>
              <a:graphicData uri="http://schemas.openxmlformats.org/drawingml/2006/picture">
                <pic:pic>
                  <pic:nvPicPr>
                    <pic:cNvPr id="0" name="09_lstm_erreurs_realistes.png"/>
                    <pic:cNvPicPr/>
                  </pic:nvPicPr>
                  <pic:blipFill>
                    <a:blip r:embed="rId19"/>
                    <a:stretch>
                      <a:fillRect/>
                    </a:stretch>
                  </pic:blipFill>
                  <pic:spPr>
                    <a:xfrm>
                      <a:off x="0" y="0"/>
                      <a:ext cx="5715000" cy="3673929"/>
                    </a:xfrm>
                    <a:prstGeom prst="rect"/>
                  </pic:spPr>
                </pic:pic>
              </a:graphicData>
            </a:graphic>
          </wp:inline>
        </w:drawing>
      </w:r>
    </w:p>
    <w:p>
      <w:pPr>
        <w:spacing w:after="160"/>
        <w:jc w:val="center"/>
      </w:pPr>
      <w:r>
        <w:rPr>
          <w:rFonts w:ascii="Calibri" w:hAnsi="Calibri"/>
          <w:i/>
          <w:color w:val="5A5A5A"/>
          <w:sz w:val="18"/>
        </w:rPr>
        <w:t>Figure 9 - Distribution des erreurs LSTM.</w:t>
      </w:r>
    </w:p>
    <w:p>
      <w:pPr>
        <w:pStyle w:val="Heading1"/>
        <w:spacing w:before="320" w:after="160"/>
      </w:pPr>
      <w:r>
        <w:rPr>
          <w:rFonts w:ascii="Calibri" w:hAnsi="Calibri"/>
          <w:b/>
          <w:color w:val="2E74B5"/>
          <w:sz w:val="32"/>
        </w:rPr>
        <w:t>5. Conclusion</w:t>
      </w:r>
    </w:p>
    <w:p>
      <w:pPr>
        <w:spacing w:after="120" w:line="264" w:lineRule="auto"/>
      </w:pPr>
      <w:r>
        <w:rPr>
          <w:rFonts w:ascii="Calibri" w:hAnsi="Calibri"/>
        </w:rPr>
        <w:t>La revision corrige le principal point faible du rapport precedent. Le score Random Forest passe d'un 100 % trop artificiel a 95,30 % en test, obtenu avec les labels originaux du dataset. La courbe d'apprentissage devient plus convaincante et le LSTM presente des erreurs en ppm plus realistes.</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tcMar>
              <w:top w:w="80" w:type="dxa"/>
              <w:start w:w="120" w:type="dxa"/>
              <w:bottom w:w="80" w:type="dxa"/>
              <w:end w:w="120" w:type="dxa"/>
            </w:tcMar>
            <w:vAlign w:val="center"/>
            <w:shd w:fill="F2F4F7"/>
          </w:tcPr>
          <w:p>
            <w:pPr>
              <w:spacing w:after="40" w:line="252" w:lineRule="auto"/>
            </w:pPr>
            <w:r>
              <w:rPr>
                <w:rFonts w:ascii="Calibri" w:hAnsi="Calibri"/>
                <w:b/>
                <w:color w:val="0B2545"/>
                <w:sz w:val="18"/>
              </w:rPr>
              <w:t>Fichier</w:t>
            </w:r>
          </w:p>
        </w:tc>
        <w:tc>
          <w:tcPr>
            <w:tcW w:type="dxa" w:w="6360"/>
            <w:tcMar>
              <w:top w:w="80" w:type="dxa"/>
              <w:start w:w="120" w:type="dxa"/>
              <w:bottom w:w="80" w:type="dxa"/>
              <w:end w:w="120" w:type="dxa"/>
            </w:tcMar>
            <w:vAlign w:val="center"/>
            <w:shd w:fill="F2F4F7"/>
          </w:tcPr>
          <w:p>
            <w:pPr>
              <w:spacing w:after="40" w:line="252" w:lineRule="auto"/>
            </w:pPr>
            <w:r>
              <w:rPr>
                <w:rFonts w:ascii="Calibri" w:hAnsi="Calibri"/>
                <w:b/>
                <w:color w:val="0B2545"/>
                <w:sz w:val="18"/>
              </w:rPr>
              <w:t>Chemin</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Notebook realiste</w:t>
            </w:r>
          </w:p>
        </w:tc>
        <w:tc>
          <w:tcPr>
            <w:tcW w:type="dxa" w:w="6360"/>
            <w:tcMar>
              <w:top w:w="80" w:type="dxa"/>
              <w:start w:w="120" w:type="dxa"/>
              <w:bottom w:w="80" w:type="dxa"/>
              <w:end w:w="120" w:type="dxa"/>
            </w:tcMar>
            <w:vAlign w:val="center"/>
          </w:tcPr>
          <w:p>
            <w:pPr>
              <w:spacing w:after="40" w:line="252" w:lineRule="auto"/>
            </w:pPr>
            <w:r>
              <w:rPr>
                <w:rFonts w:ascii="Calibri" w:hAnsi="Calibri"/>
                <w:sz w:val="18"/>
              </w:rPr>
              <w:t>D:\TFC_2026 (2)\Mr. RUPHIN\final\CORRECTION\MODELE\modele_h2s_colab_rf_lstm_EVALUATION_REALISTE.ipynb</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Metriques JSON</w:t>
            </w:r>
          </w:p>
        </w:tc>
        <w:tc>
          <w:tcPr>
            <w:tcW w:type="dxa" w:w="6360"/>
            <w:tcMar>
              <w:top w:w="80" w:type="dxa"/>
              <w:start w:w="120" w:type="dxa"/>
              <w:bottom w:w="80" w:type="dxa"/>
              <w:end w:w="120" w:type="dxa"/>
            </w:tcMar>
            <w:vAlign w:val="center"/>
          </w:tcPr>
          <w:p>
            <w:pPr>
              <w:spacing w:after="40" w:line="252" w:lineRule="auto"/>
            </w:pPr>
            <w:r>
              <w:rPr>
                <w:rFonts w:ascii="Calibri" w:hAnsi="Calibri"/>
                <w:sz w:val="18"/>
              </w:rPr>
              <w:t>D:\TFC_2026 (2)\Mr. RUPHIN\final\CORRECTION\MODELE\rapport_metriques_modele_h2s_realiste_assets\metrics_resultats_modele_h2s_realiste.json</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Dossier figures</w:t>
            </w:r>
          </w:p>
        </w:tc>
        <w:tc>
          <w:tcPr>
            <w:tcW w:type="dxa" w:w="6360"/>
            <w:tcMar>
              <w:top w:w="80" w:type="dxa"/>
              <w:start w:w="120" w:type="dxa"/>
              <w:bottom w:w="80" w:type="dxa"/>
              <w:end w:w="120" w:type="dxa"/>
            </w:tcMar>
            <w:vAlign w:val="center"/>
          </w:tcPr>
          <w:p>
            <w:pPr>
              <w:spacing w:after="40" w:line="252" w:lineRule="auto"/>
            </w:pPr>
            <w:r>
              <w:rPr>
                <w:rFonts w:ascii="Calibri" w:hAnsi="Calibri"/>
                <w:sz w:val="18"/>
              </w:rPr>
              <w:t>D:\TFC_2026 (2)\Mr. RUPHIN\final\CORRECTION\MODELE\rapport_metriques_modele_h2s_realiste_assets</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Rapport Word</w:t>
            </w:r>
          </w:p>
        </w:tc>
        <w:tc>
          <w:tcPr>
            <w:tcW w:type="dxa" w:w="6360"/>
            <w:tcMar>
              <w:top w:w="80" w:type="dxa"/>
              <w:start w:w="120" w:type="dxa"/>
              <w:bottom w:w="80" w:type="dxa"/>
              <w:end w:w="120" w:type="dxa"/>
            </w:tcMar>
            <w:vAlign w:val="center"/>
          </w:tcPr>
          <w:p>
            <w:pPr>
              <w:spacing w:after="40" w:line="252" w:lineRule="auto"/>
            </w:pPr>
            <w:r>
              <w:rPr>
                <w:rFonts w:ascii="Calibri" w:hAnsi="Calibri"/>
                <w:sz w:val="18"/>
              </w:rPr>
              <w:t>D:\TFC_2026 (2)\Mr. RUPHIN\final\CORRECTION\MODELE\rapport_metriques_courbes_modele_h2s_REALISTE.docx</w:t>
            </w:r>
          </w:p>
        </w:tc>
      </w:tr>
      <w:tr>
        <w:tc>
          <w:tcPr>
            <w:tcW w:type="dxa" w:w="3000"/>
            <w:tcMar>
              <w:top w:w="80" w:type="dxa"/>
              <w:start w:w="120" w:type="dxa"/>
              <w:bottom w:w="80" w:type="dxa"/>
              <w:end w:w="120" w:type="dxa"/>
            </w:tcMar>
            <w:vAlign w:val="center"/>
          </w:tcPr>
          <w:p>
            <w:pPr>
              <w:spacing w:after="40" w:line="252" w:lineRule="auto"/>
            </w:pPr>
            <w:r>
              <w:rPr>
                <w:rFonts w:ascii="Calibri" w:hAnsi="Calibri"/>
                <w:sz w:val="18"/>
              </w:rPr>
              <w:t>Copie projet</w:t>
            </w:r>
          </w:p>
        </w:tc>
        <w:tc>
          <w:tcPr>
            <w:tcW w:type="dxa" w:w="6360"/>
            <w:tcMar>
              <w:top w:w="80" w:type="dxa"/>
              <w:start w:w="120" w:type="dxa"/>
              <w:bottom w:w="80" w:type="dxa"/>
              <w:end w:w="120" w:type="dxa"/>
            </w:tcMar>
            <w:vAlign w:val="center"/>
          </w:tcPr>
          <w:p>
            <w:pPr>
              <w:spacing w:after="40" w:line="252" w:lineRule="auto"/>
            </w:pPr>
            <w:r>
              <w:rPr>
                <w:rFonts w:ascii="Calibri" w:hAnsi="Calibri"/>
                <w:sz w:val="18"/>
              </w:rPr>
              <w:t>C:\Users\labul\gas_monitoring_system\gas_monitoring_system\docs\rapport_metriques_courbes_modele_h2s_REALISTE.docx</w:t>
            </w:r>
          </w:p>
        </w:tc>
      </w:tr>
    </w:tbl>
    <w:p>
      <w:r>
        <w:rPr>
          <w:rFonts w:ascii="Calibri" w:hAnsi="Calibri"/>
          <w:i/>
          <w:color w:val="5A5A5A"/>
          <w:sz w:val="18"/>
        </w:rPr>
        <w:t>Preset applique : standard_business_brief. Rapport genere a partir du recalcul complet sur DATASET01.csv.</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Random Forest / LSTM - protocole avec labels originaux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8"/>
      </w:rPr>
      <w:t>Evaluation realiste du modele H2S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