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4"/>
        </w:rPr>
        <w:t>Rapport complet d'entrainement du modele H2S</w:t>
      </w:r>
    </w:p>
    <w:p>
      <w:pPr>
        <w:spacing w:after="240"/>
      </w:pPr>
      <w:r>
        <w:rPr>
          <w:color w:val="555555"/>
          <w:sz w:val="24"/>
        </w:rPr>
        <w:t>Version Google Colab - Random Forest et LSTM</w:t>
      </w:r>
    </w:p>
    <w:tbl>
      <w:tblPr>
        <w:tblStyle w:val="TableGrid"/>
        <w:tblW w:type="auto" w:w="0"/>
        <w:tblLayout w:type="fixed"/>
        <w:tblLook w:firstColumn="1" w:firstRow="1" w:lastColumn="0" w:lastRow="0" w:noHBand="0" w:noVBand="1" w:val="04A0"/>
      </w:tblPr>
      <w:tblGrid>
        <w:gridCol w:w="4680"/>
        <w:gridCol w:w="4680"/>
      </w:tblGrid>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Element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Valeur</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Projet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Systeme intelligent de surveillance du gaz H2S</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Dataset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D:\TFC_2026 (2)\Mr. RUPHIN\final\CORRECTION\MODELE\DATASET01.csv</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Date de generation</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2026-07-02T00:24:42</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Objet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Evaluation complete du nouvel entrainement RF + LSTM</w:t>
            </w:r>
          </w:p>
        </w:tc>
      </w:tr>
    </w:tbl>
    <w:p>
      <w:pPr>
        <w:pStyle w:val="Heading1"/>
      </w:pPr>
      <w:r>
        <w:t>1. Synthese executive</w:t>
      </w:r>
    </w:p>
    <w:p>
      <w:r>
        <w:t>Ce rapport presente le nouvel entrainement des modeles d'intelligence artificielle destines au systeme de surveillance du gaz H2S. L'entrainement suit la version Google Colab du notebook final et se concentre uniquement sur la concentration H2S, avec prise en compte de la temperature et de l'humidite comme variables environnementales.</w:t>
      </w:r>
    </w:p>
    <w:tbl>
      <w:tblPr>
        <w:tblStyle w:val="TableGrid"/>
        <w:tblW w:type="auto" w:w="0"/>
        <w:tblLayout w:type="fixed"/>
        <w:tblLook w:firstColumn="1" w:firstRow="1" w:lastColumn="0" w:lastRow="0" w:noHBand="0" w:noVBand="1" w:val="04A0"/>
      </w:tblPr>
      <w:tblGrid>
        <w:gridCol w:w="4680"/>
        <w:gridCol w:w="4680"/>
      </w:tblGrid>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Element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Valeur</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Meilleur modele pour la classification instantanee</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Random Forest</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Accuracy test Random Forest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97.44 %</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F1 macro test Random Forest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97.44 %</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Modele temporel ameliore</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BiLSTM optimise</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Accuracy test LSTM</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F1 macro test LSTM</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Conclusion principale</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Le LSTM ameliore atteint environ 98 % sur le protocole Colab, tandis que le Random Forest reste robuste pour la classification instantanee.</w:t>
            </w:r>
          </w:p>
        </w:tc>
      </w:tr>
    </w:tbl>
    <w:p>
      <w:pPr>
        <w:pStyle w:val="Heading1"/>
      </w:pPr>
      <w:r>
        <w:t>2. Objectif de l'entrainement</w:t>
      </w:r>
    </w:p>
    <w:p>
      <w:r>
        <w:t>L'objectif est d'obtenir deux modeles complementaires : un modele Random Forest pour classer rapidement le niveau de danger H2S a partir d'une mesure instantanee, et un modele LSTM pour analyser l'evolution temporelle des mesures et predire la classe future.</w:t>
      </w:r>
    </w:p>
    <w:p>
      <w:r>
        <w:t>Les classes cible sont : 0 = NORMAL, 1 = MODERE et 2 = DANGEREUX. Le monoxyde de carbone n'est pas pris en compte dans ce protocole, conformement au systeme final centre sur un seul gaz : H2S.</w:t>
      </w:r>
    </w:p>
    <w:p>
      <w:pPr>
        <w:pStyle w:val="Heading1"/>
      </w:pPr>
      <w:r>
        <w:t>3. Jeu de donnees utilise</w:t>
      </w:r>
    </w:p>
    <w:tbl>
      <w:tblPr>
        <w:tblStyle w:val="TableGrid"/>
        <w:tblW w:type="auto" w:w="0"/>
        <w:tblLayout w:type="fixed"/>
        <w:tblLook w:firstColumn="1" w:firstRow="1" w:lastColumn="0" w:lastRow="0" w:noHBand="0" w:noVBand="1" w:val="04A0"/>
      </w:tblPr>
      <w:tblGrid>
        <w:gridCol w:w="4680"/>
        <w:gridCol w:w="4680"/>
      </w:tblGrid>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Element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Valeur</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Nombre de lignes brutes</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654440</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Nombre de colonnes</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Colonnes capteurs</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Sensor1[ppm], Sensor2[ppm], Sensor3[ppm], Sensor4[ppm]</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Variable cible</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Labels</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Variables environnementales</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Temperature[C], Humidity[%]</w:t>
            </w:r>
          </w:p>
        </w:tc>
      </w:tr>
    </w:tbl>
    <w:p>
      <w:pPr>
        <w:pStyle w:val="Heading1"/>
      </w:pPr>
      <w:r>
        <w:t>4. Nettoyage et controle qualite</w:t>
      </w:r>
    </w:p>
    <w:p>
      <w:r>
        <w:t>Le nettoyage applique les etapes recommandees : detection des valeurs manquantes, suppression des observations trop incompletes, conversion numerique, interpolation des valeurs manquantes residuelles, suppression des doublons, controle des incoherences physiques et audit des valeurs aberrantes.</w:t>
      </w:r>
    </w:p>
    <w:tbl>
      <w:tblPr>
        <w:tblStyle w:val="TableGrid"/>
        <w:tblW w:type="auto" w:w="0"/>
        <w:tblLayout w:type="fixed"/>
        <w:tblLook w:firstColumn="1" w:firstRow="1" w:lastColumn="0" w:lastRow="0" w:noHBand="0" w:noVBand="1" w:val="04A0"/>
      </w:tblPr>
      <w:tblGrid>
        <w:gridCol w:w="4680"/>
        <w:gridCol w:w="4680"/>
      </w:tblGrid>
      <w:tr>
        <w:tc>
          <w:tcPr>
            <w:tcW w:type="dxa" w:w="6623"/>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Traitement</w:t>
            </w:r>
          </w:p>
        </w:tc>
        <w:tc>
          <w:tcPr>
            <w:tcW w:type="dxa" w:w="273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Valeur</w:t>
            </w:r>
          </w:p>
        </w:tc>
      </w:tr>
      <w:tr>
        <w:tc>
          <w:tcPr>
            <w:tcW w:type="dxa" w:w="6623"/>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lignes_initiales</w:t>
            </w:r>
          </w:p>
        </w:tc>
        <w:tc>
          <w:tcPr>
            <w:tcW w:type="dxa" w:w="273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654440</w:t>
            </w:r>
          </w:p>
        </w:tc>
      </w:tr>
      <w:tr>
        <w:tc>
          <w:tcPr>
            <w:tcW w:type="dxa" w:w="6623"/>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lignes_supprimees_pour_trop_de_manquants</w:t>
            </w:r>
          </w:p>
        </w:tc>
        <w:tc>
          <w:tcPr>
            <w:tcW w:type="dxa" w:w="273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w:t>
            </w:r>
          </w:p>
        </w:tc>
      </w:tr>
      <w:tr>
        <w:tc>
          <w:tcPr>
            <w:tcW w:type="dxa" w:w="6623"/>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lignes_supprimees_incoherences_physiques</w:t>
            </w:r>
          </w:p>
        </w:tc>
        <w:tc>
          <w:tcPr>
            <w:tcW w:type="dxa" w:w="273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252</w:t>
            </w:r>
          </w:p>
        </w:tc>
      </w:tr>
      <w:tr>
        <w:tc>
          <w:tcPr>
            <w:tcW w:type="dxa" w:w="6623"/>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doublons_supprimes</w:t>
            </w:r>
          </w:p>
        </w:tc>
        <w:tc>
          <w:tcPr>
            <w:tcW w:type="dxa" w:w="273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w:t>
            </w:r>
          </w:p>
        </w:tc>
      </w:tr>
      <w:tr>
        <w:tc>
          <w:tcPr>
            <w:tcW w:type="dxa" w:w="6623"/>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lignes_finales</w:t>
            </w:r>
          </w:p>
        </w:tc>
        <w:tc>
          <w:tcPr>
            <w:tcW w:type="dxa" w:w="273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654188</w:t>
            </w:r>
          </w:p>
        </w:tc>
      </w:tr>
      <w:tr>
        <w:tc>
          <w:tcPr>
            <w:tcW w:type="dxa" w:w="6623"/>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valeurs_nulles_restantes</w:t>
            </w:r>
          </w:p>
        </w:tc>
        <w:tc>
          <w:tcPr>
            <w:tcW w:type="dxa" w:w="273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w:t>
            </w:r>
          </w:p>
        </w:tc>
      </w:tr>
    </w:tbl>
    <w:tbl>
      <w:tblPr>
        <w:tblStyle w:val="TableGrid"/>
        <w:tblW w:type="auto" w:w="0"/>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Colonne</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Valeurs manquantes</w:t>
            </w:r>
          </w:p>
        </w:tc>
        <w:tc>
          <w:tcPr>
            <w:tcW w:type="dxa" w:w="230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Ratio</w:t>
            </w:r>
          </w:p>
        </w:tc>
      </w:tr>
      <w:tr>
        <w:tc>
          <w:tcPr>
            <w:tcW w:type="dxa" w:w="48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Time[sec]</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w:t>
            </w:r>
          </w:p>
        </w:tc>
        <w:tc>
          <w:tcPr>
            <w:tcW w:type="dxa" w:w="230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0.00 %</w:t>
            </w:r>
          </w:p>
        </w:tc>
      </w:tr>
      <w:tr>
        <w:tc>
          <w:tcPr>
            <w:tcW w:type="dxa" w:w="48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Sensor1[ppm]</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w:t>
            </w:r>
          </w:p>
        </w:tc>
        <w:tc>
          <w:tcPr>
            <w:tcW w:type="dxa" w:w="230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0.00 %</w:t>
            </w:r>
          </w:p>
        </w:tc>
      </w:tr>
      <w:tr>
        <w:tc>
          <w:tcPr>
            <w:tcW w:type="dxa" w:w="48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Sensor2[ppm]</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w:t>
            </w:r>
          </w:p>
        </w:tc>
        <w:tc>
          <w:tcPr>
            <w:tcW w:type="dxa" w:w="230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0.00 %</w:t>
            </w:r>
          </w:p>
        </w:tc>
      </w:tr>
      <w:tr>
        <w:tc>
          <w:tcPr>
            <w:tcW w:type="dxa" w:w="48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Sensor3[ppm]</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w:t>
            </w:r>
          </w:p>
        </w:tc>
        <w:tc>
          <w:tcPr>
            <w:tcW w:type="dxa" w:w="230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0.00 %</w:t>
            </w:r>
          </w:p>
        </w:tc>
      </w:tr>
      <w:tr>
        <w:tc>
          <w:tcPr>
            <w:tcW w:type="dxa" w:w="48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Sensor4[ppm]</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w:t>
            </w:r>
          </w:p>
        </w:tc>
        <w:tc>
          <w:tcPr>
            <w:tcW w:type="dxa" w:w="230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0.00 %</w:t>
            </w:r>
          </w:p>
        </w:tc>
      </w:tr>
      <w:tr>
        <w:tc>
          <w:tcPr>
            <w:tcW w:type="dxa" w:w="48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Humidity[%]</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w:t>
            </w:r>
          </w:p>
        </w:tc>
        <w:tc>
          <w:tcPr>
            <w:tcW w:type="dxa" w:w="230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0.00 %</w:t>
            </w:r>
          </w:p>
        </w:tc>
      </w:tr>
      <w:tr>
        <w:tc>
          <w:tcPr>
            <w:tcW w:type="dxa" w:w="48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Temperature[C]</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w:t>
            </w:r>
          </w:p>
        </w:tc>
        <w:tc>
          <w:tcPr>
            <w:tcW w:type="dxa" w:w="230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0.00 %</w:t>
            </w:r>
          </w:p>
        </w:tc>
      </w:tr>
      <w:tr>
        <w:tc>
          <w:tcPr>
            <w:tcW w:type="dxa" w:w="48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True_concentration[ppm]</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w:t>
            </w:r>
          </w:p>
        </w:tc>
        <w:tc>
          <w:tcPr>
            <w:tcW w:type="dxa" w:w="230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0.00 %</w:t>
            </w:r>
          </w:p>
        </w:tc>
      </w:tr>
      <w:tr>
        <w:tc>
          <w:tcPr>
            <w:tcW w:type="dxa" w:w="48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Labels</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w:t>
            </w:r>
          </w:p>
        </w:tc>
        <w:tc>
          <w:tcPr>
            <w:tcW w:type="dxa" w:w="230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0.00 %</w:t>
            </w:r>
          </w:p>
        </w:tc>
      </w:tr>
    </w:tbl>
    <w:p>
      <w:r>
        <w:t>Les valeurs aberrantes detectees par la methode IQR ne sont pas supprimees automatiquement, car dans un systeme de detection de gaz elles peuvent representer des situations dangereuses reelles. Seules les incoherences physiques impossibles sont exclues.</w:t>
      </w:r>
    </w:p>
    <w:p>
      <w:pPr>
        <w:pStyle w:val="Heading1"/>
      </w:pPr>
      <w:r>
        <w:t>5. Transformation et fusion H2S</w:t>
      </w:r>
    </w:p>
    <w:p>
      <w:r>
        <w:t>Les mesures issues des capteurs historiques sont fusionnees pour produire une concentration H2S principale. La variable centrale est calculee selon la formule :</w:t>
      </w:r>
    </w:p>
    <w:p>
      <w:pPr>
        <w:jc w:val="center"/>
      </w:pPr>
      <w:r>
        <w:rPr>
          <w:b/>
        </w:rPr>
        <w:t>C_H2S_fusion_ppm = moyenne(Sensor1[ppm], Sensor2[ppm], Sensor3[ppm], Sensor4[ppm])</w:t>
      </w:r>
    </w:p>
    <w:p>
      <w:r>
        <w:t>Cette fusion reduit le bruit individuel de chaque canal et conserve l'information globale de concentration. Des variables derivees sont ajoutees : ecart-type entre capteurs, minimum, maximum, amplitude, differences temporelles et moyennes mobiles. La temperature et l'humidite sont conservees afin de tenir compte des conditions environnementales qui influencent les mesures de gaz.</w:t>
      </w:r>
    </w:p>
    <w:tbl>
      <w:tblPr>
        <w:tblStyle w:val="TableGrid"/>
        <w:tblW w:type="auto" w:w="0"/>
        <w:tblLayout w:type="fixed"/>
        <w:tblLook w:firstColumn="1" w:firstRow="1" w:lastColumn="0" w:lastRow="0" w:noHBand="0" w:noVBand="1" w:val="04A0"/>
      </w:tblPr>
      <w:tblGrid>
        <w:gridCol w:w="4680"/>
        <w:gridCol w:w="4680"/>
      </w:tblGrid>
      <w:tr>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Modele</w:t>
            </w:r>
          </w:p>
        </w:tc>
        <w:tc>
          <w:tcPr>
            <w:tcW w:type="dxa" w:w="720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Variables utilisees</w:t>
            </w:r>
          </w:p>
        </w:tc>
      </w:tr>
      <w:tr>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Random Forest</w:t>
            </w:r>
          </w:p>
        </w:tc>
        <w:tc>
          <w:tcPr>
            <w:tcW w:type="dxa" w:w="720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C_H2S_fusion_ppm, H2S_std_capteurs, H2S_min_capteurs, H2S_max_capteurs, H2S_amplitude_capteurs, H2S_diff_5, H2S_moy_mobile_5, H2S_std_mobile_5, H2S_diff_30, H2S_moy_mobile_30, H2S_std_mobile_30, Temperature[C], Humidity[%]</w:t>
            </w:r>
          </w:p>
        </w:tc>
      </w:tr>
      <w:tr>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LSTM</w:t>
            </w:r>
          </w:p>
        </w:tc>
        <w:tc>
          <w:tcPr>
            <w:tcW w:type="dxa" w:w="720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Sensor1[ppm], Sensor2[ppm], Sensor3[ppm], Sensor4[ppm], C_H2S_fusion_ppm, H2S_std_capteurs, H2S_min_capteurs, H2S_max_capteurs, H2S_amplitude_capteurs, H2S_diff_3, H2S_moy_mobile_3, H2S_std_mobile_3, H2S_diff_5, H2S_moy_mobile_5, H2S_std_mobile_5, H2S_diff_15, H2S_moy_mobile_15, H2S_std_mobile_15, H2S_diff_30, H2S_moy_mobile_30, H2S_std_mobile_30, H2S_diff_60, H2S_moy_mobile_60, H2S_std_mobile_60, Temperature[C], Humidity[%]</w:t>
            </w:r>
          </w:p>
        </w:tc>
      </w:tr>
    </w:tbl>
    <w:p>
      <w:pPr>
        <w:pStyle w:val="Heading1"/>
      </w:pPr>
      <w:r>
        <w:t>6. Equilibrage des classes</w:t>
      </w:r>
    </w:p>
    <w:p>
      <w:r>
        <w:t>Le jeu de donnees brut est desequilibre. Pour eviter que le modele favorise la classe majoritaire, un echantillonnage equilibre est applique sur les trois classes 0, 1 et 2.</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Classe</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Nom</w:t>
            </w:r>
          </w:p>
        </w:tc>
        <w:tc>
          <w:tcPr>
            <w:tcW w:type="dxa" w:w="30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Avant equilibrage</w:t>
            </w:r>
          </w:p>
        </w:tc>
        <w:tc>
          <w:tcPr>
            <w:tcW w:type="dxa" w:w="30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Apres equilibrage</w:t>
            </w:r>
          </w:p>
        </w:tc>
      </w:tr>
      <w:tr>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NORMAL</w:t>
            </w:r>
          </w:p>
        </w:tc>
        <w:tc>
          <w:tcPr>
            <w:tcW w:type="dxa" w:w="30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376364</w:t>
            </w:r>
          </w:p>
        </w:tc>
        <w:tc>
          <w:tcPr>
            <w:tcW w:type="dxa" w:w="30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20000</w:t>
            </w:r>
          </w:p>
        </w:tc>
      </w:tr>
      <w:tr>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1</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MODERE</w:t>
            </w:r>
          </w:p>
        </w:tc>
        <w:tc>
          <w:tcPr>
            <w:tcW w:type="dxa" w:w="30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151682</w:t>
            </w:r>
          </w:p>
        </w:tc>
        <w:tc>
          <w:tcPr>
            <w:tcW w:type="dxa" w:w="30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20000</w:t>
            </w:r>
          </w:p>
        </w:tc>
      </w:tr>
      <w:tr>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2</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DANGEREUX</w:t>
            </w:r>
          </w:p>
        </w:tc>
        <w:tc>
          <w:tcPr>
            <w:tcW w:type="dxa" w:w="30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126142</w:t>
            </w:r>
          </w:p>
        </w:tc>
        <w:tc>
          <w:tcPr>
            <w:tcW w:type="dxa" w:w="30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20000</w:t>
            </w:r>
          </w:p>
        </w:tc>
      </w:tr>
    </w:tbl>
    <w:p>
      <w:pPr>
        <w:jc w:val="center"/>
      </w:pPr>
      <w:r>
        <w:drawing>
          <wp:inline xmlns:a="http://schemas.openxmlformats.org/drawingml/2006/main" xmlns:pic="http://schemas.openxmlformats.org/drawingml/2006/picture">
            <wp:extent cx="5669280" cy="3435018"/>
            <wp:docPr id="1" name="Picture 1"/>
            <wp:cNvGraphicFramePr>
              <a:graphicFrameLocks noChangeAspect="1"/>
            </wp:cNvGraphicFramePr>
            <a:graphic>
              <a:graphicData uri="http://schemas.openxmlformats.org/drawingml/2006/picture">
                <pic:pic>
                  <pic:nvPicPr>
                    <pic:cNvPr id="0" name="classes_equilibrage.png"/>
                    <pic:cNvPicPr/>
                  </pic:nvPicPr>
                  <pic:blipFill>
                    <a:blip r:embed="rId9"/>
                    <a:stretch>
                      <a:fillRect/>
                    </a:stretch>
                  </pic:blipFill>
                  <pic:spPr>
                    <a:xfrm>
                      <a:off x="0" y="0"/>
                      <a:ext cx="5669280" cy="3435018"/>
                    </a:xfrm>
                    <a:prstGeom prst="rect"/>
                  </pic:spPr>
                </pic:pic>
              </a:graphicData>
            </a:graphic>
          </wp:inline>
        </w:drawing>
      </w:r>
    </w:p>
    <w:p>
      <w:pPr>
        <w:spacing w:before="40" w:after="160"/>
      </w:pPr>
      <w:r>
        <w:rPr>
          <w:i/>
          <w:color w:val="555555"/>
          <w:sz w:val="18"/>
        </w:rPr>
        <w:t>Figure 1 - Distribution des classes avant et apres equilibrage.</w:t>
      </w:r>
    </w:p>
    <w:p>
      <w:pPr>
        <w:pStyle w:val="Heading1"/>
      </w:pPr>
      <w:r>
        <w:t>7. Modele Random Forest</w:t>
      </w:r>
    </w:p>
    <w:p>
      <w:r>
        <w:t>Le Random Forest est utilise comme modele principal de classification instantanee. Il est integre dans un pipeline comprenant une standardisation des variables puis un classifieur Random Forest.</w:t>
      </w:r>
    </w:p>
    <w:tbl>
      <w:tblPr>
        <w:tblStyle w:val="TableGrid"/>
        <w:tblW w:type="auto" w:w="0"/>
        <w:tblLayout w:type="fixed"/>
        <w:tblLook w:firstColumn="1" w:firstRow="1" w:lastColumn="0" w:lastRow="0" w:noHBand="0" w:noVBand="1" w:val="04A0"/>
      </w:tblPr>
      <w:tblGrid>
        <w:gridCol w:w="4680"/>
        <w:gridCol w:w="4680"/>
      </w:tblGrid>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Element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Valeur</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Nombre d'arbres</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100</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Profondeur maximale</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8</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Feuilles minimales</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2</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OOB score</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0.9717</w:t>
            </w:r>
          </w:p>
        </w:tc>
      </w:tr>
    </w:tbl>
    <w:p>
      <w:pPr>
        <w:pStyle w:val="Heading3"/>
      </w:pPr>
      <w:r>
        <w:t>7.1 Metriques globales Random Forest</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2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Split</w:t>
            </w:r>
          </w:p>
        </w:tc>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Accuracy</w:t>
            </w:r>
          </w:p>
        </w:tc>
        <w:tc>
          <w:tcPr>
            <w:tcW w:type="dxa" w:w="12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Balanced acc.</w:t>
            </w:r>
          </w:p>
        </w:tc>
        <w:tc>
          <w:tcPr>
            <w:tcW w:type="dxa" w:w="136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Precision macro</w:t>
            </w:r>
          </w:p>
        </w:tc>
        <w:tc>
          <w:tcPr>
            <w:tcW w:type="dxa" w:w="12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Recall macro</w:t>
            </w:r>
          </w:p>
        </w:tc>
        <w:tc>
          <w:tcPr>
            <w:tcW w:type="dxa" w:w="10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F1 macro</w:t>
            </w:r>
          </w:p>
        </w:tc>
        <w:tc>
          <w:tcPr>
            <w:tcW w:type="dxa" w:w="1007"/>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Log loss</w:t>
            </w:r>
          </w:p>
        </w:tc>
        <w:tc>
          <w:tcPr>
            <w:tcW w:type="dxa" w:w="93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ROC-AUC</w:t>
            </w:r>
          </w:p>
        </w:tc>
      </w:tr>
      <w:tr>
        <w:tc>
          <w:tcPr>
            <w:tcW w:type="dxa" w:w="12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train</w:t>
            </w:r>
          </w:p>
        </w:tc>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97.64 %</w:t>
            </w:r>
          </w:p>
        </w:tc>
        <w:tc>
          <w:tcPr>
            <w:tcW w:type="dxa" w:w="12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97.64 %</w:t>
            </w:r>
          </w:p>
        </w:tc>
        <w:tc>
          <w:tcPr>
            <w:tcW w:type="dxa" w:w="136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97.68 %</w:t>
            </w:r>
          </w:p>
        </w:tc>
        <w:tc>
          <w:tcPr>
            <w:tcW w:type="dxa" w:w="12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97.64 %</w:t>
            </w:r>
          </w:p>
        </w:tc>
        <w:tc>
          <w:tcPr>
            <w:tcW w:type="dxa" w:w="10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97.64 %</w:t>
            </w:r>
          </w:p>
        </w:tc>
        <w:tc>
          <w:tcPr>
            <w:tcW w:type="dxa" w:w="1007"/>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0.1220</w:t>
            </w:r>
          </w:p>
        </w:tc>
        <w:tc>
          <w:tcPr>
            <w:tcW w:type="dxa" w:w="93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0.9990</w:t>
            </w:r>
          </w:p>
        </w:tc>
      </w:tr>
      <w:tr>
        <w:tc>
          <w:tcPr>
            <w:tcW w:type="dxa" w:w="12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validation</w:t>
            </w:r>
          </w:p>
        </w:tc>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97.58 %</w:t>
            </w:r>
          </w:p>
        </w:tc>
        <w:tc>
          <w:tcPr>
            <w:tcW w:type="dxa" w:w="12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97.58 %</w:t>
            </w:r>
          </w:p>
        </w:tc>
        <w:tc>
          <w:tcPr>
            <w:tcW w:type="dxa" w:w="136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97.61 %</w:t>
            </w:r>
          </w:p>
        </w:tc>
        <w:tc>
          <w:tcPr>
            <w:tcW w:type="dxa" w:w="12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97.58 %</w:t>
            </w:r>
          </w:p>
        </w:tc>
        <w:tc>
          <w:tcPr>
            <w:tcW w:type="dxa" w:w="10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97.57 %</w:t>
            </w:r>
          </w:p>
        </w:tc>
        <w:tc>
          <w:tcPr>
            <w:tcW w:type="dxa" w:w="1007"/>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0.1249</w:t>
            </w:r>
          </w:p>
        </w:tc>
        <w:tc>
          <w:tcPr>
            <w:tcW w:type="dxa" w:w="93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0.9987</w:t>
            </w:r>
          </w:p>
        </w:tc>
      </w:tr>
      <w:tr>
        <w:tc>
          <w:tcPr>
            <w:tcW w:type="dxa" w:w="12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test</w:t>
            </w:r>
          </w:p>
        </w:tc>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97.44 %</w:t>
            </w:r>
          </w:p>
        </w:tc>
        <w:tc>
          <w:tcPr>
            <w:tcW w:type="dxa" w:w="12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97.44 %</w:t>
            </w:r>
          </w:p>
        </w:tc>
        <w:tc>
          <w:tcPr>
            <w:tcW w:type="dxa" w:w="136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97.48 %</w:t>
            </w:r>
          </w:p>
        </w:tc>
        <w:tc>
          <w:tcPr>
            <w:tcW w:type="dxa" w:w="12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97.44 %</w:t>
            </w:r>
          </w:p>
        </w:tc>
        <w:tc>
          <w:tcPr>
            <w:tcW w:type="dxa" w:w="10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97.44 %</w:t>
            </w:r>
          </w:p>
        </w:tc>
        <w:tc>
          <w:tcPr>
            <w:tcW w:type="dxa" w:w="1007"/>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0.1260</w:t>
            </w:r>
          </w:p>
        </w:tc>
        <w:tc>
          <w:tcPr>
            <w:tcW w:type="dxa" w:w="93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0.9987</w:t>
            </w:r>
          </w:p>
        </w:tc>
      </w:tr>
    </w:tbl>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2015"/>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Classe</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Precision</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Recall</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F1-score</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Support</w:t>
            </w:r>
          </w:p>
        </w:tc>
      </w:tr>
      <w:tr>
        <w:tc>
          <w:tcPr>
            <w:tcW w:type="dxa" w:w="2015"/>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NORMAL</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99.55 %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99.92 %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99.74 %</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4000</w:t>
            </w:r>
          </w:p>
        </w:tc>
      </w:tr>
      <w:tr>
        <w:tc>
          <w:tcPr>
            <w:tcW w:type="dxa" w:w="2015"/>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MODERE</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94.70 %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97.82 %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96.24 %</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4000</w:t>
            </w:r>
          </w:p>
        </w:tc>
      </w:tr>
      <w:tr>
        <w:tc>
          <w:tcPr>
            <w:tcW w:type="dxa" w:w="2015"/>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DANGEREUX</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98.18 %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94.58 %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96.35 %</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4000</w:t>
            </w:r>
          </w:p>
        </w:tc>
      </w:tr>
      <w:tr>
        <w:tc>
          <w:tcPr>
            <w:tcW w:type="dxa" w:w="2015"/>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macro avg</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97.48 %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97.44 %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97.44 %</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12000</w:t>
            </w:r>
          </w:p>
        </w:tc>
      </w:tr>
      <w:tr>
        <w:tc>
          <w:tcPr>
            <w:tcW w:type="dxa" w:w="2015"/>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weighted avg</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97.48 %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97.44 %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97.44 %</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12000</w:t>
            </w:r>
          </w:p>
        </w:tc>
      </w:tr>
    </w:tbl>
    <w:p>
      <w:pPr>
        <w:jc w:val="center"/>
      </w:pPr>
      <w:r>
        <w:drawing>
          <wp:inline xmlns:a="http://schemas.openxmlformats.org/drawingml/2006/main" xmlns:pic="http://schemas.openxmlformats.org/drawingml/2006/picture">
            <wp:extent cx="5669280" cy="3433326"/>
            <wp:docPr id="2" name="Picture 2"/>
            <wp:cNvGraphicFramePr>
              <a:graphicFrameLocks noChangeAspect="1"/>
            </wp:cNvGraphicFramePr>
            <a:graphic>
              <a:graphicData uri="http://schemas.openxmlformats.org/drawingml/2006/picture">
                <pic:pic>
                  <pic:nvPicPr>
                    <pic:cNvPr id="0" name="rf_scores.png"/>
                    <pic:cNvPicPr/>
                  </pic:nvPicPr>
                  <pic:blipFill>
                    <a:blip r:embed="rId10"/>
                    <a:stretch>
                      <a:fillRect/>
                    </a:stretch>
                  </pic:blipFill>
                  <pic:spPr>
                    <a:xfrm>
                      <a:off x="0" y="0"/>
                      <a:ext cx="5669280" cy="3433326"/>
                    </a:xfrm>
                    <a:prstGeom prst="rect"/>
                  </pic:spPr>
                </pic:pic>
              </a:graphicData>
            </a:graphic>
          </wp:inline>
        </w:drawing>
      </w:r>
    </w:p>
    <w:p>
      <w:pPr>
        <w:spacing w:before="40" w:after="160"/>
      </w:pPr>
      <w:r>
        <w:rPr>
          <w:i/>
          <w:color w:val="555555"/>
          <w:sz w:val="18"/>
        </w:rPr>
        <w:t>Figure 2 - Scores Random Forest sur train, validation et test.</w:t>
      </w:r>
    </w:p>
    <w:p>
      <w:pPr>
        <w:jc w:val="center"/>
      </w:pPr>
      <w:r>
        <w:drawing>
          <wp:inline xmlns:a="http://schemas.openxmlformats.org/drawingml/2006/main" xmlns:pic="http://schemas.openxmlformats.org/drawingml/2006/picture">
            <wp:extent cx="5669280" cy="4704640"/>
            <wp:docPr id="3" name="Picture 3"/>
            <wp:cNvGraphicFramePr>
              <a:graphicFrameLocks noChangeAspect="1"/>
            </wp:cNvGraphicFramePr>
            <a:graphic>
              <a:graphicData uri="http://schemas.openxmlformats.org/drawingml/2006/picture">
                <pic:pic>
                  <pic:nvPicPr>
                    <pic:cNvPr id="0" name="rf_confusion_matrix.png"/>
                    <pic:cNvPicPr/>
                  </pic:nvPicPr>
                  <pic:blipFill>
                    <a:blip r:embed="rId11"/>
                    <a:stretch>
                      <a:fillRect/>
                    </a:stretch>
                  </pic:blipFill>
                  <pic:spPr>
                    <a:xfrm>
                      <a:off x="0" y="0"/>
                      <a:ext cx="5669280" cy="4704640"/>
                    </a:xfrm>
                    <a:prstGeom prst="rect"/>
                  </pic:spPr>
                </pic:pic>
              </a:graphicData>
            </a:graphic>
          </wp:inline>
        </w:drawing>
      </w:r>
    </w:p>
    <w:p>
      <w:pPr>
        <w:spacing w:before="40" w:after="160"/>
      </w:pPr>
      <w:r>
        <w:rPr>
          <w:i/>
          <w:color w:val="555555"/>
          <w:sz w:val="18"/>
        </w:rPr>
        <w:t>Figure 3 - Matrice de confusion Random Forest sur le jeu de test.</w:t>
      </w:r>
    </w:p>
    <w:p>
      <w:pPr>
        <w:jc w:val="center"/>
      </w:pPr>
      <w:r>
        <w:drawing>
          <wp:inline xmlns:a="http://schemas.openxmlformats.org/drawingml/2006/main" xmlns:pic="http://schemas.openxmlformats.org/drawingml/2006/picture">
            <wp:extent cx="5669280" cy="3898166"/>
            <wp:docPr id="4" name="Picture 4"/>
            <wp:cNvGraphicFramePr>
              <a:graphicFrameLocks noChangeAspect="1"/>
            </wp:cNvGraphicFramePr>
            <a:graphic>
              <a:graphicData uri="http://schemas.openxmlformats.org/drawingml/2006/picture">
                <pic:pic>
                  <pic:nvPicPr>
                    <pic:cNvPr id="0" name="rf_feature_importance.png"/>
                    <pic:cNvPicPr/>
                  </pic:nvPicPr>
                  <pic:blipFill>
                    <a:blip r:embed="rId12"/>
                    <a:stretch>
                      <a:fillRect/>
                    </a:stretch>
                  </pic:blipFill>
                  <pic:spPr>
                    <a:xfrm>
                      <a:off x="0" y="0"/>
                      <a:ext cx="5669280" cy="3898166"/>
                    </a:xfrm>
                    <a:prstGeom prst="rect"/>
                  </pic:spPr>
                </pic:pic>
              </a:graphicData>
            </a:graphic>
          </wp:inline>
        </w:drawing>
      </w:r>
    </w:p>
    <w:p>
      <w:pPr>
        <w:spacing w:before="40" w:after="160"/>
      </w:pPr>
      <w:r>
        <w:rPr>
          <w:i/>
          <w:color w:val="555555"/>
          <w:sz w:val="18"/>
        </w:rPr>
        <w:t>Figure 4 - Importance des variables dans le Random Forest.</w:t>
      </w:r>
    </w:p>
    <w:tbl>
      <w:tblPr>
        <w:tblStyle w:val="TableGrid"/>
        <w:tblW w:type="auto" w:w="0"/>
        <w:tblLayout w:type="fixed"/>
        <w:tblLook w:firstColumn="1" w:firstRow="1" w:lastColumn="0" w:lastRow="0" w:noHBand="0" w:noVBand="1" w:val="04A0"/>
      </w:tblPr>
      <w:tblGrid>
        <w:gridCol w:w="4680"/>
        <w:gridCol w:w="4680"/>
      </w:tblGrid>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Element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Valeur</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Accuracy train</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97.64 %</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Accuracy test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97.44 %</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Ecart train-test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0.20 %</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Interpretation</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Bon modele : les performances train et test sont proches.</w:t>
            </w:r>
          </w:p>
        </w:tc>
      </w:tr>
    </w:tbl>
    <w:p>
      <w:pPr>
        <w:pStyle w:val="Heading1"/>
      </w:pPr>
      <w:r>
        <w:t>8. Modele LSTM</w:t>
      </w:r>
    </w:p>
    <w:p>
      <w:r>
        <w:t>Le LSTM est entraine sur des sequences temporelles afin d'exploiter l'evolution des mesures H2S. Il utilise une fenetre de mesures successives, puis predit la classe future apres un horizon temporel.</w:t>
      </w:r>
    </w:p>
    <w:tbl>
      <w:tblPr>
        <w:tblStyle w:val="TableGrid"/>
        <w:tblW w:type="auto" w:w="0"/>
        <w:tblLayout w:type="fixed"/>
        <w:tblLook w:firstColumn="1" w:firstRow="1" w:lastColumn="0" w:lastRow="0" w:noHBand="0" w:noVBand="1" w:val="04A0"/>
      </w:tblPr>
      <w:tblGrid>
        <w:gridCol w:w="4680"/>
        <w:gridCol w:w="4680"/>
      </w:tblGrid>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Element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Valeur</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Architecture</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Bidirectional LSTM(64) + LSTM(32) + BatchNormalization + Dropout</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Fenetre temporelle</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90</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Horizon de prediction</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10</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Stride</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16</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Sequences max. par classe</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8000</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Epochs configures</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30</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Epochs executes</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30</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Batch size</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128</w:t>
            </w:r>
          </w:p>
        </w:tc>
      </w:tr>
    </w:tbl>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Classe</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Nom</w:t>
            </w:r>
          </w:p>
        </w:tc>
        <w:tc>
          <w:tcPr>
            <w:tcW w:type="dxa" w:w="30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Sequences avant</w:t>
            </w:r>
          </w:p>
        </w:tc>
        <w:tc>
          <w:tcPr>
            <w:tcW w:type="dxa" w:w="30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Sequences apres</w:t>
            </w:r>
          </w:p>
        </w:tc>
      </w:tr>
      <w:tr>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NORMAL</w:t>
            </w:r>
          </w:p>
        </w:tc>
        <w:tc>
          <w:tcPr>
            <w:tcW w:type="dxa" w:w="30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23517</w:t>
            </w:r>
          </w:p>
        </w:tc>
        <w:tc>
          <w:tcPr>
            <w:tcW w:type="dxa" w:w="30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7883</w:t>
            </w:r>
          </w:p>
        </w:tc>
      </w:tr>
      <w:tr>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1</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MODERE</w:t>
            </w:r>
          </w:p>
        </w:tc>
        <w:tc>
          <w:tcPr>
            <w:tcW w:type="dxa" w:w="30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9481</w:t>
            </w:r>
          </w:p>
        </w:tc>
        <w:tc>
          <w:tcPr>
            <w:tcW w:type="dxa" w:w="30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7883</w:t>
            </w:r>
          </w:p>
        </w:tc>
      </w:tr>
      <w:tr>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2</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DANGEREUX</w:t>
            </w:r>
          </w:p>
        </w:tc>
        <w:tc>
          <w:tcPr>
            <w:tcW w:type="dxa" w:w="30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7883</w:t>
            </w:r>
          </w:p>
        </w:tc>
        <w:tc>
          <w:tcPr>
            <w:tcW w:type="dxa" w:w="30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7883</w:t>
            </w:r>
          </w:p>
        </w:tc>
      </w:tr>
    </w:tbl>
    <w:p>
      <w:pPr>
        <w:pStyle w:val="Heading3"/>
      </w:pPr>
      <w:r>
        <w:t>8.1 Metriques globales LSTM</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2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Split</w:t>
            </w:r>
          </w:p>
        </w:tc>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Accuracy</w:t>
            </w:r>
          </w:p>
        </w:tc>
        <w:tc>
          <w:tcPr>
            <w:tcW w:type="dxa" w:w="12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Balanced acc.</w:t>
            </w:r>
          </w:p>
        </w:tc>
        <w:tc>
          <w:tcPr>
            <w:tcW w:type="dxa" w:w="136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Precision macro</w:t>
            </w:r>
          </w:p>
        </w:tc>
        <w:tc>
          <w:tcPr>
            <w:tcW w:type="dxa" w:w="12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Recall macro</w:t>
            </w:r>
          </w:p>
        </w:tc>
        <w:tc>
          <w:tcPr>
            <w:tcW w:type="dxa" w:w="10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F1 macro</w:t>
            </w:r>
          </w:p>
        </w:tc>
        <w:tc>
          <w:tcPr>
            <w:tcW w:type="dxa" w:w="1007"/>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Log loss</w:t>
            </w:r>
          </w:p>
        </w:tc>
        <w:tc>
          <w:tcPr>
            <w:tcW w:type="dxa" w:w="93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ROC-AUC</w:t>
            </w:r>
          </w:p>
        </w:tc>
      </w:tr>
      <w:tr>
        <w:tc>
          <w:tcPr>
            <w:tcW w:type="dxa" w:w="12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train</w:t>
            </w:r>
          </w:p>
        </w:tc>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99.02 %</w:t>
            </w:r>
          </w:p>
        </w:tc>
        <w:tc>
          <w:tcPr>
            <w:tcW w:type="dxa" w:w="12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99.02 %</w:t>
            </w:r>
          </w:p>
        </w:tc>
        <w:tc>
          <w:tcPr>
            <w:tcW w:type="dxa" w:w="136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99.02 %</w:t>
            </w:r>
          </w:p>
        </w:tc>
        <w:tc>
          <w:tcPr>
            <w:tcW w:type="dxa" w:w="12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99.02 %</w:t>
            </w:r>
          </w:p>
        </w:tc>
        <w:tc>
          <w:tcPr>
            <w:tcW w:type="dxa" w:w="10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99.02 %</w:t>
            </w:r>
          </w:p>
        </w:tc>
        <w:tc>
          <w:tcPr>
            <w:tcW w:type="dxa" w:w="1007"/>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0.0232</w:t>
            </w:r>
          </w:p>
        </w:tc>
        <w:tc>
          <w:tcPr>
            <w:tcW w:type="dxa" w:w="93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0.9998</w:t>
            </w:r>
          </w:p>
        </w:tc>
      </w:tr>
      <w:tr>
        <w:tc>
          <w:tcPr>
            <w:tcW w:type="dxa" w:w="12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validation</w:t>
            </w:r>
          </w:p>
        </w:tc>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98.65 %</w:t>
            </w:r>
          </w:p>
        </w:tc>
        <w:tc>
          <w:tcPr>
            <w:tcW w:type="dxa" w:w="12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98.65 %</w:t>
            </w:r>
          </w:p>
        </w:tc>
        <w:tc>
          <w:tcPr>
            <w:tcW w:type="dxa" w:w="136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98.65 %</w:t>
            </w:r>
          </w:p>
        </w:tc>
        <w:tc>
          <w:tcPr>
            <w:tcW w:type="dxa" w:w="12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98.65 %</w:t>
            </w:r>
          </w:p>
        </w:tc>
        <w:tc>
          <w:tcPr>
            <w:tcW w:type="dxa" w:w="10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98.65 %</w:t>
            </w:r>
          </w:p>
        </w:tc>
        <w:tc>
          <w:tcPr>
            <w:tcW w:type="dxa" w:w="1007"/>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0.0330</w:t>
            </w:r>
          </w:p>
        </w:tc>
        <w:tc>
          <w:tcPr>
            <w:tcW w:type="dxa" w:w="93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0.9997</w:t>
            </w:r>
          </w:p>
        </w:tc>
      </w:tr>
      <w:tr>
        <w:tc>
          <w:tcPr>
            <w:tcW w:type="dxa" w:w="122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test</w:t>
            </w:r>
          </w:p>
        </w:tc>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c>
          <w:tcPr>
            <w:tcW w:type="dxa" w:w="12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c>
          <w:tcPr>
            <w:tcW w:type="dxa" w:w="136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c>
          <w:tcPr>
            <w:tcW w:type="dxa" w:w="129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c>
          <w:tcPr>
            <w:tcW w:type="dxa" w:w="10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c>
          <w:tcPr>
            <w:tcW w:type="dxa" w:w="1007"/>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0.0350</w:t>
            </w:r>
          </w:p>
        </w:tc>
        <w:tc>
          <w:tcPr>
            <w:tcW w:type="dxa" w:w="936"/>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0.9997</w:t>
            </w:r>
          </w:p>
        </w:tc>
      </w:tr>
    </w:tbl>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2015"/>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Classe</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Precision</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Recall</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F1-score</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Support</w:t>
            </w:r>
          </w:p>
        </w:tc>
      </w:tr>
      <w:tr>
        <w:tc>
          <w:tcPr>
            <w:tcW w:type="dxa" w:w="2015"/>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NORMAL</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98.49 %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99.11 %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98.80 %</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1576</w:t>
            </w:r>
          </w:p>
        </w:tc>
      </w:tr>
      <w:tr>
        <w:tc>
          <w:tcPr>
            <w:tcW w:type="dxa" w:w="2015"/>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MODERE</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98.54 %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98.16 %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98.35 %</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1577</w:t>
            </w:r>
          </w:p>
        </w:tc>
      </w:tr>
      <w:tr>
        <w:tc>
          <w:tcPr>
            <w:tcW w:type="dxa" w:w="2015"/>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DANGEREUX</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99.30 %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99.05 %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99.17 %</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1577</w:t>
            </w:r>
          </w:p>
        </w:tc>
      </w:tr>
      <w:tr>
        <w:tc>
          <w:tcPr>
            <w:tcW w:type="dxa" w:w="2015"/>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macro avg</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4730</w:t>
            </w:r>
          </w:p>
        </w:tc>
      </w:tr>
      <w:tr>
        <w:tc>
          <w:tcPr>
            <w:tcW w:type="dxa" w:w="2015"/>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weighted avg</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c>
          <w:tcPr>
            <w:tcW w:type="dxa" w:w="17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c>
          <w:tcPr>
            <w:tcW w:type="dxa" w:w="216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4730</w:t>
            </w:r>
          </w:p>
        </w:tc>
      </w:tr>
    </w:tbl>
    <w:p>
      <w:pPr>
        <w:jc w:val="center"/>
      </w:pPr>
      <w:r>
        <w:drawing>
          <wp:inline xmlns:a="http://schemas.openxmlformats.org/drawingml/2006/main" xmlns:pic="http://schemas.openxmlformats.org/drawingml/2006/picture">
            <wp:extent cx="5669280" cy="3433326"/>
            <wp:docPr id="5" name="Picture 5"/>
            <wp:cNvGraphicFramePr>
              <a:graphicFrameLocks noChangeAspect="1"/>
            </wp:cNvGraphicFramePr>
            <a:graphic>
              <a:graphicData uri="http://schemas.openxmlformats.org/drawingml/2006/picture">
                <pic:pic>
                  <pic:nvPicPr>
                    <pic:cNvPr id="0" name="lstm_scores.png"/>
                    <pic:cNvPicPr/>
                  </pic:nvPicPr>
                  <pic:blipFill>
                    <a:blip r:embed="rId13"/>
                    <a:stretch>
                      <a:fillRect/>
                    </a:stretch>
                  </pic:blipFill>
                  <pic:spPr>
                    <a:xfrm>
                      <a:off x="0" y="0"/>
                      <a:ext cx="5669280" cy="3433326"/>
                    </a:xfrm>
                    <a:prstGeom prst="rect"/>
                  </pic:spPr>
                </pic:pic>
              </a:graphicData>
            </a:graphic>
          </wp:inline>
        </w:drawing>
      </w:r>
    </w:p>
    <w:p>
      <w:pPr>
        <w:spacing w:before="40" w:after="160"/>
      </w:pPr>
      <w:r>
        <w:rPr>
          <w:i/>
          <w:color w:val="555555"/>
          <w:sz w:val="18"/>
        </w:rPr>
        <w:t>Figure 5 - Scores LSTM sur train, validation et test.</w:t>
      </w:r>
    </w:p>
    <w:p>
      <w:pPr>
        <w:jc w:val="center"/>
      </w:pPr>
      <w:r>
        <w:drawing>
          <wp:inline xmlns:a="http://schemas.openxmlformats.org/drawingml/2006/main" xmlns:pic="http://schemas.openxmlformats.org/drawingml/2006/picture">
            <wp:extent cx="5669280" cy="2450282"/>
            <wp:docPr id="6" name="Picture 6"/>
            <wp:cNvGraphicFramePr>
              <a:graphicFrameLocks noChangeAspect="1"/>
            </wp:cNvGraphicFramePr>
            <a:graphic>
              <a:graphicData uri="http://schemas.openxmlformats.org/drawingml/2006/picture">
                <pic:pic>
                  <pic:nvPicPr>
                    <pic:cNvPr id="0" name="lstm_training_curves.png"/>
                    <pic:cNvPicPr/>
                  </pic:nvPicPr>
                  <pic:blipFill>
                    <a:blip r:embed="rId14"/>
                    <a:stretch>
                      <a:fillRect/>
                    </a:stretch>
                  </pic:blipFill>
                  <pic:spPr>
                    <a:xfrm>
                      <a:off x="0" y="0"/>
                      <a:ext cx="5669280" cy="2450282"/>
                    </a:xfrm>
                    <a:prstGeom prst="rect"/>
                  </pic:spPr>
                </pic:pic>
              </a:graphicData>
            </a:graphic>
          </wp:inline>
        </w:drawing>
      </w:r>
    </w:p>
    <w:p>
      <w:pPr>
        <w:spacing w:before="40" w:after="160"/>
      </w:pPr>
      <w:r>
        <w:rPr>
          <w:i/>
          <w:color w:val="555555"/>
          <w:sz w:val="18"/>
        </w:rPr>
        <w:t>Figure 6 - Courbes d'entrainement LSTM : accuracy et loss.</w:t>
      </w:r>
    </w:p>
    <w:p>
      <w:pPr>
        <w:jc w:val="center"/>
      </w:pPr>
      <w:r>
        <w:drawing>
          <wp:inline xmlns:a="http://schemas.openxmlformats.org/drawingml/2006/main" xmlns:pic="http://schemas.openxmlformats.org/drawingml/2006/picture">
            <wp:extent cx="5669280" cy="4704640"/>
            <wp:docPr id="7" name="Picture 7"/>
            <wp:cNvGraphicFramePr>
              <a:graphicFrameLocks noChangeAspect="1"/>
            </wp:cNvGraphicFramePr>
            <a:graphic>
              <a:graphicData uri="http://schemas.openxmlformats.org/drawingml/2006/picture">
                <pic:pic>
                  <pic:nvPicPr>
                    <pic:cNvPr id="0" name="lstm_confusion_matrix.png"/>
                    <pic:cNvPicPr/>
                  </pic:nvPicPr>
                  <pic:blipFill>
                    <a:blip r:embed="rId15"/>
                    <a:stretch>
                      <a:fillRect/>
                    </a:stretch>
                  </pic:blipFill>
                  <pic:spPr>
                    <a:xfrm>
                      <a:off x="0" y="0"/>
                      <a:ext cx="5669280" cy="4704640"/>
                    </a:xfrm>
                    <a:prstGeom prst="rect"/>
                  </pic:spPr>
                </pic:pic>
              </a:graphicData>
            </a:graphic>
          </wp:inline>
        </w:drawing>
      </w:r>
    </w:p>
    <w:p>
      <w:pPr>
        <w:spacing w:before="40" w:after="160"/>
      </w:pPr>
      <w:r>
        <w:rPr>
          <w:i/>
          <w:color w:val="555555"/>
          <w:sz w:val="18"/>
        </w:rPr>
        <w:t>Figure 7 - Matrice de confusion LSTM sur le jeu de test.</w:t>
      </w:r>
    </w:p>
    <w:tbl>
      <w:tblPr>
        <w:tblStyle w:val="TableGrid"/>
        <w:tblW w:type="auto" w:w="0"/>
        <w:tblLayout w:type="fixed"/>
        <w:tblLook w:firstColumn="1" w:firstRow="1" w:lastColumn="0" w:lastRow="0" w:noHBand="0" w:noVBand="1" w:val="04A0"/>
      </w:tblPr>
      <w:tblGrid>
        <w:gridCol w:w="4680"/>
        <w:gridCol w:w="4680"/>
      </w:tblGrid>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Element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Valeur</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Accuracy train</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99.02 %</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Accuracy test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Ecart train-test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0.25 %</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Interpretation</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Bon modele : les performances train et test sont proches.</w:t>
            </w:r>
          </w:p>
        </w:tc>
      </w:tr>
    </w:tbl>
    <w:p>
      <w:pPr>
        <w:pStyle w:val="Heading1"/>
      </w:pPr>
      <w:r>
        <w:t>9. Analyse comparative</w:t>
      </w:r>
    </w:p>
    <w:tbl>
      <w:tblPr>
        <w:tblStyle w:val="TableGrid"/>
        <w:tblW w:type="auto" w:w="0"/>
        <w:tblLayout w:type="fixed"/>
        <w:tblLook w:firstColumn="1" w:firstRow="1" w:lastColumn="0" w:lastRow="0" w:noHBand="0" w:noVBand="1" w:val="04A0"/>
      </w:tblPr>
      <w:tblGrid>
        <w:gridCol w:w="3120"/>
        <w:gridCol w:w="3120"/>
        <w:gridCol w:w="3120"/>
      </w:tblGrid>
      <w:tr>
        <w:tc>
          <w:tcPr>
            <w:tcW w:type="dxa" w:w="223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Critere</w:t>
            </w:r>
          </w:p>
        </w:tc>
        <w:tc>
          <w:tcPr>
            <w:tcW w:type="dxa" w:w="35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Random Forest</w:t>
            </w:r>
          </w:p>
        </w:tc>
        <w:tc>
          <w:tcPr>
            <w:tcW w:type="dxa" w:w="360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LSTM</w:t>
            </w:r>
          </w:p>
        </w:tc>
      </w:tr>
      <w:tr>
        <w:tc>
          <w:tcPr>
            <w:tcW w:type="dxa" w:w="223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Role</w:t>
            </w:r>
          </w:p>
        </w:tc>
        <w:tc>
          <w:tcPr>
            <w:tcW w:type="dxa" w:w="35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Classification instantanee du risque</w:t>
            </w:r>
          </w:p>
        </w:tc>
        <w:tc>
          <w:tcPr>
            <w:tcW w:type="dxa" w:w="360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Prediction temporelle de la classe future</w:t>
            </w:r>
          </w:p>
        </w:tc>
      </w:tr>
      <w:tr>
        <w:tc>
          <w:tcPr>
            <w:tcW w:type="dxa" w:w="223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Accuracy test</w:t>
            </w:r>
          </w:p>
        </w:tc>
        <w:tc>
          <w:tcPr>
            <w:tcW w:type="dxa" w:w="35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97.44 %</w:t>
            </w:r>
          </w:p>
        </w:tc>
        <w:tc>
          <w:tcPr>
            <w:tcW w:type="dxa" w:w="360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r>
      <w:tr>
        <w:tc>
          <w:tcPr>
            <w:tcW w:type="dxa" w:w="223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F1 macro test</w:t>
            </w:r>
          </w:p>
        </w:tc>
        <w:tc>
          <w:tcPr>
            <w:tcW w:type="dxa" w:w="35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97.44 %</w:t>
            </w:r>
          </w:p>
        </w:tc>
        <w:tc>
          <w:tcPr>
            <w:tcW w:type="dxa" w:w="360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r>
      <w:tr>
        <w:tc>
          <w:tcPr>
            <w:tcW w:type="dxa" w:w="223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ROC-AUC macro</w:t>
            </w:r>
          </w:p>
        </w:tc>
        <w:tc>
          <w:tcPr>
            <w:tcW w:type="dxa" w:w="35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0.9987</w:t>
            </w:r>
          </w:p>
        </w:tc>
        <w:tc>
          <w:tcPr>
            <w:tcW w:type="dxa" w:w="360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0.9997</w:t>
            </w:r>
          </w:p>
        </w:tc>
      </w:tr>
      <w:tr>
        <w:tc>
          <w:tcPr>
            <w:tcW w:type="dxa" w:w="223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Generalisation</w:t>
            </w:r>
          </w:p>
        </w:tc>
        <w:tc>
          <w:tcPr>
            <w:tcW w:type="dxa" w:w="3528"/>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Bon modele : les performances train et test sont proches.</w:t>
            </w:r>
          </w:p>
        </w:tc>
        <w:tc>
          <w:tcPr>
            <w:tcW w:type="dxa" w:w="360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Bon modele : les performances train et test sont proches.</w:t>
            </w:r>
          </w:p>
        </w:tc>
      </w:tr>
    </w:tbl>
    <w:p>
      <w:r>
        <w:t>Le Random Forest obtient la meilleure performance globale et presente un tres faible ecart entre l'entrainement et le test. Le LSTM ameliore atteint egalement un niveau tres eleve grace a une fenetre temporelle plus riche, un stride plus fin, un horizon plus proche du temps reel et une architecture bidirectionnelle. Le Random Forest reste simple et rapide pour la classification directe dans Flask, tandis que le LSTM devient pertinent pour la prediction temporelle courte.</w:t>
      </w:r>
    </w:p>
    <w:p>
      <w:r>
        <w:t>Remarque methodologique : les resultats LSTM sont calcules selon le protocole Colab avec decoupage aleatoire stratifie des sequences. Pour une validation industrielle finale, un test complementaire par blocs temporels est recommande, car il est plus severe et limite les similarites entre sequences voisines.</w:t>
      </w:r>
    </w:p>
    <w:p>
      <w:pPr>
        <w:pStyle w:val="Heading1"/>
      </w:pPr>
      <w:r>
        <w:t>10. Analyse du surapprentissage</w:t>
      </w:r>
    </w:p>
    <w:p>
      <w:r>
        <w:t>L'analyse du surapprentissage compare les accuracies d'entrainement et de test. Un bon modele doit presenter des performances elevees et proches sur les deux ensembles. Un grand ecart indiquerait une memorisation excessive des donnees d'entrainement.</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0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Modele</w:t>
            </w:r>
          </w:p>
        </w:tc>
        <w:tc>
          <w:tcPr>
            <w:tcW w:type="dxa" w:w="158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Accuracy train</w:t>
            </w:r>
          </w:p>
        </w:tc>
        <w:tc>
          <w:tcPr>
            <w:tcW w:type="dxa" w:w="158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Accuracy test</w:t>
            </w:r>
          </w:p>
        </w:tc>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Ecart</w:t>
            </w:r>
          </w:p>
        </w:tc>
        <w:tc>
          <w:tcPr>
            <w:tcW w:type="dxa" w:w="324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Conclusion</w:t>
            </w:r>
          </w:p>
        </w:tc>
      </w:tr>
      <w:tr>
        <w:tc>
          <w:tcPr>
            <w:tcW w:type="dxa" w:w="180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Random Forest</w:t>
            </w:r>
          </w:p>
        </w:tc>
        <w:tc>
          <w:tcPr>
            <w:tcW w:type="dxa" w:w="158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97.64 %</w:t>
            </w:r>
          </w:p>
        </w:tc>
        <w:tc>
          <w:tcPr>
            <w:tcW w:type="dxa" w:w="158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97.44 %</w:t>
            </w:r>
          </w:p>
        </w:tc>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0.20 %</w:t>
            </w:r>
          </w:p>
        </w:tc>
        <w:tc>
          <w:tcPr>
            <w:tcW w:type="dxa" w:w="324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Bon modele : les performances train et test sont proches.</w:t>
            </w:r>
          </w:p>
        </w:tc>
      </w:tr>
      <w:tr>
        <w:tc>
          <w:tcPr>
            <w:tcW w:type="dxa" w:w="180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LSTM</w:t>
            </w:r>
          </w:p>
        </w:tc>
        <w:tc>
          <w:tcPr>
            <w:tcW w:type="dxa" w:w="158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99.02 %</w:t>
            </w:r>
          </w:p>
        </w:tc>
        <w:tc>
          <w:tcPr>
            <w:tcW w:type="dxa" w:w="1584"/>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98.77 %</w:t>
            </w:r>
          </w:p>
        </w:tc>
        <w:tc>
          <w:tcPr>
            <w:tcW w:type="dxa" w:w="1152"/>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0.25 %</w:t>
            </w:r>
          </w:p>
        </w:tc>
        <w:tc>
          <w:tcPr>
            <w:tcW w:type="dxa" w:w="324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Bon modele : les performances train et test sont proches.</w:t>
            </w:r>
          </w:p>
        </w:tc>
      </w:tr>
    </w:tbl>
    <w:p>
      <w:pPr>
        <w:pStyle w:val="Heading1"/>
      </w:pPr>
      <w:r>
        <w:t>11. Export et integration</w:t>
      </w:r>
    </w:p>
    <w:p>
      <w:r>
        <w:t>Le notebook Google Colab exporte les artefacts sous forme d'archive ZIP. Les fichiers principaux sont le modele Random Forest, le scaler du LSTM, le modele LSTM et un fichier metadata JSON contenant les parametres et les metriques. Pour l'integration du systeme actuel, le Random Forest est recommande comme modele prioritaire dans le backend Flask.</w:t>
      </w:r>
    </w:p>
    <w:tbl>
      <w:tblPr>
        <w:tblStyle w:val="TableGrid"/>
        <w:tblW w:type="auto" w:w="0"/>
        <w:tblLayout w:type="fixed"/>
        <w:tblLook w:firstColumn="1" w:firstRow="1" w:lastColumn="0" w:lastRow="0" w:noHBand="0" w:noVBand="1" w:val="04A0"/>
      </w:tblPr>
      <w:tblGrid>
        <w:gridCol w:w="4680"/>
        <w:gridCol w:w="4680"/>
      </w:tblGrid>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Element</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shd w:fill="F2F4F7"/>
          </w:tcPr>
          <w:p>
            <w:pPr>
              <w:spacing w:after="0" w:line="252" w:lineRule="auto"/>
            </w:pPr>
            <w:r>
              <w:rPr>
                <w:rFonts w:ascii="Calibri" w:hAnsi="Calibri"/>
                <w:b/>
                <w:sz w:val="18"/>
              </w:rPr>
              <w:t>Valeur</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Notebook Colab</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modele_h2s_rf_lstm_GOOGLE_COLAB.ipynb</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Archive produite par Colab</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resultats_h2s_colab.zip</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Modele RF</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random_forest_h2s_fusion_colab.pkl</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Modele LSTM</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lstm_h2s_fusion_colab.h5</w:t>
            </w:r>
          </w:p>
        </w:tc>
      </w:tr>
      <w:tr>
        <w:tc>
          <w:tcPr>
            <w:tcW w:type="dxa" w:w="28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Metadata</w:t>
            </w:r>
          </w:p>
        </w:tc>
        <w:tc>
          <w:tcPr>
            <w:tcW w:type="dxa" w:w="6480"/>
            <w:tcMar>
              <w:top w:w="80" w:type="dxa"/>
              <w:start w:w="120" w:type="dxa"/>
              <w:bottom w:w="80" w:type="dxa"/>
              <w:end w:w="12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vAlign w:val="center"/>
          </w:tcPr>
          <w:p>
            <w:pPr>
              <w:spacing w:after="0" w:line="252" w:lineRule="auto"/>
            </w:pPr>
            <w:r>
              <w:rPr>
                <w:rFonts w:ascii="Calibri" w:hAnsi="Calibri"/>
                <w:sz w:val="18"/>
              </w:rPr>
              <w:t>metadata_entrainement_h2s_colab.json</w:t>
            </w:r>
          </w:p>
        </w:tc>
      </w:tr>
    </w:tbl>
    <w:p>
      <w:pPr>
        <w:pStyle w:val="Heading1"/>
      </w:pPr>
      <w:r>
        <w:t>12. Conclusion</w:t>
      </w:r>
    </w:p>
    <w:p>
      <w:r>
        <w:t>Le nouvel entrainement corrige le probleme d'une performance artificielle a 100 %. Les resultats sont maintenant eleves mais defendables : le Random Forest atteint une performance solide sans signe de surapprentissage marque, tandis que le LSTM optimise depasse 98 % sur le protocole Colab. La base de donnees et le backend doivent rester structures autour d'un seul gaz, H2S, avec temperature et humidite comme variables d'appui.</w:t>
      </w:r>
    </w:p>
    <w:p>
      <w:r>
        <w:t>En pratique, il est recommande d'utiliser le Random Forest pour la classification operationnelle en temps reel, et de conserver le LSTM pour les modules de prediction ou d'analyse de tendance.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complet d'entrainement du modele H2S</dc:title>
  <dc:subject>Entrainement Google Colab Random Forest et LSTM</dc:subject>
  <dc:creator>python-docx</dc:creator>
  <cp:keywords>H2S, Random Forest, LSTM, Google Colab, ESP32, Flask</cp:keywords>
  <dc:description>generated by python-docx</dc:description>
  <cp:lastModifiedBy/>
  <cp:revision>1</cp:revision>
  <dcterms:created xsi:type="dcterms:W3CDTF">2026-07-02T00:25:21Z</dcterms:created>
  <dcterms:modified xsi:type="dcterms:W3CDTF">2026-07-02T00:25:21Z</dcterms:modified>
  <cp:category/>
</cp:coreProperties>
</file>