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Clause 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1"/>
      </w:r>
    </w:p>
    <w:p>
      <w:r>
        <w:t xml:space="preserve">Clause 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5.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2"/>
      </w:r>
    </w:p>
    <w:p>
      <w:r>
        <w:t xml:space="preserve">Clause 6.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8. An APRA-regulated entity must maintain policies and procedures that are approved by the Board, reviewed at least quarterly, and commensurate with the size, business mix and complexity of the entity. Evidence of compliance must be retained for 7 years.</w:t>
      </w:r>
      <w:r>
        <w:rPr>
          <w:rStyle w:val="FootnoteReference"/>
        </w:rPr>
        <w:footnoteReference w:id="3"/>
      </w:r>
    </w:p>
    <w:p>
      <w:r>
        <w:t xml:space="preserve">Clause 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10.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11.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4"/>
      </w:r>
    </w:p>
    <w:p>
      <w:r>
        <w:t xml:space="preserve">Clause 12.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13.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14.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5"/>
      </w:r>
    </w:p>
    <w:p>
      <w:r>
        <w:t xml:space="preserve">Clause 15.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16. An APRA-regulated entity must maintain policies and procedures that are approved by the Board, reviewed at least quarterly, and commensurate with the size, business mix and complexity of the entity. Evidence of compliance must be retained for 7 years.</w:t>
      </w:r>
    </w:p>
    <w:p>
      <w:r>
        <w:t xml:space="preserve">Clause 17.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6"/>
      </w:r>
    </w:p>
    <w:p>
      <w:r>
        <w:t xml:space="preserve">Clause 18.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19.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20.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7"/>
      </w:r>
    </w:p>
    <w:p>
      <w:r>
        <w:t xml:space="preserve">Clause 21.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22.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23. An APRA-regulated entity must maintain policies and procedures that are approved by the Board, reviewed at least quarterly, and commensurate with the size, business mix and complexity of the entity. Evidence of compliance must be retained for 7 years.</w:t>
      </w:r>
      <w:r>
        <w:rPr>
          <w:rStyle w:val="FootnoteReference"/>
        </w:rPr>
        <w:footnoteReference w:id="8"/>
      </w:r>
    </w:p>
    <w:p>
      <w:r>
        <w:t xml:space="preserve">Clause 24.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25.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26.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9"/>
      </w:r>
    </w:p>
    <w:p>
      <w:r>
        <w:t xml:space="preserve">Clause 27.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28. An APRA-regulated entity must maintain policies and procedures that are approved by the Board, reviewed at least annually, and commensurate with the size, business mix and complexity of the entity. Evidence of compliance must be retained for 7 years.</w:t>
      </w:r>
    </w:p>
    <w:p>
      <w:r>
        <w:t xml:space="preserve">Clause 29. An APRA-regulated entity must maintain policies and procedures that are approved by the Board, reviewed at least annually, and commensurate with the size, business mix and complexity of the entity. Evidence of compliance must be retained for 7 years.</w:t>
      </w:r>
      <w:r>
        <w:rPr>
          <w:rStyle w:val="FootnoteReference"/>
        </w:rPr>
        <w:footnoteReference w:id="10"/>
      </w:r>
    </w:p>
    <w:p>
      <w:r>
        <w:t xml:space="preserve">Clause 30. An APRA-regulated entity must maintain policies and procedures that are approved by the Board, reviewed at least annually, and commensurate with the size, business mix and complexity of the entity. Evidence of compliance must be retained for 7 years.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Footnote 1: see Prudential Practice Guide CPG 999 for guidance.</w:t>
      </w:r>
    </w:p>
  </w:footnote>
  <w:footnote w:id="2">
    <w:p>
      <w:r>
        <w:rPr>
          <w:rStyle w:val="FootnoteReference"/>
        </w:rPr>
        <w:footnoteRef/>
      </w:r>
      <w:r>
        <w:t xml:space="preserve">Footnote 2: see Prudential Practice Guide CPG 999 for guidance.</w:t>
      </w:r>
    </w:p>
  </w:footnote>
  <w:footnote w:id="3">
    <w:p>
      <w:r>
        <w:rPr>
          <w:rStyle w:val="FootnoteReference"/>
        </w:rPr>
        <w:footnoteRef/>
      </w:r>
      <w:r>
        <w:t xml:space="preserve">Footnote 3: see Prudential Practice Guide CPG 999 for guidance.</w:t>
      </w:r>
    </w:p>
  </w:footnote>
  <w:footnote w:id="4">
    <w:p>
      <w:r>
        <w:rPr>
          <w:rStyle w:val="FootnoteReference"/>
        </w:rPr>
        <w:footnoteRef/>
      </w:r>
      <w:r>
        <w:t xml:space="preserve">Footnote 4: see Prudential Practice Guide CPG 999 for guidance.</w:t>
      </w:r>
    </w:p>
  </w:footnote>
  <w:footnote w:id="5">
    <w:p>
      <w:r>
        <w:rPr>
          <w:rStyle w:val="FootnoteReference"/>
        </w:rPr>
        <w:footnoteRef/>
      </w:r>
      <w:r>
        <w:t xml:space="preserve">Footnote 5: see Prudential Practice Guide CPG 999 for guidance.</w:t>
      </w:r>
    </w:p>
  </w:footnote>
  <w:footnote w:id="6">
    <w:p>
      <w:r>
        <w:rPr>
          <w:rStyle w:val="FootnoteReference"/>
        </w:rPr>
        <w:footnoteRef/>
      </w:r>
      <w:r>
        <w:t xml:space="preserve">Footnote 6: see Prudential Practice Guide CPG 999 for guidance.</w:t>
      </w:r>
    </w:p>
  </w:footnote>
  <w:footnote w:id="7">
    <w:p>
      <w:r>
        <w:rPr>
          <w:rStyle w:val="FootnoteReference"/>
        </w:rPr>
        <w:footnoteRef/>
      </w:r>
      <w:r>
        <w:t xml:space="preserve">Footnote 7: see Prudential Practice Guide CPG 999 for guidance.</w:t>
      </w:r>
    </w:p>
  </w:footnote>
  <w:footnote w:id="8">
    <w:p>
      <w:r>
        <w:rPr>
          <w:rStyle w:val="FootnoteReference"/>
        </w:rPr>
        <w:footnoteRef/>
      </w:r>
      <w:r>
        <w:t xml:space="preserve">Footnote 8: see Prudential Practice Guide CPG 999 for guidance.</w:t>
      </w:r>
    </w:p>
  </w:footnote>
  <w:footnote w:id="9">
    <w:p>
      <w:r>
        <w:rPr>
          <w:rStyle w:val="FootnoteReference"/>
        </w:rPr>
        <w:footnoteRef/>
      </w:r>
      <w:r>
        <w:t xml:space="preserve">Footnote 9: see Prudential Practice Guide CPG 999 for guidance.</w:t>
      </w:r>
    </w:p>
  </w:footnote>
  <w:footnote w:id="10">
    <w:p>
      <w:r>
        <w:rPr>
          <w:rStyle w:val="FootnoteReference"/>
        </w:rPr>
        <w:footnoteRef/>
      </w:r>
      <w:r>
        <w:t xml:space="preserve">Footnote 10: see Prudential Practice Guide CPG 999 for guidance.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2026-07-15T21:52:22.650Z</dcterms:created>
  <dcterms:modified xsi:type="dcterms:W3CDTF">2026-07-15T21:52:22.650Z</dcterms:modified>
</cp:coreProperties>
</file>

<file path=docProps/custom.xml><?xml version="1.0" encoding="utf-8"?>
<Properties xmlns="http://schemas.openxmlformats.org/officeDocument/2006/custom-properties" xmlns:vt="http://schemas.openxmlformats.org/officeDocument/2006/docPropsVTypes"/>
</file>