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Clause 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20000. An APRA-regulated entity must maintain policies and procedures that are approved by the Board, reviewed at least annually, and commensurate with the size, business mix and complexity of the entity. Evidence of compliance must be retained for 7 years.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2026-07-15T21:52:16.799Z</dcterms:created>
  <dcterms:modified xsi:type="dcterms:W3CDTF">2026-07-15T21:52:16.800Z</dcterms:modified>
</cp:coreProperties>
</file>

<file path=docProps/custom.xml><?xml version="1.0" encoding="utf-8"?>
<Properties xmlns="http://schemas.openxmlformats.org/officeDocument/2006/custom-properties" xmlns:vt="http://schemas.openxmlformats.org/officeDocument/2006/docPropsVTypes"/>
</file>