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PRUDENTIAL STANDARD CPS 900 — RESOLUTION PLANNING (SAMPLE)</w:t>
      </w:r>
    </w:p>
    <w:p>
      <w:r>
        <w:t xml:space="preserve">This sample document exists only for testing Redline. It is not a real prudential standard.</w:t>
      </w:r>
    </w:p>
    <w:p>
      <w:r>
        <w:t xml:space="preserve">Clause 1. An APRA-regulated entity must maintain a robust information security capability commensurate with the size and extent of threats to its information assets.</w:t>
      </w:r>
    </w:p>
    <w:p>
      <w:r>
        <w:t xml:space="preserve">Clause 2. The Board of an APRA-regulated entity is ultimately responsible for the information security of the entity.</w:t>
      </w:r>
    </w:p>
    <w:p>
      <w:r>
        <w:t xml:space="preserve">Clause 2A. The Board must review the entity’s information security policy at least annually.</w:t>
      </w:r>
    </w:p>
    <w:p>
      <w:r>
        <w:t xml:space="preserve">Clause 3. Where a material information security incident occurs, the entity must notify APRA within 24 hours of becoming aware of the incident.</w:t>
      </w:r>
    </w:p>
    <w:p>
      <w:r>
        <w:t xml:space="preserve">Clause 4. An entity must test the effectiveness of its information security controls through a systematic testing program.</w:t>
      </w:r>
    </w:p>
    <w:p>
      <w:r>
        <w:t xml:space="preserve">Clause 6. This standard applies to all authorised deposit-taking institutions.</w:t>
      </w:r>
    </w:p>
    <w:p>
      <w:r>
        <w:t xml:space="preserve">Clause 7. Definitions used in this standard take their meaning from the relevant Act.</w:t>
      </w:r>
    </w:p>
    <w:p>
      <w:r>
        <w:t xml:space="preserve">Clause 8. This standard commences on 1 July 2019.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2026-07-15T12:44:54.303Z</dcterms:created>
  <dcterms:modified xsi:type="dcterms:W3CDTF">2026-07-15T12:44:54.303Z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