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PRUDENTIAL STANDARD CPS 999 — SAMPLE CONSOLIDATED REQUIREMENTS (DUMMY DOCUMENT)</w:t>
      </w:r>
    </w:p>
    <w:p>
      <w:r>
        <w:t xml:space="preserve">This is a fictional document generated for testing Redline. It has no regulatory effect.</w:t>
      </w:r>
    </w:p>
    <w:p>
      <w:r>
        <w:t xml:space="preserve">Objectives: This Prudential Standard sets out sample requirements used to demonstrate side-by-side document comparison.</w:t>
      </w:r>
    </w:p>
    <w:p>
      <w:r>
        <w:t xml:space="preserve">Part 1 — Requirements relating to capital adequacy requirements.</w:t>
      </w:r>
    </w:p>
    <w:p>
      <w:r>
        <w:t xml:space="preserve">Clause 1. An APRA-regulated entity must, in relation to capital adequacy requirements,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2. An APRA-regulated entity must, in relation to capital adequacy requirements,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3. An APRA-regulated entity must, in relation to capital adequacy requirements,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4. An APRA-regulated entity must, in relation to capital adequacy requirements,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5. An APRA-regulated entity must, in relation to capital adequacy requirements,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6. An APRA-regulated entity must, in relation to capital adequacy requirements,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7. An APRA-regulated entity must, in relation to capital adequacy requirements,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8. An APRA-regulated entity must, in relation to capital adequacy requirements,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9. An APRA-regulated entity must, in relation to capital adequacy requirements,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10. An APRA-regulated entity must, in relation to capital adequacy requirements,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Part 2 — Requirements relating to liquidity coverage obligations.</w:t>
      </w:r>
    </w:p>
    <w:p>
      <w:r>
        <w:t xml:space="preserve">Clause 11. An APRA-regulated entity must, in relation to liquidity coverage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12. An APRA-regulated entity must, in relation to liquidity coverage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13. An APRA-regulated entity must, in relation to liquidity coverage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14. An APRA-regulated entity must, in relation to liquidity coverage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15. An APRA-regulated entity must, in relation to liquidity coverage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16. An APRA-regulated entity must, in relation to liquidity coverage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17. An APRA-regulated entity must, in relation to liquidity coverage obligations, maintain policies and procedures that are approved by the Board, reviewed at least quarterly, and commensurate with the size, business mix and complexity of the entity. The entity must retain evidence of compliance with this clause for a period of 7 years.</w:t>
      </w:r>
    </w:p>
    <w:p>
      <w:r>
        <w:t xml:space="preserve">Clause 18. An APRA-regulated entity must, in relation to liquidity coverage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19. An APRA-regulated entity must, in relation to liquidity coverage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20. An APRA-regulated entity must, in relation to liquidity coverage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Part 3 — Requirements relating to operational risk controls.</w:t>
      </w:r>
    </w:p>
    <w:p>
      <w:r>
        <w:t xml:space="preserve">Clause 21. An APRA-regulated entity must, in relation to operational risk controls,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22. An APRA-regulated entity must, in relation to operational risk controls,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23. An APRA-regulated entity must, in relation to operational risk controls,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24. An APRA-regulated entity must, in relation to operational risk controls,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25. An APRA-regulated entity must, in relation to operational risk controls,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26. An APRA-regulated entity must, in relation to operational risk controls,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27. An APRA-regulated entity must, in relation to operational risk controls,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28. An APRA-regulated entity must, in relation to operational risk controls,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29. An APRA-regulated entity must, in relation to operational risk controls,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30. An APRA-regulated entity must, in relation to operational risk controls,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Part 4 — Requirements relating to outsourcing arrangements with third parties.</w:t>
      </w:r>
    </w:p>
    <w:p>
      <w:r>
        <w:t xml:space="preserve">Clause 31. An APRA-regulated entity must, in relation to outsourcing arrangements with third parties,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32. An APRA-regulated entity must, in relation to outsourcing arrangements with third parties,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33. An APRA-regulated entity must, in relation to outsourcing arrangements with third parties,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34. An APRA-regulated entity must, in relation to outsourcing arrangements with third parties,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35. An APRA-regulated entity must, in relation to outsourcing arrangements with third parties,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36. An APRA-regulated entity must, in relation to outsourcing arrangements with third parties,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37. An APRA-regulated entity must, in relation to outsourcing arrangements with third parties,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38. An APRA-regulated entity must, in relation to outsourcing arrangements with third parties,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39. An APRA-regulated entity must, in relation to outsourcing arrangements with third parties,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40. An APRA-regulated entity must, in relation to outsourcing arrangements with third parties,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Part 5 — Requirements relating to information security incident response.</w:t>
      </w:r>
    </w:p>
    <w:p>
      <w:r>
        <w:t xml:space="preserve">Clause 41. An APRA-regulated entity must, in relation to information security incident response,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42. An APRA-regulated entity must, in relation to information security incident response,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43. An APRA-regulated entity must, in relation to information security incident response, maintain policies and procedures that are approved by the Board, reviewed at least annually, and commensurate with the size, business mix and complexity of the entity. The entity must retain evidence of compliance with this clause for a period of 10 years.</w:t>
      </w:r>
    </w:p>
    <w:p>
      <w:r>
        <w:t xml:space="preserve">Clause 44. An APRA-regulated entity must, in relation to information security incident response,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45. An APRA-regulated entity must, in relation to information security incident response,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46. An APRA-regulated entity must, in relation to information security incident response,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47. An APRA-regulated entity must, in relation to information security incident response,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48. An APRA-regulated entity must, in relation to information security incident response,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49. An APRA-regulated entity must, in relation to information security incident response,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50. An APRA-regulated entity must, in relation to information security incident response,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Part 6 — Requirements relating to board oversight and governance.</w:t>
      </w:r>
    </w:p>
    <w:p>
      <w:r>
        <w:t xml:space="preserve">Clause 51. An APRA-regulated entity must, in relation to board oversight and governance,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52. An APRA-regulated entity must, in relation to board oversight and governance,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53. An APRA-regulated entity must, in relation to board oversight and governance,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54. An APRA-regulated entity must, in relation to board oversight and governance,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55. An APRA-regulated entity must, in relation to board oversight and governance,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56. An APRA-regulated entity must, in relation to board oversight and governance,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57. An APRA-regulated entity must, in relation to board oversight and governance,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58. An APRA-regulated entity must, in relation to board oversight and governance,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59. An APRA-regulated entity must, in relation to board oversight and governance,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60. An APRA-regulated entity must, in relation to board oversight and governance,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Part 7 — Requirements relating to remuneration disclosure obligations.</w:t>
      </w:r>
    </w:p>
    <w:p>
      <w:r>
        <w:t xml:space="preserve">Clause 62. An APRA-regulated entity must, in relation to remuneration disclosure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63. An APRA-regulated entity must, in relation to remuneration disclosure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64. An APRA-regulated entity must, in relation to remuneration disclosure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65. An APRA-regulated entity must, in relation to remuneration disclosure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66. An APRA-regulated entity must, in relation to remuneration disclosure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67. An APRA-regulated entity must, in relation to remuneration disclosure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68. An APRA-regulated entity must, in relation to remuneration disclosure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69. An APRA-regulated entity must, in relation to remuneration disclosure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70. An APRA-regulated entity must, in relation to remuneration disclosure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Part 8 — Requirements relating to credit risk concentration limits.</w:t>
      </w:r>
    </w:p>
    <w:p>
      <w:r>
        <w:t xml:space="preserve">Clause 71. An APRA-regulated entity must, in relation to credit risk concentration limits,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72. An APRA-regulated entity must, in relation to credit risk concentration limits,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73. An APRA-regulated entity must, in relation to credit risk concentration limits,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74. An APRA-regulated entity must, in relation to credit risk concentration limits,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75. An APRA-regulated entity must, in relation to credit risk concentration limits,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76. An APRA-regulated entity must, in relation to credit risk concentration limits,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77. An APRA-regulated entity must, in relation to credit risk concentration limits,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78. An APRA-regulated entity must, in relation to credit risk concentration limits,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78A. Where an entity relies on a material service provider, the entity must notify APRA of any change to that arrangement within 20 business days.</w:t>
      </w:r>
    </w:p>
    <w:p>
      <w:r>
        <w:t xml:space="preserve">Clause 79. An APRA-regulated entity must, in relation to credit risk concentration limits,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80. An APRA-regulated entity must, in relation to credit risk concentration limits,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Part 9 — Requirements relating to stress testing and scenario analysis.</w:t>
      </w:r>
    </w:p>
    <w:p>
      <w:r>
        <w:t xml:space="preserve">Clause 81. An APRA-regulated entity must, in relation to stress testing and scenario analysis,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82. An APRA-regulated entity must, in relation to stress testing and scenario analysis,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83. An APRA-regulated entity must, in relation to stress testing and scenario analysis,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84. An APRA-regulated entity must, in relation to stress testing and scenario analysis,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85. An APRA-regulated entity must, in relation to stress testing and scenario analysis,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86. An APRA-regulated entity must, in relation to stress testing and scenario analysis,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87. An APRA-regulated entity must, in relation to stress testing and scenario analysis,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88. An APRA-regulated entity must, in relation to stress testing and scenario analysis,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89. An APRA-regulated entity must, in relation to stress testing and scenario analysis,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90. An APRA-regulated entity must, in relation to stress testing and scenario analysis,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Part 10 — Requirements relating to recovery and resolution planning.</w:t>
      </w:r>
    </w:p>
    <w:p>
      <w:r>
        <w:t xml:space="preserve">Clause 91. An APRA-regulated entity must, in relation to recovery and resolution planning,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92. An APRA-regulated entity must, in relation to recovery and resolution planning,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93. An APRA-regulated entity must, in relation to recovery and resolution planning,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94. An APRA-regulated entity must, in relation to recovery and resolution planning,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95. An APRA-regulated entity must, in relation to recovery and resolution planning,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96. An APRA-regulated entity must, in relation to recovery and resolution planning,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97. An APRA-regulated entity must, in relation to recovery and resolution planning,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98. An APRA-regulated entity must, in relation to recovery and resolution planning,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99. An APRA-regulated entity must, in relation to recovery and resolution planning,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100. An APRA-regulated entity must, in relation to recovery and resolution planning,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Commencement: This standard commences on 1 July 2027.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2026-07-15T21:12:59.841Z</dcterms:created>
  <dcterms:modified xsi:type="dcterms:W3CDTF">2026-07-15T21:12:59.841Z</dcterms:modified>
</cp:coreProperties>
</file>

<file path=docProps/custom.xml><?xml version="1.0" encoding="utf-8"?>
<Properties xmlns="http://schemas.openxmlformats.org/officeDocument/2006/custom-properties" xmlns:vt="http://schemas.openxmlformats.org/officeDocument/2006/docPropsVTypes"/>
</file>