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PRUDENTIAL STANDARD CPS 999 — SAMPLE CONSOLIDATED REQUIREMENTS (DUMMY DOCUMENT)</w:t>
      </w:r>
    </w:p>
    <w:p>
      <w:r>
        <w:t xml:space="preserve">This is a fictional document generated for testing Redline. It has no regulatory effect.</w:t>
      </w:r>
    </w:p>
    <w:p>
      <w:r>
        <w:t xml:space="preserve">Objectives: This Prudential Standard sets out sample requirements used to demonstrate side-by-side document comparison.</w:t>
      </w:r>
    </w:p>
    <w:p>
      <w:r>
        <w:t xml:space="preserve">Part 1 — Requirements relating to capital adequacy requirements.</w:t>
      </w:r>
    </w:p>
    <w:p>
      <w:r>
        <w:t xml:space="preserve">Clause 1.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10. An APRA-regulated entity must, in relation to capital adequacy requirements,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2 — Requirements relating to liquidity coverage obligations.</w:t>
      </w:r>
    </w:p>
    <w:p>
      <w:r>
        <w:t xml:space="preserve">Clause 11.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12.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13.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14.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15.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16.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17.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18.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19.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20. An APRA-regulated entity must, in relation to liquidity coverage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3 — Requirements relating to operational risk controls.</w:t>
      </w:r>
    </w:p>
    <w:p>
      <w:r>
        <w:t xml:space="preserve">Clause 21.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22.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23.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24.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25.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26.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27.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28.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29.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30. An APRA-regulated entity must, in relation to operational risk controls,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4 — Requirements relating to outsourcing arrangements with third parties.</w:t>
      </w:r>
    </w:p>
    <w:p>
      <w:r>
        <w:t xml:space="preserve">Clause 31.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32.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33.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34.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35.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36.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37.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38.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39.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40. An APRA-regulated entity must, in relation to outsourcing arrangements with third parties,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5 — Requirements relating to information security incident response.</w:t>
      </w:r>
    </w:p>
    <w:p>
      <w:r>
        <w:t xml:space="preserve">Clause 41.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42.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43.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44.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45.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46.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47.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48.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49.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50. An APRA-regulated entity must, in relation to information security incident response,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6 — Requirements relating to board oversight and governance.</w:t>
      </w:r>
    </w:p>
    <w:p>
      <w:r>
        <w:t xml:space="preserve">Clause 51.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52.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53.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54.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55.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56.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57.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58.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59.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60. An APRA-regulated entity must, in relation to board oversight and governance,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7 — Requirements relating to remuneration disclosure obligations.</w:t>
      </w:r>
    </w:p>
    <w:p>
      <w:r>
        <w:t xml:space="preserve">Clause 61.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62.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63.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64.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65.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66.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67.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68.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69.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70. An APRA-regulated entity must, in relation to remuneration disclosure obligations,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8 — Requirements relating to credit risk concentration limits.</w:t>
      </w:r>
    </w:p>
    <w:p>
      <w:r>
        <w:t xml:space="preserve">Clause 71.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72.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73.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74.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75.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76.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77.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78.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79.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80. An APRA-regulated entity must, in relation to credit risk concentration limits,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9 — Requirements relating to stress testing and scenario analysis.</w:t>
      </w:r>
    </w:p>
    <w:p>
      <w:r>
        <w:t xml:space="preserve">Clause 81.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82.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83.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84.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85.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86.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87.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88.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89.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90. An APRA-regulated entity must, in relation to stress testing and scenario analysis,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Part 10 — Requirements relating to recovery and resolution planning.</w:t>
      </w:r>
    </w:p>
    <w:p>
      <w:r>
        <w:t xml:space="preserve">Clause 91.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92.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93.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94.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95.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96.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97.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98.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99.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Clause 100. An APRA-regulated entity must, in relation to recovery and resolution planning, maintain policies and procedures that are approved by the Board, reviewed at least annually, and commensurate with the size, business mix and complexity of the entity. The entity must retain evidence of compliance with this clause for a period of 7 years.</w:t>
      </w:r>
    </w:p>
    <w:p>
      <w:r>
        <w:t xml:space="preserve">Commencement: This standard commences on 1 January 2027.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2026-07-15T21:12:59.739Z</dcterms:created>
  <dcterms:modified xsi:type="dcterms:W3CDTF">2026-07-15T21:12:59.740Z</dcterms:modified>
</cp:coreProperties>
</file>

<file path=docProps/custom.xml><?xml version="1.0" encoding="utf-8"?>
<Properties xmlns="http://schemas.openxmlformats.org/officeDocument/2006/custom-properties" xmlns:vt="http://schemas.openxmlformats.org/officeDocument/2006/docPropsVTypes"/>
</file>