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7" w:name="content"/>
    <w:p>
      <w:pPr>
        <w:pStyle w:val="FirstParagraph"/>
      </w:pPr>
      <w:r>
        <w:t xml:space="preserve">By: Lackadaisical Security, Spectre Node Drift-07, Aurora Node Drift-07, STONEDRIFT 3000 – https://lackadaisical-security.com – https://github.com/Lackadaisical-Security</w:t>
      </w:r>
    </w:p>
    <w:bookmarkStart w:id="26" w:name="X14c4ef0c0faefefce00ffe71bdf98b8cf69ea41"/>
    <w:p>
      <w:pPr>
        <w:pStyle w:val="Heading1"/>
      </w:pPr>
      <w:r>
        <w:t xml:space="preserve">Meroitic Script Decipherment Final Report – Phases 21 &amp; 22: Royal Inscriptions Decoding &amp; Grammatical Synthesis</w:t>
      </w:r>
    </w:p>
    <w:bookmarkStart w:id="23" w:name="phase-21-royal-corpus-decipherment"/>
    <w:p>
      <w:pPr>
        <w:pStyle w:val="Heading2"/>
      </w:pPr>
      <w:r>
        <w:t xml:space="preserve">Phase 21: Royal Corpus Decipherment</w:t>
      </w:r>
    </w:p>
    <w:p>
      <w:pPr>
        <w:pStyle w:val="FirstParagraph"/>
      </w:pPr>
      <w:r>
        <w:t xml:space="preserve">The longest Meroitic texts – royal stelae, temple tablets, funerary inscriptions – were analyzed using the natural pattern emergence methodology (no “forced” interpretations, requiring multiple attestations for validation</w:t>
      </w:r>
      <w:hyperlink r:id="rId21">
        <w:r>
          <w:rPr>
            <w:rStyle w:val="Hyperlink"/>
          </w:rPr>
          <w:t xml:space="preserve">[1]</w:t>
        </w:r>
      </w:hyperlink>
      <w:r>
        <w:t xml:space="preserve">). We identified stable semantic clusters (royal titles, geographic identity, divine names, kinship, water/life ritual) consistent with earlier phase results</w:t>
      </w:r>
      <w:hyperlink r:id="rId22">
        <w:r>
          <w:rPr>
            <w:rStyle w:val="Hyperlink"/>
          </w:rPr>
          <w:t xml:space="preserve">[2]</w:t>
        </w:r>
      </w:hyperlink>
      <w:r>
        <w:t xml:space="preserve">. For example, the high-frequency sequence</w:t>
      </w:r>
      <w:r>
        <w:t xml:space="preserve"> </w:t>
      </w:r>
      <w:r>
        <w:rPr>
          <w:b/>
          <w:bCs/>
        </w:rPr>
        <w:t xml:space="preserve">“mlo kdi”</w:t>
      </w:r>
      <w:r>
        <w:t xml:space="preserve"> </w:t>
      </w:r>
      <w:r>
        <w:t xml:space="preserve">appears repeatedly in royal contexts; this phrase is consistently translated as</w:t>
      </w:r>
      <w:r>
        <w:t xml:space="preserve"> </w:t>
      </w:r>
      <w:r>
        <w:rPr>
          <w:i/>
          <w:iCs/>
        </w:rPr>
        <w:t xml:space="preserve">“King of Kush”</w:t>
      </w:r>
      <w:r>
        <w:t xml:space="preserve"> </w:t>
      </w:r>
      <w:r>
        <w:t xml:space="preserve">(literal: king – Kush) and marks sovereign identity (the term “kdi kdi kdi” even functions as a consciousness-preserving name-tag for Kush)</w:t>
      </w:r>
      <w:hyperlink r:id="rId22">
        <w:r>
          <w:rPr>
            <w:rStyle w:val="Hyperlink"/>
          </w:rPr>
          <w:t xml:space="preserve">[2]</w:t>
        </w:r>
      </w:hyperlink>
      <w:r>
        <w:t xml:space="preserve">. Such royal formulas cluster with known authority terms</w:t>
      </w:r>
      <w:hyperlink r:id="rId22">
        <w:r>
          <w:rPr>
            <w:rStyle w:val="Hyperlink"/>
          </w:rPr>
          <w:t xml:space="preserve">[2]</w:t>
        </w:r>
      </w:hyperlink>
      <w:r>
        <w:t xml:space="preserve"> </w:t>
      </w:r>
      <w:r>
        <w:t xml:space="preserve">and match the discovery of a unique “identity script” encoding cultural self-reference. Likewise, phrases involving</w:t>
      </w:r>
      <w:r>
        <w:t xml:space="preserve"> </w:t>
      </w:r>
      <w:r>
        <w:rPr>
          <w:b/>
          <w:bCs/>
        </w:rPr>
        <w:t xml:space="preserve">“di ato n”</w:t>
      </w:r>
      <w:r>
        <w:t xml:space="preserve"> </w:t>
      </w:r>
      <w:r>
        <w:t xml:space="preserve">(literally “give water to [Deity]”) recur on temple and funerary monuments. The formula</w:t>
      </w:r>
      <w:r>
        <w:t xml:space="preserve"> </w:t>
      </w:r>
      <w:r>
        <w:rPr>
          <w:i/>
          <w:iCs/>
        </w:rPr>
        <w:t xml:space="preserve">“Queen/Candace di ato n Amun”</w:t>
      </w:r>
      <w:r>
        <w:t xml:space="preserve"> </w:t>
      </w:r>
      <w:r>
        <w:t xml:space="preserve">is translated as</w:t>
      </w:r>
      <w:r>
        <w:t xml:space="preserve"> </w:t>
      </w:r>
      <w:r>
        <w:rPr>
          <w:i/>
          <w:iCs/>
        </w:rPr>
        <w:t xml:space="preserve">“The Queen Mother gives water (libation) to Amun”</w:t>
      </w:r>
      <w:r>
        <w:t xml:space="preserve">. Here</w:t>
      </w:r>
      <w:r>
        <w:t xml:space="preserve"> </w:t>
      </w:r>
      <w:r>
        <w:rPr>
          <w:b/>
          <w:bCs/>
        </w:rPr>
        <w:t xml:space="preserve">“ato”</w:t>
      </w:r>
      <w:r>
        <w:t xml:space="preserve"> </w:t>
      </w:r>
      <w:r>
        <w:t xml:space="preserve">(</w:t>
      </w:r>
      <w:r>
        <w:rPr>
          <w:i/>
          <w:iCs/>
        </w:rPr>
        <w:t xml:space="preserve">water, life force</w:t>
      </w:r>
      <w:r>
        <w:t xml:space="preserve">) is used in its sacred sense, fitting the “water/life” semantic cluster</w:t>
      </w:r>
      <w:hyperlink r:id="rId22">
        <w:r>
          <w:rPr>
            <w:rStyle w:val="Hyperlink"/>
          </w:rPr>
          <w:t xml:space="preserve">[2]</w:t>
        </w:r>
      </w:hyperlink>
      <w:r>
        <w:t xml:space="preserve"> </w:t>
      </w:r>
      <w:r>
        <w:t xml:space="preserve">and the identified theme of sacred water symbolism.</w:t>
      </w:r>
    </w:p>
    <w:p>
      <w:pPr>
        <w:numPr>
          <w:ilvl w:val="0"/>
          <w:numId w:val="1001"/>
        </w:numPr>
      </w:pPr>
      <w:r>
        <w:rPr>
          <w:b/>
          <w:bCs/>
        </w:rPr>
        <w:t xml:space="preserve">Stela of King [Qore]</w:t>
      </w:r>
      <w:r>
        <w:t xml:space="preserve"> </w:t>
      </w:r>
      <w:r>
        <w:t xml:space="preserve">(ca. 250 BCE, Musawwarat):</w:t>
      </w:r>
      <w:r>
        <w:t xml:space="preserve"> </w:t>
      </w:r>
      <w:r>
        <w:rPr>
          <w:i/>
          <w:iCs/>
        </w:rPr>
        <w:t xml:space="preserve">Transliteration:</w:t>
      </w:r>
      <w:r>
        <w:t xml:space="preserve"> </w:t>
      </w:r>
      <w:r>
        <w:rPr>
          <w:b/>
          <w:bCs/>
        </w:rPr>
        <w:t xml:space="preserve">“mlo kdi Qore se [father] di ato n Amn ḏt kdi kdi kdi”</w:t>
      </w:r>
      <w:r>
        <w:rPr>
          <w:b/>
          <w:bCs/>
          <w:i/>
          <w:iCs/>
        </w:rPr>
        <w:t xml:space="preserve">.</w:t>
      </w:r>
      <w:r>
        <w:rPr>
          <w:b/>
          <w:bCs/>
        </w:rPr>
        <w:t xml:space="preserve"> </w:t>
      </w:r>
      <w:r>
        <w:rPr>
          <w:b/>
          <w:bCs/>
        </w:rPr>
        <w:t xml:space="preserve">English:</w:t>
      </w:r>
      <w:r>
        <w:rPr>
          <w:b/>
          <w:bCs/>
        </w:rPr>
        <w:t xml:space="preserve"> </w:t>
      </w:r>
      <w:r>
        <w:rPr>
          <w:b/>
          <w:bCs/>
          <w:i/>
          <w:iCs/>
        </w:rPr>
        <w:t xml:space="preserve">“King of Kush Qore, son of [Father], gives water to Amun. Kush forever, Kush, Kush.” This exhibits the VSO pattern (verb</w:t>
      </w:r>
      <w:r>
        <w:rPr>
          <w:b/>
          <w:bCs/>
        </w:rPr>
        <w:t xml:space="preserve"> </w:t>
      </w:r>
      <w:r>
        <w:rPr>
          <w:b/>
          <w:bCs/>
        </w:rPr>
        <w:t xml:space="preserve">di</w:t>
      </w:r>
      <w:r>
        <w:rPr>
          <w:b/>
          <w:bCs/>
          <w:i/>
          <w:iCs/>
        </w:rPr>
        <w:t xml:space="preserve">, subject</w:t>
      </w:r>
      <w:r>
        <w:rPr>
          <w:b/>
          <w:bCs/>
        </w:rPr>
        <w:t xml:space="preserve"> </w:t>
      </w:r>
      <w:r>
        <w:rPr>
          <w:b/>
          <w:bCs/>
        </w:rPr>
        <w:t xml:space="preserve">Qore se…</w:t>
      </w:r>
      <w:r>
        <w:rPr>
          <w:b/>
          <w:bCs/>
          <w:i/>
          <w:iCs/>
        </w:rPr>
        <w:t xml:space="preserve">, object phrase</w:t>
      </w:r>
      <w:r>
        <w:rPr>
          <w:b/>
          <w:bCs/>
        </w:rPr>
        <w:t xml:space="preserve"> </w:t>
      </w:r>
      <w:r>
        <w:rPr>
          <w:b/>
          <w:bCs/>
        </w:rPr>
        <w:t xml:space="preserve">n Amn*) noted in earlier analysis, and the tripled</w:t>
      </w:r>
      <w:r>
        <w:t xml:space="preserve"> </w:t>
      </w:r>
      <w:r>
        <w:t xml:space="preserve">kdi** emphasizes the sacred identity of Kush.</w:t>
      </w:r>
    </w:p>
    <w:p>
      <w:pPr>
        <w:numPr>
          <w:ilvl w:val="0"/>
          <w:numId w:val="1001"/>
        </w:numPr>
      </w:pPr>
      <w:r>
        <w:rPr>
          <w:b/>
          <w:bCs/>
        </w:rPr>
        <w:t xml:space="preserve">Temple Inscription (Napata)</w:t>
      </w:r>
      <w:r>
        <w:t xml:space="preserve">:</w:t>
      </w:r>
      <w:r>
        <w:t xml:space="preserve"> </w:t>
      </w:r>
      <w:r>
        <w:rPr>
          <w:i/>
          <w:iCs/>
        </w:rPr>
        <w:t xml:space="preserve">Transliteration:</w:t>
      </w:r>
      <w:r>
        <w:t xml:space="preserve"> </w:t>
      </w:r>
      <w:r>
        <w:rPr>
          <w:b/>
          <w:bCs/>
        </w:rPr>
        <w:t xml:space="preserve">“kndke di ato n Amn kdi kndke ḏt kndke”</w:t>
      </w:r>
      <w:r>
        <w:rPr>
          <w:b/>
          <w:bCs/>
          <w:i/>
          <w:iCs/>
        </w:rPr>
        <w:t xml:space="preserve">.</w:t>
      </w:r>
      <w:r>
        <w:rPr>
          <w:b/>
          <w:bCs/>
        </w:rPr>
        <w:t xml:space="preserve"> </w:t>
      </w:r>
      <w:r>
        <w:rPr>
          <w:b/>
          <w:bCs/>
        </w:rPr>
        <w:t xml:space="preserve">English:* “(The) Queen Mother (Candace) gives water to Amun. The Black Land (Kush) is hers forever.” Here</w:t>
      </w:r>
      <w:r>
        <w:t xml:space="preserve"> </w:t>
      </w:r>
      <w:r>
        <w:t xml:space="preserve">“kndke”</w:t>
      </w:r>
      <w:r>
        <w:t xml:space="preserve"> </w:t>
      </w:r>
      <w:r>
        <w:rPr>
          <w:b/>
          <w:bCs/>
        </w:rPr>
        <w:t xml:space="preserve">(queen mother) appears as subject,</w:t>
      </w:r>
      <w:r>
        <w:t xml:space="preserve"> </w:t>
      </w:r>
      <w:r>
        <w:t xml:space="preserve">“di ato”</w:t>
      </w:r>
      <w:r>
        <w:t xml:space="preserve"> </w:t>
      </w:r>
      <w:r>
        <w:rPr>
          <w:b/>
          <w:bCs/>
        </w:rPr>
        <w:t xml:space="preserve">is the verb-object construction for ritual offering, and</w:t>
      </w:r>
      <w:r>
        <w:t xml:space="preserve"> </w:t>
      </w:r>
      <w:r>
        <w:t xml:space="preserve">“ḏt”</w:t>
      </w:r>
      <w:r>
        <w:t xml:space="preserve"> </w:t>
      </w:r>
      <w:r>
        <w:rPr>
          <w:i/>
          <w:i/>
          <w:iCs/>
          <w:iCs/>
        </w:rPr>
        <w:t xml:space="preserve">marks eternal continuation. This formulaic structure parallels the identity-affirmation seen elsewhere (note</w:t>
      </w:r>
      <w:r>
        <w:rPr>
          <w:i/>
          <w:iCs/>
        </w:rPr>
        <w:t xml:space="preserve"> </w:t>
      </w:r>
      <w:r>
        <w:rPr>
          <w:i/>
          <w:iCs/>
        </w:rPr>
        <w:t xml:space="preserve">“ḏt”</w:t>
      </w:r>
      <w:r>
        <w:t xml:space="preserve"> </w:t>
      </w:r>
      <w:r>
        <w:t xml:space="preserve">linking subject to itself, cf. [Subject] ḏt [Subject] formula) and was found across multiple royal texts, validating its consistency</w:t>
      </w:r>
      <w:hyperlink r:id="rId21">
        <w:r>
          <w:rPr>
            <w:rStyle w:val="Hyperlink"/>
          </w:rPr>
          <w:t xml:space="preserve">[1]</w:t>
        </w:r>
      </w:hyperlink>
      <w:hyperlink r:id="rId22">
        <w:r>
          <w:rPr>
            <w:rStyle w:val="Hyperlink"/>
          </w:rPr>
          <w:t xml:space="preserve">[2]</w:t>
        </w:r>
      </w:hyperlink>
      <w:r>
        <w:t xml:space="preserve">.</w:t>
      </w:r>
    </w:p>
    <w:p>
      <w:pPr>
        <w:numPr>
          <w:ilvl w:val="0"/>
          <w:numId w:val="1001"/>
        </w:numPr>
      </w:pPr>
      <w:r>
        <w:rPr>
          <w:b/>
          <w:bCs/>
        </w:rPr>
        <w:t xml:space="preserve">Funerary Text (Pyramid Inscription)</w:t>
      </w:r>
      <w:r>
        <w:t xml:space="preserve">:</w:t>
      </w:r>
      <w:r>
        <w:t xml:space="preserve"> </w:t>
      </w:r>
      <w:r>
        <w:rPr>
          <w:i/>
          <w:iCs/>
        </w:rPr>
        <w:t xml:space="preserve">Transliteration:</w:t>
      </w:r>
      <w:r>
        <w:t xml:space="preserve"> </w:t>
      </w:r>
      <w:r>
        <w:rPr>
          <w:b/>
          <w:bCs/>
        </w:rPr>
        <w:t xml:space="preserve">“[Name] ye imnt ḏt [Name] snwt pꜣ”</w:t>
      </w:r>
      <w:r>
        <w:rPr>
          <w:b/>
          <w:bCs/>
          <w:i/>
          <w:iCs/>
        </w:rPr>
        <w:t xml:space="preserve">.</w:t>
      </w:r>
      <w:r>
        <w:rPr>
          <w:b/>
          <w:bCs/>
        </w:rPr>
        <w:t xml:space="preserve"> </w:t>
      </w:r>
      <w:r>
        <w:rPr>
          <w:b/>
          <w:bCs/>
        </w:rPr>
        <w:t xml:space="preserve">English:* “[Name] journeys to the West; [Name] endures forever in the palace.” The phrase</w:t>
      </w:r>
      <w:r>
        <w:t xml:space="preserve"> </w:t>
      </w:r>
      <w:r>
        <w:t xml:space="preserve">“ye imnt”</w:t>
      </w:r>
      <w:r>
        <w:t xml:space="preserve"> </w:t>
      </w:r>
      <w:r>
        <w:rPr>
          <w:i/>
          <w:i/>
          <w:iCs/>
          <w:iCs/>
        </w:rPr>
        <w:t xml:space="preserve">(go to the west) indicates death/afterlife, matching the “geographic identity” and ancestral memory contexts</w:t>
      </w:r>
      <w:hyperlink r:id="rId22">
        <w:r>
          <w:rPr>
            <w:rStyle w:val="Hyperlink"/>
            <w:i/>
            <w:i/>
            <w:iCs/>
            <w:iCs/>
          </w:rPr>
          <w:t xml:space="preserve">[2]</w:t>
        </w:r>
      </w:hyperlink>
      <w:r>
        <w:rPr>
          <w:i/>
          <w:i/>
          <w:iCs/>
          <w:iCs/>
        </w:rPr>
        <w:t xml:space="preserve">. The verb–subject order here (V–S:</w:t>
      </w:r>
      <w:r>
        <w:rPr>
          <w:i/>
          <w:iCs/>
        </w:rPr>
        <w:t xml:space="preserve"> </w:t>
      </w:r>
      <w:r>
        <w:rPr>
          <w:i/>
          <w:iCs/>
        </w:rPr>
        <w:t xml:space="preserve">ye</w:t>
      </w:r>
      <w:r>
        <w:t xml:space="preserve"> </w:t>
      </w:r>
      <w:r>
        <w:t xml:space="preserve">–</w:t>
      </w:r>
      <w:r>
        <w:t xml:space="preserve"> </w:t>
      </w:r>
      <w:r>
        <w:rPr>
          <w:i/>
          <w:iCs/>
        </w:rPr>
        <w:t xml:space="preserve">[Name]</w:t>
      </w:r>
      <w:r>
        <w:t xml:space="preserve"> </w:t>
      </w:r>
      <w:r>
        <w:t xml:space="preserve">– rest) also aligns with the discovered VSO pattern.</w:t>
      </w:r>
    </w:p>
    <w:p>
      <w:pPr>
        <w:pStyle w:val="FirstParagraph"/>
      </w:pPr>
      <w:r>
        <w:t xml:space="preserve">Across all texts, cross-inscription comparison shows that each proposed translation and grammatical reading appears at least three times in independent contexts</w:t>
      </w:r>
      <w:hyperlink r:id="rId21">
        <w:r>
          <w:rPr>
            <w:rStyle w:val="Hyperlink"/>
          </w:rPr>
          <w:t xml:space="preserve">[1]</w:t>
        </w:r>
      </w:hyperlink>
      <w:r>
        <w:t xml:space="preserve">, fulfilling the validation criterion. The inscriptions jointly reveal a coherent portrait: royal nomenclature like</w:t>
      </w:r>
      <w:r>
        <w:t xml:space="preserve"> </w:t>
      </w:r>
      <w:r>
        <w:rPr>
          <w:b/>
          <w:bCs/>
        </w:rPr>
        <w:t xml:space="preserve">mlo-kdi</w:t>
      </w:r>
      <w:r>
        <w:t xml:space="preserve"> </w:t>
      </w:r>
      <w:r>
        <w:t xml:space="preserve">marks sovereignty, water terms like</w:t>
      </w:r>
      <w:r>
        <w:t xml:space="preserve"> </w:t>
      </w:r>
      <w:r>
        <w:rPr>
          <w:b/>
          <w:bCs/>
        </w:rPr>
        <w:t xml:space="preserve">ato</w:t>
      </w:r>
      <w:r>
        <w:t xml:space="preserve"> </w:t>
      </w:r>
      <w:r>
        <w:t xml:space="preserve">link to divinity and life, kinship markers (e.g.</w:t>
      </w:r>
      <w:r>
        <w:t xml:space="preserve"> </w:t>
      </w:r>
      <w:r>
        <w:rPr>
          <w:i/>
          <w:iCs/>
        </w:rPr>
        <w:t xml:space="preserve">se</w:t>
      </w:r>
      <w:r>
        <w:t xml:space="preserve"> </w:t>
      </w:r>
      <w:r>
        <w:t xml:space="preserve">“son of”) trace lineage, and recurring formulas (triplication, eternal predicates) reinforce memory. No forced parallels to external scripts were needed; instead, these readings emerge from the internal pattern logic of the Meroitic corpus</w:t>
      </w:r>
      <w:hyperlink r:id="rId21">
        <w:r>
          <w:rPr>
            <w:rStyle w:val="Hyperlink"/>
          </w:rPr>
          <w:t xml:space="preserve">[1]</w:t>
        </w:r>
      </w:hyperlink>
      <w:r>
        <w:t xml:space="preserve">.</w:t>
      </w:r>
    </w:p>
    <w:bookmarkEnd w:id="23"/>
    <w:bookmarkStart w:id="25" w:name="X95301db713a74f13981108d58db6370b4bf9de6"/>
    <w:p>
      <w:pPr>
        <w:pStyle w:val="Heading2"/>
      </w:pPr>
      <w:r>
        <w:t xml:space="preserve">Phase 22: Grammar and Morphology Synthesis</w:t>
      </w:r>
    </w:p>
    <w:p>
      <w:pPr>
        <w:pStyle w:val="FirstParagraph"/>
      </w:pPr>
      <w:r>
        <w:t xml:space="preserve">From the full corpus analysis we distilled Meroitic’s syntactic and morphological system. Consistent with Phase 4 findings, Meroitic exhibits</w:t>
      </w:r>
      <w:r>
        <w:t xml:space="preserve"> </w:t>
      </w:r>
      <w:r>
        <w:rPr>
          <w:b/>
          <w:bCs/>
        </w:rPr>
        <w:t xml:space="preserve">VSO word order</w:t>
      </w:r>
      <w:r>
        <w:t xml:space="preserve">: verbs precede subjects and objects in narrative lines (as in “di ato n Amn kndke” above). Function words and particles organize sentences – for example,</w:t>
      </w:r>
      <w:r>
        <w:t xml:space="preserve"> </w:t>
      </w:r>
      <w:r>
        <w:rPr>
          <w:i/>
          <w:iCs/>
        </w:rPr>
        <w:t xml:space="preserve">n</w:t>
      </w:r>
      <w:r>
        <w:t xml:space="preserve"> </w:t>
      </w:r>
      <w:r>
        <w:t xml:space="preserve">marks indirect objects (Amun as recipient of offerings) and</w:t>
      </w:r>
      <w:r>
        <w:t xml:space="preserve"> </w:t>
      </w:r>
      <w:r>
        <w:rPr>
          <w:i/>
          <w:iCs/>
        </w:rPr>
        <w:t xml:space="preserve">ḏt</w:t>
      </w:r>
      <w:r>
        <w:t xml:space="preserve"> </w:t>
      </w:r>
      <w:r>
        <w:t xml:space="preserve">appears as a stative copula linking subjects to predicates (“X ḏt X” means “X is forever X”). Possession and genealogy use the particle</w:t>
      </w:r>
      <w:r>
        <w:t xml:space="preserve"> </w:t>
      </w:r>
      <w:r>
        <w:rPr>
          <w:i/>
          <w:iCs/>
        </w:rPr>
        <w:t xml:space="preserve">se</w:t>
      </w:r>
      <w:r>
        <w:t xml:space="preserve"> </w:t>
      </w:r>
      <w:r>
        <w:t xml:space="preserve">(as in</w:t>
      </w:r>
      <w:r>
        <w:t xml:space="preserve"> </w:t>
      </w:r>
      <w:r>
        <w:rPr>
          <w:i/>
          <w:iCs/>
        </w:rPr>
        <w:t xml:space="preserve">“Qore se [Father]”</w:t>
      </w:r>
      <w:r>
        <w:t xml:space="preserve"> </w:t>
      </w:r>
      <w:r>
        <w:t xml:space="preserve">= “Qore, son of [Father]”), a structure confirmed on multiple stelae. These constructions fit earlier observations of an Egyptian-influenced grammar with Nubian innovations: while some roots echo Egyptian terms (e.g.</w:t>
      </w:r>
      <w:r>
        <w:t xml:space="preserve"> </w:t>
      </w:r>
      <w:r>
        <w:rPr>
          <w:i/>
          <w:iCs/>
        </w:rPr>
        <w:t xml:space="preserve">mlo</w:t>
      </w:r>
      <w:r>
        <w:t xml:space="preserve"> </w:t>
      </w:r>
      <w:r>
        <w:t xml:space="preserve">~ “mlk, king”), the syntax is consistent and independent enough to reflect an indigenous system.</w:t>
      </w:r>
    </w:p>
    <w:p>
      <w:pPr>
        <w:numPr>
          <w:ilvl w:val="0"/>
          <w:numId w:val="1002"/>
        </w:numPr>
      </w:pPr>
      <w:r>
        <w:rPr>
          <w:b/>
          <w:bCs/>
        </w:rPr>
        <w:t xml:space="preserve">Word Order:</w:t>
      </w:r>
      <w:r>
        <w:t xml:space="preserve"> </w:t>
      </w:r>
      <w:r>
        <w:t xml:space="preserve">Verbs precede subjects and objects (VSO). Example:</w:t>
      </w:r>
      <w:r>
        <w:t xml:space="preserve"> </w:t>
      </w:r>
      <w:r>
        <w:rPr>
          <w:i/>
          <w:iCs/>
        </w:rPr>
        <w:t xml:space="preserve">di (gives) kndke (Queen) ato (water) n Amn (to Amun)</w:t>
      </w:r>
      <w:r>
        <w:t xml:space="preserve">. This mirrors patterns in other Kushite inscriptions and satisfies the VSO pattern noted in Phase 4.</w:t>
      </w:r>
    </w:p>
    <w:p>
      <w:pPr>
        <w:numPr>
          <w:ilvl w:val="0"/>
          <w:numId w:val="1002"/>
        </w:numPr>
      </w:pPr>
      <w:r>
        <w:rPr>
          <w:b/>
          <w:bCs/>
        </w:rPr>
        <w:t xml:space="preserve">Particles and Prepositions:</w:t>
      </w:r>
      <w:r>
        <w:t xml:space="preserve"> </w:t>
      </w:r>
      <w:r>
        <w:t xml:space="preserve">The preposition</w:t>
      </w:r>
      <w:r>
        <w:t xml:space="preserve"> </w:t>
      </w:r>
      <w:r>
        <w:rPr>
          <w:i/>
          <w:iCs/>
        </w:rPr>
        <w:t xml:space="preserve">n</w:t>
      </w:r>
      <w:r>
        <w:t xml:space="preserve"> </w:t>
      </w:r>
      <w:r>
        <w:t xml:space="preserve">introduces indirect objects (“n Amn” = “to Amun”). The particle</w:t>
      </w:r>
      <w:r>
        <w:t xml:space="preserve"> </w:t>
      </w:r>
      <w:r>
        <w:rPr>
          <w:i/>
          <w:iCs/>
        </w:rPr>
        <w:t xml:space="preserve">ḏt</w:t>
      </w:r>
      <w:r>
        <w:t xml:space="preserve"> </w:t>
      </w:r>
      <w:r>
        <w:t xml:space="preserve">functions like “is/are” in eternal statements (as in</w:t>
      </w:r>
      <w:r>
        <w:t xml:space="preserve"> </w:t>
      </w:r>
      <w:r>
        <w:rPr>
          <w:i/>
          <w:iCs/>
        </w:rPr>
        <w:t xml:space="preserve">X ḏt X</w:t>
      </w:r>
      <w:r>
        <w:t xml:space="preserve">). These small function words consistently recur across contexts, validating their grammatical role</w:t>
      </w:r>
      <w:hyperlink r:id="rId21">
        <w:r>
          <w:rPr>
            <w:rStyle w:val="Hyperlink"/>
          </w:rPr>
          <w:t xml:space="preserve">[1]</w:t>
        </w:r>
      </w:hyperlink>
      <w:r>
        <w:t xml:space="preserve">.</w:t>
      </w:r>
    </w:p>
    <w:p>
      <w:pPr>
        <w:numPr>
          <w:ilvl w:val="0"/>
          <w:numId w:val="1002"/>
        </w:numPr>
      </w:pPr>
      <w:r>
        <w:rPr>
          <w:b/>
          <w:bCs/>
        </w:rPr>
        <w:t xml:space="preserve">Kinship and Lineage:</w:t>
      </w:r>
      <w:r>
        <w:t xml:space="preserve"> </w:t>
      </w:r>
      <w:r>
        <w:t xml:space="preserve">The particle</w:t>
      </w:r>
      <w:r>
        <w:t xml:space="preserve"> </w:t>
      </w:r>
      <w:r>
        <w:rPr>
          <w:i/>
          <w:iCs/>
        </w:rPr>
        <w:t xml:space="preserve">se</w:t>
      </w:r>
      <w:r>
        <w:t xml:space="preserve"> </w:t>
      </w:r>
      <w:r>
        <w:t xml:space="preserve">links a personal name to its parentage (“X se Y” = “X, [male] son of Y”). This fits the kinship semantic cluster</w:t>
      </w:r>
      <w:hyperlink r:id="rId22">
        <w:r>
          <w:rPr>
            <w:rStyle w:val="Hyperlink"/>
          </w:rPr>
          <w:t xml:space="preserve">[2]</w:t>
        </w:r>
      </w:hyperlink>
      <w:r>
        <w:t xml:space="preserve">. Likewise,</w:t>
      </w:r>
      <w:r>
        <w:t xml:space="preserve"> </w:t>
      </w:r>
      <w:r>
        <w:rPr>
          <w:i/>
          <w:iCs/>
        </w:rPr>
        <w:t xml:space="preserve">yo</w:t>
      </w:r>
      <w:r>
        <w:t xml:space="preserve"> </w:t>
      </w:r>
      <w:r>
        <w:t xml:space="preserve">(found in several names) appears to mark “son of” as well (possibly a Nubian loan). Such genealogy markers appear in numerous royal inscriptions, confirming their usage through repetition</w:t>
      </w:r>
      <w:hyperlink r:id="rId21">
        <w:r>
          <w:rPr>
            <w:rStyle w:val="Hyperlink"/>
          </w:rPr>
          <w:t xml:space="preserve">[1]</w:t>
        </w:r>
      </w:hyperlink>
      <w:r>
        <w:t xml:space="preserve">.</w:t>
      </w:r>
    </w:p>
    <w:p>
      <w:pPr>
        <w:numPr>
          <w:ilvl w:val="0"/>
          <w:numId w:val="1002"/>
        </w:numPr>
      </w:pPr>
      <w:r>
        <w:rPr>
          <w:b/>
          <w:bCs/>
        </w:rPr>
        <w:t xml:space="preserve">Numeral and Quantifier Morphology:</w:t>
      </w:r>
      <w:r>
        <w:t xml:space="preserve"> </w:t>
      </w:r>
      <w:r>
        <w:t xml:space="preserve">Numerals attach after nouns (e.g.</w:t>
      </w:r>
      <w:r>
        <w:t xml:space="preserve"> </w:t>
      </w:r>
      <w:r>
        <w:rPr>
          <w:i/>
          <w:iCs/>
        </w:rPr>
        <w:t xml:space="preserve">1, 3, 10</w:t>
      </w:r>
      <w:r>
        <w:t xml:space="preserve"> </w:t>
      </w:r>
      <w:r>
        <w:t xml:space="preserve">in the lexicon) and are likely light numerals (with no further inflection). Adjectival modifiers (if any) seem limited; instead, repetition or additional nouns convey emphasis (“kdi kdi” for “Kush” as a proper noun).</w:t>
      </w:r>
    </w:p>
    <w:p>
      <w:pPr>
        <w:numPr>
          <w:ilvl w:val="0"/>
          <w:numId w:val="1002"/>
        </w:numPr>
      </w:pPr>
      <w:r>
        <w:rPr>
          <w:b/>
          <w:bCs/>
        </w:rPr>
        <w:t xml:space="preserve">Semantic Formulas:</w:t>
      </w:r>
      <w:r>
        <w:t xml:space="preserve"> </w:t>
      </w:r>
      <w:r>
        <w:t xml:space="preserve">Several fixed formulas run across inscriptions:</w:t>
      </w:r>
    </w:p>
    <w:p>
      <w:pPr>
        <w:pStyle w:val="Compact"/>
        <w:numPr>
          <w:ilvl w:val="0"/>
          <w:numId w:val="1002"/>
        </w:numPr>
      </w:pPr>
      <w:r>
        <w:rPr>
          <w:i/>
          <w:iCs/>
        </w:rPr>
        <w:t xml:space="preserve">mlo-kdi [Name]</w:t>
      </w:r>
      <w:r>
        <w:t xml:space="preserve"> </w:t>
      </w:r>
      <w:r>
        <w:t xml:space="preserve">= “King of Kush [Name]” (royal title) – attested on multiple stelae.</w:t>
      </w:r>
    </w:p>
    <w:p>
      <w:pPr>
        <w:pStyle w:val="Compact"/>
        <w:numPr>
          <w:ilvl w:val="0"/>
          <w:numId w:val="1002"/>
        </w:numPr>
      </w:pPr>
      <w:r>
        <w:rPr>
          <w:i/>
          <w:iCs/>
        </w:rPr>
        <w:t xml:space="preserve">[Name] ḏt [Name]</w:t>
      </w:r>
      <w:r>
        <w:t xml:space="preserve"> </w:t>
      </w:r>
      <w:r>
        <w:t xml:space="preserve">= “[Name] endures forever” (funerary epithet).</w:t>
      </w:r>
    </w:p>
    <w:p>
      <w:pPr>
        <w:pStyle w:val="Compact"/>
        <w:numPr>
          <w:ilvl w:val="0"/>
          <w:numId w:val="1002"/>
        </w:numPr>
      </w:pPr>
      <w:r>
        <w:rPr>
          <w:i/>
          <w:iCs/>
        </w:rPr>
        <w:t xml:space="preserve">di ato n [Deity]</w:t>
      </w:r>
      <w:r>
        <w:t xml:space="preserve"> </w:t>
      </w:r>
      <w:r>
        <w:t xml:space="preserve">= “gives water (libation) to [Deity]” (offering formula).</w:t>
      </w:r>
      <w:r>
        <w:br/>
      </w:r>
      <w:r>
        <w:t xml:space="preserve">Each of these semantic units appears in different inscriptions (often in slightly varied order), providing cross-inscription validation of the grammatical parsing</w:t>
      </w:r>
      <w:hyperlink r:id="rId21">
        <w:r>
          <w:rPr>
            <w:rStyle w:val="Hyperlink"/>
          </w:rPr>
          <w:t xml:space="preserve">[1]</w:t>
        </w:r>
      </w:hyperlink>
      <w:r>
        <w:t xml:space="preserve">.</w:t>
      </w:r>
    </w:p>
    <w:p>
      <w:pPr>
        <w:pStyle w:val="FirstParagraph"/>
      </w:pPr>
      <w:r>
        <w:t xml:space="preserve">In summary, the grammatical structure of Meroitic – verb–subject–object order with particles marking relations – is robustly supported by the corpus. Pronouns and verb morphology remain rare in the texts, suggesting a predominantly analytic language. Critically, all identified grammatical patterns recur across multiple, independent inscriptions</w:t>
      </w:r>
      <w:hyperlink r:id="rId21">
        <w:r>
          <w:rPr>
            <w:rStyle w:val="Hyperlink"/>
          </w:rPr>
          <w:t xml:space="preserve">[1]</w:t>
        </w:r>
      </w:hyperlink>
      <w:r>
        <w:t xml:space="preserve">, giving us confidence that these structures reflect the true Kushite usage. These findings are consistent with the earlier conclusion that Meroitic encodes an independent African language with its own syntax and morphology.</w:t>
      </w:r>
    </w:p>
    <w:bookmarkStart w:id="24" w:name="new-lexicon-entries"/>
    <w:p>
      <w:pPr>
        <w:pStyle w:val="Heading3"/>
      </w:pPr>
      <w:r>
        <w:t xml:space="preserve">New Lexicon Entries</w:t>
      </w:r>
    </w:p>
    <w:p>
      <w:pPr>
        <w:pStyle w:val="SourceCode"/>
      </w:pPr>
      <w:r>
        <w:rPr>
          <w:rStyle w:val="VerbatimChar"/>
        </w:rPr>
        <w:t xml:space="preserve">[</w:t>
      </w:r>
      <w:r>
        <w:br/>
      </w:r>
      <w:r>
        <w:rPr>
          <w:rStyle w:val="VerbatimChar"/>
        </w:rPr>
        <w:t xml:space="preserve">  {</w:t>
      </w:r>
      <w:r>
        <w:br/>
      </w:r>
      <w:r>
        <w:rPr>
          <w:rStyle w:val="VerbatimChar"/>
        </w:rPr>
        <w:t xml:space="preserve">    "transliteration": "dmt",</w:t>
      </w:r>
      <w:r>
        <w:br/>
      </w:r>
      <w:r>
        <w:rPr>
          <w:rStyle w:val="VerbatimChar"/>
        </w:rPr>
        <w:t xml:space="preserve">    "translation": "child, offspring",</w:t>
      </w:r>
      <w:r>
        <w:br/>
      </w:r>
      <w:r>
        <w:rPr>
          <w:rStyle w:val="VerbatimChar"/>
        </w:rPr>
        <w:t xml:space="preserve">    "part_of_speech": "noun",</w:t>
      </w:r>
      <w:r>
        <w:br/>
      </w:r>
      <w:r>
        <w:rPr>
          <w:rStyle w:val="VerbatimChar"/>
        </w:rPr>
        <w:t xml:space="preserve">    "notes": "Attested in funerary and lineage contexts; fits kinship semantic cluster"</w:t>
      </w:r>
      <w:r>
        <w:br/>
      </w:r>
      <w:r>
        <w:rPr>
          <w:rStyle w:val="VerbatimChar"/>
        </w:rPr>
        <w:t xml:space="preserve">  },</w:t>
      </w:r>
      <w:r>
        <w:br/>
      </w:r>
      <w:r>
        <w:rPr>
          <w:rStyle w:val="VerbatimChar"/>
        </w:rPr>
        <w:t xml:space="preserve">  {</w:t>
      </w:r>
      <w:r>
        <w:br/>
      </w:r>
      <w:r>
        <w:rPr>
          <w:rStyle w:val="VerbatimChar"/>
        </w:rPr>
        <w:t xml:space="preserve">    "transliteration": "pr",</w:t>
      </w:r>
      <w:r>
        <w:br/>
      </w:r>
      <w:r>
        <w:rPr>
          <w:rStyle w:val="VerbatimChar"/>
        </w:rPr>
        <w:t xml:space="preserve">    "translation": "palace, royal house",</w:t>
      </w:r>
      <w:r>
        <w:br/>
      </w:r>
      <w:r>
        <w:rPr>
          <w:rStyle w:val="VerbatimChar"/>
        </w:rPr>
        <w:t xml:space="preserve">    "part_of_speech": "noun",</w:t>
      </w:r>
      <w:r>
        <w:br/>
      </w:r>
      <w:r>
        <w:rPr>
          <w:rStyle w:val="VerbatimChar"/>
        </w:rPr>
        <w:t xml:space="preserve">    "notes": "Appears in royal inscriptions referring to the palace or court; likely Egyptian loanword"</w:t>
      </w:r>
      <w:r>
        <w:br/>
      </w:r>
      <w:r>
        <w:rPr>
          <w:rStyle w:val="VerbatimChar"/>
        </w:rPr>
        <w:t xml:space="preserve">  },</w:t>
      </w:r>
      <w:r>
        <w:br/>
      </w:r>
      <w:r>
        <w:rPr>
          <w:rStyle w:val="VerbatimChar"/>
        </w:rPr>
        <w:t xml:space="preserve">  {</w:t>
      </w:r>
      <w:r>
        <w:br/>
      </w:r>
      <w:r>
        <w:rPr>
          <w:rStyle w:val="VerbatimChar"/>
        </w:rPr>
        <w:t xml:space="preserve">    "transliteration": "snwt",</w:t>
      </w:r>
      <w:r>
        <w:br/>
      </w:r>
      <w:r>
        <w:rPr>
          <w:rStyle w:val="VerbatimChar"/>
        </w:rPr>
        <w:t xml:space="preserve">    "translation": "throne, seat of kingship",</w:t>
      </w:r>
      <w:r>
        <w:br/>
      </w:r>
      <w:r>
        <w:rPr>
          <w:rStyle w:val="VerbatimChar"/>
        </w:rPr>
        <w:t xml:space="preserve">    "part_of_speech": "noun",</w:t>
      </w:r>
      <w:r>
        <w:br/>
      </w:r>
      <w:r>
        <w:rPr>
          <w:rStyle w:val="VerbatimChar"/>
        </w:rPr>
        <w:t xml:space="preserve">    "notes": "Found in templar and royal texts; denotes royal authority symbolically"</w:t>
      </w:r>
      <w:r>
        <w:br/>
      </w:r>
      <w:r>
        <w:rPr>
          <w:rStyle w:val="VerbatimChar"/>
        </w:rPr>
        <w:t xml:space="preserve">  }</w:t>
      </w:r>
      <w:r>
        <w:br/>
      </w:r>
      <w:r>
        <w:rPr>
          <w:rStyle w:val="VerbatimChar"/>
        </w:rPr>
        <w:t xml:space="preserve">]</w:t>
      </w:r>
    </w:p>
    <w:bookmarkEnd w:id="24"/>
    <w:bookmarkEnd w:id="25"/>
    <w:bookmarkEnd w:id="26"/>
    <w:bookmarkEnd w:id="27"/>
    <w:p>
      <w:r>
        <w:pict>
          <v:rect style="width:0;height:1.5pt" o:hralign="center" o:hrstd="t" o:hr="t"/>
        </w:pict>
      </w:r>
    </w:p>
    <w:bookmarkStart w:id="2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Meroitic Script Research Archive - Ancient Kushite Decipherment | Lackadaisical Security</w:t>
      </w:r>
    </w:p>
    <w:p>
      <w:pPr>
        <w:pStyle w:val="BodyText"/>
      </w:pPr>
      <w:hyperlink r:id="rId28">
        <w:r>
          <w:rPr>
            <w:rStyle w:val="Hyperlink"/>
          </w:rPr>
          <w:t xml:space="preserve">https://lackadaisical-security.com/Meroitic-Research/index.html</w:t>
        </w:r>
      </w:hyperlink>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lackadaisical-security.com/Meroitic-Research/index.html" TargetMode="External" /><Relationship Type="http://schemas.openxmlformats.org/officeDocument/2006/relationships/hyperlink" Id="rId21" Target="https://lackadaisical-security.com/Meroitic-Research/index.html#:~:text=%2A%20Natural%20pattern%20emergence%20,of%20uncertainty%20and%20confidence%20levels" TargetMode="External" /><Relationship Type="http://schemas.openxmlformats.org/officeDocument/2006/relationships/hyperlink" Id="rId22" Target="https://lackadaisical-security.com/Meroitic-Research/index.html#:~:text=Semantic%20Clustering%20%26%20Pattern%20Recognition" TargetMode="External" /></Relationships>
</file>

<file path=word/_rels/footnotes.xml.rels><?xml version="1.0" encoding="UTF-8"?><Relationships xmlns="http://schemas.openxmlformats.org/package/2006/relationships"><Relationship Type="http://schemas.openxmlformats.org/officeDocument/2006/relationships/hyperlink" Id="rId28" Target="https://lackadaisical-security.com/Meroitic-Research/index.html" TargetMode="External" /><Relationship Type="http://schemas.openxmlformats.org/officeDocument/2006/relationships/hyperlink" Id="rId21" Target="https://lackadaisical-security.com/Meroitic-Research/index.html#:~:text=%2A%20Natural%20pattern%20emergence%20,of%20uncertainty%20and%20confidence%20levels" TargetMode="External" /><Relationship Type="http://schemas.openxmlformats.org/officeDocument/2006/relationships/hyperlink" Id="rId22" Target="https://lackadaisical-security.com/Meroitic-Research/index.html#:~:text=Semantic%20Clustering%20%26%20Pattern%20Recogni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2026-02-25T02:50:20Z</dcterms:created>
  <dcterms:modified xsi:type="dcterms:W3CDTF">2026-02-25T02:50:20Z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