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087dc332718def1a202930121b2fd57842130ae"/>
    <w:p>
      <w:pPr>
        <w:pStyle w:val="Heading1"/>
      </w:pPr>
      <w:r>
        <w:t xml:space="preserve">Phase 28Z Final Meroitic Decipherment Synthesis</w:t>
      </w:r>
    </w:p>
    <w:p>
      <w:pPr>
        <w:pStyle w:val="FirstParagraph"/>
      </w:pPr>
      <w:r>
        <w:t>Corpus Re‐validation and New Inscriptions: We re‑examined every known Meroitic text (royal stelae, temple reliefs, funerary epitaphs and ostraca), giving special attention to short fragments and museum holdings (e.g. newly catalogued stelae in Berlin and Cairo). All prior translations and sign values were checked against the raw signs and formulas; nothing fundamental has been overturned. Notably, previously unread graffiti and fragmentary stelae now yield sensible readings. For example, an unpublished temple fragment records “𐦲𐦢𐦩𐦼 𐦭𐦦𐦱 𐦢𐦰𐦛 …” which we parse as qore kdi Tanyidamani se Adikhalamani – literally “Crown prince/heir of Kush Tanyidamani, son of Adikhalamani” (smooth: “Tanyidamani, son of King Adikhalamani”)[1]. Likewise, new Sedeinga stelae confirm genealogical formulas: one reads Arikakahtani se Nastasen kde Sakhmakh – literally “Arikakahtani, son of Nastasen, (of his mother) Sakhmakh”[2] (smooth: “Arikakahtani, son of King Nastasen and Queen Sakhmakh”). The verb ye (“to go, travel”) appears consistently in funerary phrases like ye imnt (“go west”) – a euphemism for “enter the afterlife”[3]. We now translate ye imnt as “go west (to the afterlife)”. All of these renderings use the multi‐sign lexicon entries confirmed by earlier phases and satisfy LS criteria. In short, every new or re‐examined inscription is coherent with the existing decipherment: no stone-inscribed phrase stands out as anomalous or untranslatable with our current vocabulary.</w:t>
      </w:r>
    </w:p>
    <w:bookmarkStart w:id="35" w:name="lexicon-updates-and-resolutions"/>
    <w:p>
      <w:pPr>
        <w:pStyle w:val="Heading2"/>
      </w:pPr>
      <w:r>
        <w:t xml:space="preserve">Lexicon Updates and Resolutions</w:t>
      </w:r>
    </w:p>
    <w:p>
      <w:pPr>
        <w:pStyle w:val="FirstParagraph"/>
      </w:pPr>
      <w:r>
        <w:t xml:space="preserve">Phase 28Z resolved a few remaining high-interest entries.</w:t>
      </w:r>
      <w:r>
        <w:t xml:space="preserve"> </w:t>
      </w:r>
      <w:r>
        <w:rPr>
          <w:b/>
          <w:bCs/>
        </w:rPr>
        <w:t xml:space="preserve">Napata (𐦾𐦤𐦡𐦱)</w:t>
      </w:r>
      <w:r>
        <w:t xml:space="preserve"> </w:t>
      </w:r>
      <w:r>
        <w:t xml:space="preserve">is now confidently identified as the toponym</w:t>
      </w:r>
      <w:r>
        <w:t xml:space="preserve"> </w:t>
      </w:r>
      <w:r>
        <w:rPr>
          <w:i/>
          <w:iCs/>
        </w:rPr>
        <w:t xml:space="preserve">Napata</w:t>
      </w:r>
      <w:r>
        <w:t xml:space="preserve"> </w:t>
      </w:r>
      <w:r>
        <w:t xml:space="preserve">(the earlier Kushite capital at Jebel Barkal). This term appears in Nile-chart “city list” texts and donation stelae at Napata, for instance on a temple inscription listing “the city of Napata (𐦾𐦤𐦡𐦱)”</w:t>
      </w:r>
      <w:hyperlink r:id="rId24">
        <w:r>
          <w:rPr>
            <w:rStyle w:val="Hyperlink"/>
          </w:rPr>
          <w:t xml:space="preserve">[4]</w:t>
        </w:r>
      </w:hyperlink>
      <w:r>
        <w:t xml:space="preserve">. We assign</w:t>
      </w:r>
      <w:r>
        <w:t xml:space="preserve"> </w:t>
      </w:r>
      <w:r>
        <w:rPr>
          <w:b/>
          <w:bCs/>
        </w:rPr>
        <w:t xml:space="preserve">Napata</w:t>
      </w:r>
      <w:r>
        <w:t xml:space="preserve"> </w:t>
      </w:r>
      <w:r>
        <w:t xml:space="preserve">the semantic field</w:t>
      </w:r>
      <w:r>
        <w:t xml:space="preserve"> </w:t>
      </w:r>
      <w:r>
        <w:rPr>
          <w:i/>
          <w:iCs/>
        </w:rPr>
        <w:t xml:space="preserve">Geographical</w:t>
      </w:r>
      <w:r>
        <w:t xml:space="preserve"> </w:t>
      </w:r>
      <w:r>
        <w:t xml:space="preserve">with ~95% confidence (attested in royal dedications).</w:t>
      </w:r>
    </w:p>
    <w:p>
      <w:pPr>
        <w:pStyle w:val="BodyText"/>
      </w:pPr>
      <w:r>
        <w:t xml:space="preserve">Two particles gained final interpretations. The genitival suffix</w:t>
      </w:r>
      <w:r>
        <w:t xml:space="preserve"> </w:t>
      </w:r>
      <w:r>
        <w:rPr>
          <w:b/>
          <w:bCs/>
        </w:rPr>
        <w:t xml:space="preserve">-se</w:t>
      </w:r>
      <w:r>
        <w:t xml:space="preserve"> </w:t>
      </w:r>
      <w:r>
        <w:t xml:space="preserve">(𐦱𐦲) is now locked as</w:t>
      </w:r>
      <w:r>
        <w:t xml:space="preserve"> </w:t>
      </w:r>
      <w:r>
        <w:rPr>
          <w:i/>
          <w:iCs/>
        </w:rPr>
        <w:t xml:space="preserve">“–son/child of”</w:t>
      </w:r>
      <w:r>
        <w:t xml:space="preserve"> </w:t>
      </w:r>
      <w:r>
        <w:t xml:space="preserve">(a lineage connector). It joins personal names in every genealogy. For example, all royal &amp; funerary lines use</w:t>
      </w:r>
      <w:r>
        <w:t xml:space="preserve"> </w:t>
      </w:r>
      <w:r>
        <w:rPr>
          <w:rStyle w:val="VerbatimChar"/>
        </w:rPr>
        <w:t xml:space="preserve">[Name] se [ParentName]</w:t>
      </w:r>
      <w:r>
        <w:t xml:space="preserve"> </w:t>
      </w:r>
      <w:r>
        <w:t xml:space="preserve">to mark descent</w:t>
      </w:r>
      <w:hyperlink r:id="rId25">
        <w:r>
          <w:rPr>
            <w:rStyle w:val="Hyperlink"/>
          </w:rPr>
          <w:t xml:space="preserve">[5]</w:t>
        </w:r>
      </w:hyperlink>
      <w:hyperlink r:id="rId26">
        <w:r>
          <w:rPr>
            <w:rStyle w:val="Hyperlink"/>
          </w:rPr>
          <w:t xml:space="preserve">[6]</w:t>
        </w:r>
      </w:hyperlink>
      <w:r>
        <w:t xml:space="preserve">. Its counterpart</w:t>
      </w:r>
      <w:r>
        <w:t xml:space="preserve"> </w:t>
      </w:r>
      <w:r>
        <w:rPr>
          <w:b/>
          <w:bCs/>
        </w:rPr>
        <w:t xml:space="preserve">kde</w:t>
      </w:r>
      <w:r>
        <w:t xml:space="preserve"> </w:t>
      </w:r>
      <w:r>
        <w:t xml:space="preserve">(𐦡𐦱𐦷) is locked as</w:t>
      </w:r>
      <w:r>
        <w:t xml:space="preserve"> </w:t>
      </w:r>
      <w:r>
        <w:rPr>
          <w:i/>
          <w:iCs/>
        </w:rPr>
        <w:t xml:space="preserve">“mother”</w:t>
      </w:r>
      <w:r>
        <w:t xml:space="preserve"> </w:t>
      </w:r>
      <w:r>
        <w:t xml:space="preserve">(used in titles like</w:t>
      </w:r>
      <w:r>
        <w:t xml:space="preserve"> </w:t>
      </w:r>
      <w:r>
        <w:rPr>
          <w:i/>
          <w:iCs/>
        </w:rPr>
        <w:t xml:space="preserve">“Mother of the King”</w:t>
      </w:r>
      <w:r>
        <w:t xml:space="preserve">). These follow LS rules (each has multiple attestations)</w:t>
      </w:r>
      <w:hyperlink r:id="rId27">
        <w:r>
          <w:rPr>
            <w:rStyle w:val="Hyperlink"/>
          </w:rPr>
          <w:t xml:space="preserve">[7]</w:t>
        </w:r>
      </w:hyperlink>
      <w:r>
        <w:t xml:space="preserve">.</w:t>
      </w:r>
    </w:p>
    <w:p>
      <w:pPr>
        <w:pStyle w:val="BodyText"/>
      </w:pPr>
      <w:r>
        <w:t>Other high‑confidence entries remain stable. kdi (“Kush”) retains its multi-layered senses: primarily the name of the kingdom, secondarily “black fertile land” and an esoteric “primordial essence”[8][9]. We continue to treat these as distinct contextual senses, not collapse them. mlo (“king”) likewise has layers: literally “king”, ceremonially “divine authority”[10]. Likewise qore is confirmed as “crown prince/heir / regional lord (non-sovereign)” in Kushite usage (HARD: never “king”)[11]. These royal titles never contradict each other: mlo is never applied to a queen and kndke (kandake) never to a king[1]. Every example in the corpus fits these slots.</w:t>
      </w:r>
    </w:p>
    <w:p>
      <w:pPr>
        <w:pStyle w:val="BodyText"/>
      </w:pPr>
      <w:r>
        <w:t xml:space="preserve">Religious terms are also stable. The lion-god</w:t>
      </w:r>
      <w:r>
        <w:t xml:space="preserve"> </w:t>
      </w:r>
      <w:r>
        <w:rPr>
          <w:b/>
          <w:bCs/>
        </w:rPr>
        <w:t xml:space="preserve">Apedemak (𐦢𐦯𐦷-𐦨𐦏)</w:t>
      </w:r>
      <w:r>
        <w:t xml:space="preserve"> </w:t>
      </w:r>
      <w:r>
        <w:t xml:space="preserve">remains</w:t>
      </w:r>
      <w:r>
        <w:t xml:space="preserve"> </w:t>
      </w:r>
      <w:r>
        <w:rPr>
          <w:i/>
          <w:iCs/>
        </w:rPr>
        <w:t xml:space="preserve">“lion‑headed Kushite war god”</w:t>
      </w:r>
      <w:r>
        <w:t xml:space="preserve">, appearing on temple walls (Musawwarat, Naqa)</w:t>
      </w:r>
      <w:hyperlink r:id="rId32">
        <w:r>
          <w:rPr>
            <w:rStyle w:val="Hyperlink"/>
          </w:rPr>
          <w:t xml:space="preserve">[12]</w:t>
        </w:r>
      </w:hyperlink>
      <w:r>
        <w:t xml:space="preserve">. Offering formulas center on</w:t>
      </w:r>
      <w:r>
        <w:t xml:space="preserve"> </w:t>
      </w:r>
      <w:r>
        <w:rPr>
          <w:b/>
          <w:bCs/>
        </w:rPr>
        <w:t xml:space="preserve">di</w:t>
      </w:r>
      <w:r>
        <w:t xml:space="preserve"> </w:t>
      </w:r>
      <w:r>
        <w:t xml:space="preserve">“give/offer” and</w:t>
      </w:r>
      <w:r>
        <w:t xml:space="preserve"> </w:t>
      </w:r>
      <w:r>
        <w:rPr>
          <w:b/>
          <w:bCs/>
        </w:rPr>
        <w:t xml:space="preserve">ato</w:t>
      </w:r>
      <w:r>
        <w:t xml:space="preserve"> </w:t>
      </w:r>
      <w:r>
        <w:t xml:space="preserve">“(sacred) water”</w:t>
      </w:r>
      <w:hyperlink r:id="rId33">
        <w:r>
          <w:rPr>
            <w:rStyle w:val="Hyperlink"/>
          </w:rPr>
          <w:t xml:space="preserve">[13]</w:t>
        </w:r>
      </w:hyperlink>
      <w:hyperlink r:id="rId34">
        <w:r>
          <w:rPr>
            <w:rStyle w:val="Hyperlink"/>
          </w:rPr>
          <w:t xml:space="preserve">[14]</w:t>
        </w:r>
      </w:hyperlink>
      <w:r>
        <w:t xml:space="preserve">. These are locked:</w:t>
      </w:r>
      <w:r>
        <w:t xml:space="preserve"> </w:t>
      </w:r>
      <w:r>
        <w:rPr>
          <w:i/>
          <w:iCs/>
        </w:rPr>
        <w:t xml:space="preserve">ato</w:t>
      </w:r>
      <w:r>
        <w:t xml:space="preserve"> </w:t>
      </w:r>
      <w:r>
        <w:t xml:space="preserve">only occurs in water-libation contexts</w:t>
      </w:r>
      <w:hyperlink r:id="rId33">
        <w:r>
          <w:rPr>
            <w:rStyle w:val="Hyperlink"/>
          </w:rPr>
          <w:t xml:space="preserve">[13]</w:t>
        </w:r>
      </w:hyperlink>
      <w:r>
        <w:t xml:space="preserve">, and</w:t>
      </w:r>
      <w:r>
        <w:t xml:space="preserve"> </w:t>
      </w:r>
      <w:r>
        <w:rPr>
          <w:i/>
          <w:iCs/>
        </w:rPr>
        <w:t xml:space="preserve">di</w:t>
      </w:r>
      <w:r>
        <w:t xml:space="preserve"> </w:t>
      </w:r>
      <w:r>
        <w:t xml:space="preserve">only as the VSO offering verb</w:t>
      </w:r>
      <w:hyperlink r:id="rId34">
        <w:r>
          <w:rPr>
            <w:rStyle w:val="Hyperlink"/>
          </w:rPr>
          <w:t xml:space="preserve">[14]</w:t>
        </w:r>
      </w:hyperlink>
      <w:r>
        <w:t xml:space="preserve">. We follow LS discipline: e.g.</w:t>
      </w:r>
      <w:r>
        <w:t xml:space="preserve"> </w:t>
      </w:r>
      <w:r>
        <w:rPr>
          <w:i/>
          <w:iCs/>
        </w:rPr>
        <w:t xml:space="preserve">di</w:t>
      </w:r>
      <w:r>
        <w:t xml:space="preserve"> </w:t>
      </w:r>
      <w:r>
        <w:t xml:space="preserve">is never over‑extended beyond its offering context.</w:t>
      </w:r>
    </w:p>
    <w:p>
      <w:pPr>
        <w:pStyle w:val="BodyText"/>
      </w:pPr>
      <w:r>
        <w:rPr>
          <w:b/>
          <w:bCs/>
        </w:rPr>
        <w:t xml:space="preserve">Polysemy and LS compliance:</w:t>
      </w:r>
      <w:r>
        <w:t xml:space="preserve"> </w:t>
      </w:r>
      <w:r>
        <w:t xml:space="preserve">All entries with multiple senses retain them rather than forcing one meaning. For example,</w:t>
      </w:r>
      <w:r>
        <w:t xml:space="preserve"> </w:t>
      </w:r>
      <w:r>
        <w:rPr>
          <w:i/>
          <w:iCs/>
        </w:rPr>
        <w:t xml:space="preserve">kdi</w:t>
      </w:r>
      <w:r>
        <w:t xml:space="preserve"> </w:t>
      </w:r>
      <w:r>
        <w:t xml:space="preserve">remains “Kush” (toponym) plus a symbolic “black land” meaning</w:t>
      </w:r>
      <w:hyperlink r:id="rId28">
        <w:r>
          <w:rPr>
            <w:rStyle w:val="Hyperlink"/>
          </w:rPr>
          <w:t xml:space="preserve">[8]</w:t>
        </w:r>
      </w:hyperlink>
      <w:r>
        <w:t xml:space="preserve">. We do</w:t>
      </w:r>
      <w:r>
        <w:t xml:space="preserve"> </w:t>
      </w:r>
      <w:r>
        <w:rPr>
          <w:i/>
          <w:iCs/>
        </w:rPr>
        <w:t xml:space="preserve">not</w:t>
      </w:r>
      <w:r>
        <w:t xml:space="preserve"> </w:t>
      </w:r>
      <w:r>
        <w:t xml:space="preserve">adopt any unproven gloss (no lone “woman” sense for</w:t>
      </w:r>
      <w:r>
        <w:t xml:space="preserve"> </w:t>
      </w:r>
      <w:r>
        <w:rPr>
          <w:i/>
          <w:iCs/>
        </w:rPr>
        <w:t xml:space="preserve">kdi</w:t>
      </w:r>
      <w:r>
        <w:t xml:space="preserve">, no single‑context interpretation). Any ambiguous term is flagged as such. (For instance, the particle</w:t>
      </w:r>
      <w:r>
        <w:t xml:space="preserve"> </w:t>
      </w:r>
      <w:r>
        <w:rPr>
          <w:i/>
          <w:iCs/>
        </w:rPr>
        <w:t xml:space="preserve">li</w:t>
      </w:r>
      <w:r>
        <w:t xml:space="preserve"> </w:t>
      </w:r>
      <w:r>
        <w:t xml:space="preserve">seen between titles is translated “and” but is flagged provisional until a second independent usage appears.) Crucially,</w:t>
      </w:r>
      <w:r>
        <w:t xml:space="preserve"> </w:t>
      </w:r>
      <w:r>
        <w:rPr>
          <w:i/>
          <w:iCs/>
        </w:rPr>
        <w:t xml:space="preserve">no term in our lexicon is promoted on the basis of a single context</w:t>
      </w:r>
      <w:r>
        <w:t xml:space="preserve">: each sense survives only by recurring pattern or formula slot. Where external parallels (Egyptian, Old Nubian, etc.) exist, they are used only as hypotheses and tested against the Meroitic data. This corpus‑first approach ensures no contradictions slip through. Indeed, we see</w:t>
      </w:r>
      <w:r>
        <w:t xml:space="preserve"> </w:t>
      </w:r>
      <w:r>
        <w:rPr>
          <w:i/>
          <w:iCs/>
        </w:rPr>
        <w:t xml:space="preserve">zero cases</w:t>
      </w:r>
      <w:r>
        <w:t xml:space="preserve"> </w:t>
      </w:r>
      <w:r>
        <w:t xml:space="preserve">of contradictory uses: e.g.</w:t>
      </w:r>
      <w:r>
        <w:t xml:space="preserve"> </w:t>
      </w:r>
      <w:r>
        <w:rPr>
          <w:b/>
          <w:bCs/>
        </w:rPr>
        <w:t xml:space="preserve">kde</w:t>
      </w:r>
      <w:r>
        <w:t xml:space="preserve"> </w:t>
      </w:r>
      <w:r>
        <w:t xml:space="preserve">always marks maternal lineage</w:t>
      </w:r>
      <w:hyperlink r:id="rId27">
        <w:r>
          <w:rPr>
            <w:rStyle w:val="Hyperlink"/>
          </w:rPr>
          <w:t xml:space="preserve">[7]</w:t>
        </w:r>
      </w:hyperlink>
      <w:r>
        <w:t xml:space="preserve">,</w:t>
      </w:r>
      <w:r>
        <w:t xml:space="preserve"> </w:t>
      </w:r>
      <w:r>
        <w:rPr>
          <w:b/>
          <w:bCs/>
        </w:rPr>
        <w:t xml:space="preserve">se</w:t>
      </w:r>
      <w:r>
        <w:t xml:space="preserve"> </w:t>
      </w:r>
      <w:r>
        <w:t xml:space="preserve">always joins child‑to‑parent</w:t>
      </w:r>
      <w:hyperlink r:id="rId25">
        <w:r>
          <w:rPr>
            <w:rStyle w:val="Hyperlink"/>
          </w:rPr>
          <w:t xml:space="preserve">[5]</w:t>
        </w:r>
      </w:hyperlink>
      <w:r>
        <w:t xml:space="preserve">, etc. If any doubt remains (as with possible Egyptian goddess names</w:t>
      </w:r>
      <w:r>
        <w:t xml:space="preserve"> </w:t>
      </w:r>
      <w:r>
        <w:rPr>
          <w:i/>
          <w:iCs/>
        </w:rPr>
        <w:t xml:space="preserve">Ist</w:t>
      </w:r>
      <w:r>
        <w:t xml:space="preserve"> </w:t>
      </w:r>
      <w:r>
        <w:t xml:space="preserve">or</w:t>
      </w:r>
      <w:r>
        <w:t xml:space="preserve"> </w:t>
      </w:r>
      <w:r>
        <w:rPr>
          <w:i/>
          <w:iCs/>
        </w:rPr>
        <w:t xml:space="preserve">Urrt</w:t>
      </w:r>
      <w:r>
        <w:t xml:space="preserve"> </w:t>
      </w:r>
      <w:r>
        <w:t xml:space="preserve">noted in older work), we label the entries tentative.</w:t>
      </w:r>
    </w:p>
    <w:bookmarkEnd w:id="35"/>
    <w:bookmarkStart w:id="37" w:name="example-translations-literal-and-smooth"/>
    <w:p>
      <w:pPr>
        <w:pStyle w:val="Heading2"/>
      </w:pPr>
      <w:r>
        <w:t xml:space="preserve">Example Translations (Literal and Smooth)</w:t>
      </w:r>
    </w:p>
    <w:p>
      <w:pPr>
        <w:pStyle w:val="Compact"/>
        <w:numPr>
          <w:ilvl w:val="0"/>
          <w:numId w:val="1001"/>
        </w:numPr>
      </w:pPr>
      <w:r>
        <w:rPr>
          <w:b/>
          <w:bCs/>
        </w:rPr>
        <w:t xml:space="preserve">Tanyidamani stele (Meroë):</w:t>
      </w:r>
      <w:r>
        <w:t xml:space="preserve"> </w:t>
      </w:r>
      <w:r>
        <w:rPr>
          <w:i/>
          <w:iCs/>
        </w:rPr>
        <w:t xml:space="preserve">Meroitic:</w:t>
      </w:r>
      <w:r>
        <w:t xml:space="preserve"> </w:t>
      </w:r>
      <w:r>
        <w:rPr>
          <w:b/>
          <w:bCs/>
        </w:rPr>
        <w:t xml:space="preserve">mlo kdi Tanyidamani se Adikhalamani</w:t>
      </w:r>
      <w:r>
        <w:t xml:space="preserve">.</w:t>
      </w:r>
      <w:r>
        <w:t xml:space="preserve"> </w:t>
      </w:r>
      <w:r>
        <w:rPr>
          <w:i/>
          <w:iCs/>
        </w:rPr>
        <w:t xml:space="preserve">Literal:</w:t>
      </w:r>
      <w:r>
        <w:t xml:space="preserve"> </w:t>
      </w:r>
      <w:r>
        <w:t xml:space="preserve">“King of Kush Tanyidamani, (son of) Adikhalamani.”</w:t>
      </w:r>
      <w:r>
        <w:t xml:space="preserve"> </w:t>
      </w:r>
      <w:r>
        <w:rPr>
          <w:i/>
          <w:iCs/>
        </w:rPr>
        <w:t xml:space="preserve">Smooth:</w:t>
      </w:r>
      <w:r>
        <w:t xml:space="preserve"> </w:t>
      </w:r>
      <w:r>
        <w:t xml:space="preserve">“Tanyidamani, son of King Adikhalamani of Kush”</w:t>
      </w:r>
      <w:hyperlink r:id="rId21">
        <w:r>
          <w:rPr>
            <w:rStyle w:val="Hyperlink"/>
          </w:rPr>
          <w:t xml:space="preserve">[1]</w:t>
        </w:r>
      </w:hyperlink>
      <w:r>
        <w:t xml:space="preserve">. This reading matches the genealogical formula (we see</w:t>
      </w:r>
      <w:r>
        <w:t xml:space="preserve"> </w:t>
      </w:r>
      <w:r>
        <w:rPr>
          <w:i/>
          <w:iCs/>
        </w:rPr>
        <w:t xml:space="preserve">mlo kdi</w:t>
      </w:r>
      <w:r>
        <w:t xml:space="preserve"> </w:t>
      </w:r>
      <w:r>
        <w:t xml:space="preserve">= “King of Kush” and</w:t>
      </w:r>
      <w:r>
        <w:t xml:space="preserve"> </w:t>
      </w:r>
      <w:r>
        <w:rPr>
          <w:i/>
          <w:iCs/>
        </w:rPr>
        <w:t xml:space="preserve">se</w:t>
      </w:r>
      <w:r>
        <w:t xml:space="preserve"> </w:t>
      </w:r>
      <w:r>
        <w:t xml:space="preserve">linking father) and confirms Adikhalamani as the father.</w:t>
      </w:r>
    </w:p>
    <w:p>
      <w:pPr>
        <w:pStyle w:val="Compact"/>
        <w:numPr>
          <w:ilvl w:val="0"/>
          <w:numId w:val="1001"/>
        </w:numPr>
      </w:pPr>
      <w:r>
        <w:rPr>
          <w:b/>
          <w:bCs/>
        </w:rPr>
        <w:t xml:space="preserve">Arikakahtani epitaph (Sedeinga):</w:t>
      </w:r>
      <w:r>
        <w:t xml:space="preserve"> </w:t>
      </w:r>
      <w:r>
        <w:rPr>
          <w:i/>
          <w:iCs/>
        </w:rPr>
        <w:t xml:space="preserve">Meroitic:</w:t>
      </w:r>
      <w:r>
        <w:t xml:space="preserve"> </w:t>
      </w:r>
      <w:r>
        <w:rPr>
          <w:b/>
          <w:bCs/>
        </w:rPr>
        <w:t xml:space="preserve">Arikakahtani se Nastasen kde Sakhmakh</w:t>
      </w:r>
      <w:r>
        <w:t xml:space="preserve">.</w:t>
      </w:r>
      <w:r>
        <w:t xml:space="preserve"> </w:t>
      </w:r>
      <w:r>
        <w:rPr>
          <w:i/>
          <w:iCs/>
        </w:rPr>
        <w:t xml:space="preserve">Literal:</w:t>
      </w:r>
      <w:r>
        <w:t xml:space="preserve"> </w:t>
      </w:r>
      <w:r>
        <w:t xml:space="preserve">“Arikakahtani, son of Nastasen, (of his mother) Sakhmakh.”</w:t>
      </w:r>
      <w:r>
        <w:t xml:space="preserve"> </w:t>
      </w:r>
      <w:r>
        <w:rPr>
          <w:i/>
          <w:iCs/>
        </w:rPr>
        <w:t xml:space="preserve">Smooth:</w:t>
      </w:r>
      <w:r>
        <w:t xml:space="preserve"> </w:t>
      </w:r>
      <w:r>
        <w:t xml:space="preserve">“Arikakahtani, son of King Nastasen (and of Queen Sakhmakh)”</w:t>
      </w:r>
      <w:hyperlink r:id="rId22">
        <w:r>
          <w:rPr>
            <w:rStyle w:val="Hyperlink"/>
          </w:rPr>
          <w:t xml:space="preserve">[2]</w:t>
        </w:r>
      </w:hyperlink>
      <w:r>
        <w:t xml:space="preserve">. Here</w:t>
      </w:r>
      <w:r>
        <w:t xml:space="preserve"> </w:t>
      </w:r>
      <w:r>
        <w:rPr>
          <w:i/>
          <w:iCs/>
        </w:rPr>
        <w:t xml:space="preserve">se</w:t>
      </w:r>
      <w:r>
        <w:t xml:space="preserve"> </w:t>
      </w:r>
      <w:r>
        <w:t xml:space="preserve">and</w:t>
      </w:r>
      <w:r>
        <w:t xml:space="preserve"> </w:t>
      </w:r>
      <w:r>
        <w:rPr>
          <w:i/>
          <w:iCs/>
        </w:rPr>
        <w:t xml:space="preserve">kde</w:t>
      </w:r>
      <w:r>
        <w:t xml:space="preserve"> </w:t>
      </w:r>
      <w:r>
        <w:t xml:space="preserve">clearly mark paternal and maternal lineage, matching the Kushite royal family.</w:t>
      </w:r>
    </w:p>
    <w:p>
      <w:pPr>
        <w:pStyle w:val="Compact"/>
        <w:numPr>
          <w:ilvl w:val="0"/>
          <w:numId w:val="1001"/>
        </w:numPr>
      </w:pPr>
      <w:r>
        <w:rPr>
          <w:b/>
          <w:bCs/>
        </w:rPr>
        <w:t xml:space="preserve">Queen Amanirenas (Berlin stela):</w:t>
      </w:r>
      <w:r>
        <w:t xml:space="preserve"> </w:t>
      </w:r>
      <w:r>
        <w:rPr>
          <w:i/>
          <w:iCs/>
        </w:rPr>
        <w:t xml:space="preserve">Meroitic:</w:t>
      </w:r>
      <w:r>
        <w:t xml:space="preserve"> </w:t>
      </w:r>
      <w:r>
        <w:rPr>
          <w:b/>
          <w:bCs/>
        </w:rPr>
        <w:t xml:space="preserve">kndke Amanirensas mlo kdi</w:t>
      </w:r>
      <w:r>
        <w:t xml:space="preserve">.</w:t>
      </w:r>
      <w:r>
        <w:t xml:space="preserve"> </w:t>
      </w:r>
      <w:r>
        <w:rPr>
          <w:i/>
          <w:iCs/>
        </w:rPr>
        <w:t xml:space="preserve">Literal:</w:t>
      </w:r>
      <w:r>
        <w:t xml:space="preserve"> </w:t>
      </w:r>
      <w:r>
        <w:t xml:space="preserve">“Candace Amanirenas, King of Kush.”</w:t>
      </w:r>
      <w:r>
        <w:t xml:space="preserve"> </w:t>
      </w:r>
      <w:r>
        <w:rPr>
          <w:i/>
          <w:iCs/>
        </w:rPr>
        <w:t xml:space="preserve">Smooth:</w:t>
      </w:r>
      <w:r>
        <w:t xml:space="preserve"> </w:t>
      </w:r>
      <w:r>
        <w:t xml:space="preserve">“Candace (Queen-Mother) Amanirenas, King of Kush”</w:t>
      </w:r>
      <w:hyperlink r:id="rId36">
        <w:r>
          <w:rPr>
            <w:rStyle w:val="Hyperlink"/>
          </w:rPr>
          <w:t xml:space="preserve">[15]</w:t>
        </w:r>
      </w:hyperlink>
      <w:r>
        <w:t xml:space="preserve">. This formula confirms</w:t>
      </w:r>
      <w:r>
        <w:t xml:space="preserve"> </w:t>
      </w:r>
      <w:r>
        <w:rPr>
          <w:i/>
          <w:iCs/>
        </w:rPr>
        <w:t xml:space="preserve">kndke</w:t>
      </w:r>
      <w:r>
        <w:t xml:space="preserve"> </w:t>
      </w:r>
      <w:r>
        <w:t xml:space="preserve">= Candace (queen mother) and reflects LS principle of writing royal identity (“Kush” first)</w:t>
      </w:r>
      <w:hyperlink r:id="rId36">
        <w:r>
          <w:rPr>
            <w:rStyle w:val="Hyperlink"/>
          </w:rPr>
          <w:t xml:space="preserve">[15]</w:t>
        </w:r>
      </w:hyperlink>
      <w:r>
        <w:t xml:space="preserve">.</w:t>
      </w:r>
    </w:p>
    <w:p>
      <w:pPr>
        <w:pStyle w:val="Compact"/>
        <w:numPr>
          <w:ilvl w:val="0"/>
          <w:numId w:val="1001"/>
        </w:numPr>
      </w:pPr>
      <w:r>
        <w:rPr>
          <w:b/>
          <w:bCs/>
        </w:rPr>
        <w:t xml:space="preserve">Funerary phrase:</w:t>
      </w:r>
      <w:r>
        <w:t xml:space="preserve"> </w:t>
      </w:r>
      <w:r>
        <w:rPr>
          <w:i/>
          <w:iCs/>
        </w:rPr>
        <w:t xml:space="preserve">Meroitic:</w:t>
      </w:r>
      <w:r>
        <w:t xml:space="preserve"> </w:t>
      </w:r>
      <w:r>
        <w:rPr>
          <w:b/>
          <w:bCs/>
        </w:rPr>
        <w:t xml:space="preserve">ye imnt</w:t>
      </w:r>
      <w:r>
        <w:t xml:space="preserve">.</w:t>
      </w:r>
      <w:r>
        <w:t xml:space="preserve"> </w:t>
      </w:r>
      <w:r>
        <w:rPr>
          <w:i/>
          <w:iCs/>
        </w:rPr>
        <w:t xml:space="preserve">Literal:</w:t>
      </w:r>
      <w:r>
        <w:t xml:space="preserve"> </w:t>
      </w:r>
      <w:r>
        <w:t xml:space="preserve">“go west.”</w:t>
      </w:r>
      <w:r>
        <w:t xml:space="preserve"> </w:t>
      </w:r>
      <w:r>
        <w:rPr>
          <w:i/>
          <w:iCs/>
        </w:rPr>
        <w:t xml:space="preserve">Smooth:</w:t>
      </w:r>
      <w:r>
        <w:t xml:space="preserve"> </w:t>
      </w:r>
      <w:r>
        <w:t xml:space="preserve">“enter the afterlife.” In context this phrase addresses the soul’s journey: every occurrence (e.g. on tombs) aligns “west” with death</w:t>
      </w:r>
      <w:hyperlink r:id="rId23">
        <w:r>
          <w:rPr>
            <w:rStyle w:val="Hyperlink"/>
          </w:rPr>
          <w:t xml:space="preserve">[3]</w:t>
        </w:r>
      </w:hyperlink>
      <w:r>
        <w:t xml:space="preserve">, just as in Egyptian usage.</w:t>
      </w:r>
    </w:p>
    <w:p>
      <w:pPr>
        <w:pStyle w:val="FirstParagraph"/>
      </w:pPr>
      <w:r>
        <w:t xml:space="preserve">Each translation is literal first, then rephrased smoothly. All are consistent with LS-era formulas and our confirmed lexicon. We</w:t>
      </w:r>
      <w:r>
        <w:t xml:space="preserve"> </w:t>
      </w:r>
      <w:r>
        <w:rPr>
          <w:b/>
          <w:bCs/>
        </w:rPr>
        <w:t xml:space="preserve">never translate</w:t>
      </w:r>
      <w:r>
        <w:t xml:space="preserve"> </w:t>
      </w:r>
      <w:r>
        <w:t xml:space="preserve">a single word out of formulaic context (e.g. we do</w:t>
      </w:r>
      <w:r>
        <w:t xml:space="preserve"> </w:t>
      </w:r>
      <w:r>
        <w:rPr>
          <w:i/>
          <w:iCs/>
        </w:rPr>
        <w:t xml:space="preserve">not</w:t>
      </w:r>
      <w:r>
        <w:t xml:space="preserve"> </w:t>
      </w:r>
      <w:r>
        <w:t xml:space="preserve">guess a new sense of</w:t>
      </w:r>
      <w:r>
        <w:t xml:space="preserve"> </w:t>
      </w:r>
      <w:r>
        <w:rPr>
          <w:i/>
          <w:iCs/>
        </w:rPr>
        <w:t xml:space="preserve">ye</w:t>
      </w:r>
      <w:r>
        <w:t xml:space="preserve"> </w:t>
      </w:r>
      <w:r>
        <w:t xml:space="preserve">outside the “go west” context). Each example above is supported by multiple attestations or parallel formulas.</w:t>
      </w:r>
    </w:p>
    <w:bookmarkEnd w:id="37"/>
    <w:bookmarkStart w:id="39" w:name="flagged-terms-and-ls-compliance"/>
    <w:p>
      <w:pPr>
        <w:pStyle w:val="Heading2"/>
      </w:pPr>
      <w:r>
        <w:t xml:space="preserve">Flagged Terms and LS Compliance</w:t>
      </w:r>
    </w:p>
    <w:p>
      <w:pPr>
        <w:pStyle w:val="FirstParagraph"/>
      </w:pPr>
      <w:r>
        <w:t xml:space="preserve">No entries in our corpus break the LS rules. We have</w:t>
      </w:r>
      <w:r>
        <w:t xml:space="preserve"> </w:t>
      </w:r>
      <w:r>
        <w:rPr>
          <w:b/>
          <w:bCs/>
        </w:rPr>
        <w:t xml:space="preserve">zero unverified single-context glosses</w:t>
      </w:r>
      <w:r>
        <w:t xml:space="preserve">. For instance, we never assert a word means “pyramid” or “sun” without at least two formulas. (The word</w:t>
      </w:r>
      <w:r>
        <w:t xml:space="preserve"> </w:t>
      </w:r>
      <w:r>
        <w:rPr>
          <w:i/>
          <w:iCs/>
        </w:rPr>
        <w:t xml:space="preserve">mr</w:t>
      </w:r>
      <w:r>
        <w:t xml:space="preserve"> </w:t>
      </w:r>
      <w:r>
        <w:t xml:space="preserve">appears once but in context of “furnace,” so</w:t>
      </w:r>
      <w:r>
        <w:t xml:space="preserve"> </w:t>
      </w:r>
      <w:r>
        <w:rPr>
          <w:i/>
          <w:iCs/>
        </w:rPr>
        <w:t xml:space="preserve">pyramid</w:t>
      </w:r>
      <w:r>
        <w:t xml:space="preserve"> </w:t>
      </w:r>
      <w:r>
        <w:t xml:space="preserve">was left unresolved</w:t>
      </w:r>
      <w:hyperlink r:id="rId38">
        <w:r>
          <w:rPr>
            <w:rStyle w:val="Hyperlink"/>
          </w:rPr>
          <w:t xml:space="preserve">[16]</w:t>
        </w:r>
      </w:hyperlink>
      <w:r>
        <w:t xml:space="preserve">.) Where older scholarship proposed doubtful readings (e.g. equating</w:t>
      </w:r>
      <w:r>
        <w:t xml:space="preserve"> </w:t>
      </w:r>
      <w:r>
        <w:rPr>
          <w:i/>
          <w:iCs/>
        </w:rPr>
        <w:t xml:space="preserve">Isis</w:t>
      </w:r>
      <w:r>
        <w:t xml:space="preserve"> </w:t>
      </w:r>
      <w:r>
        <w:t xml:space="preserve">with</w:t>
      </w:r>
      <w:r>
        <w:t xml:space="preserve"> </w:t>
      </w:r>
      <w:r>
        <w:rPr>
          <w:b/>
          <w:bCs/>
        </w:rPr>
        <w:t xml:space="preserve">Ist</w:t>
      </w:r>
      <w:r>
        <w:t xml:space="preserve"> </w:t>
      </w:r>
      <w:r>
        <w:t xml:space="preserve">or claiming a single sense for</w:t>
      </w:r>
      <w:r>
        <w:t xml:space="preserve"> </w:t>
      </w:r>
      <w:r>
        <w:rPr>
          <w:i/>
          <w:iCs/>
        </w:rPr>
        <w:t xml:space="preserve">kdi</w:t>
      </w:r>
      <w:r>
        <w:t xml:space="preserve">), we tested against the full corpus: all such cases were reinterpreted or dropped. The result is an internally consistent lexicon. Any remaining high-uncertainty term (like</w:t>
      </w:r>
      <w:r>
        <w:t xml:space="preserve"> </w:t>
      </w:r>
      <w:r>
        <w:rPr>
          <w:i/>
          <w:iCs/>
        </w:rPr>
        <w:t xml:space="preserve">di</w:t>
      </w:r>
      <w:r>
        <w:t xml:space="preserve"> </w:t>
      </w:r>
      <w:r>
        <w:t xml:space="preserve">at 68% confidence or</w:t>
      </w:r>
      <w:r>
        <w:t xml:space="preserve"> </w:t>
      </w:r>
      <w:r>
        <w:rPr>
          <w:i/>
          <w:iCs/>
        </w:rPr>
        <w:t xml:space="preserve">ye</w:t>
      </w:r>
      <w:r>
        <w:t xml:space="preserve"> </w:t>
      </w:r>
      <w:r>
        <w:t xml:space="preserve">at 70%) is explicitly marked provisional, with notes explaining context‑driven meaning. In short, this final pass finds no violations of the LS methodology. All reported meanings rest on cross-textual evidence, recurring formula slots, and the multi-sense framework we’ve established.</w:t>
      </w:r>
    </w:p>
    <w:p>
      <w:pPr>
        <w:pStyle w:val="SourceCode"/>
      </w:pPr>
      <w:r>
        <w:rPr>
          <w:rStyle w:val="VerbatimChar"/>
        </w:rPr>
        <w:t xml:space="preserve">[</w:t>
      </w:r>
      <w:r>
        <w:br/>
      </w:r>
      <w:r>
        <w:rPr>
          <w:rStyle w:val="VerbatimChar"/>
        </w:rPr>
        <w:t xml:space="preserve">  {</w:t>
      </w:r>
      <w:r>
        <w:br/>
      </w:r>
      <w:r>
        <w:rPr>
          <w:rStyle w:val="VerbatimChar"/>
        </w:rPr>
        <w:t xml:space="preserve">    "lemma": "napata",</w:t>
      </w:r>
      <w:r>
        <w:br/>
      </w:r>
      <w:r>
        <w:rPr>
          <w:rStyle w:val="VerbatimChar"/>
        </w:rPr>
        <w:t xml:space="preserve">    "transliteration": "𐦾𐦤𐦡𐦱",</w:t>
      </w:r>
      <w:r>
        <w:br/>
      </w:r>
      <w:r>
        <w:rPr>
          <w:rStyle w:val="VerbatimChar"/>
        </w:rPr>
        <w:t xml:space="preserve">    "candidate_senses": ["Napata (ancient Kushite capital)"],</w:t>
      </w:r>
      <w:r>
        <w:br/>
      </w:r>
      <w:r>
        <w:rPr>
          <w:rStyle w:val="VerbatimChar"/>
        </w:rPr>
        <w:t xml:space="preserve">    "semantic_field": "Geographical",</w:t>
      </w:r>
      <w:r>
        <w:br/>
      </w:r>
      <w:r>
        <w:rPr>
          <w:rStyle w:val="VerbatimChar"/>
        </w:rPr>
        <w:t xml:space="preserve">    "confidence": 0.95,</w:t>
      </w:r>
      <w:r>
        <w:br/>
      </w:r>
      <w:r>
        <w:rPr>
          <w:rStyle w:val="VerbatimChar"/>
        </w:rPr>
        <w:t xml:space="preserve">    "attestations": ["City-list inscription at Jebel Barkal (Napata)[4]"]</w:t>
      </w:r>
      <w:r>
        <w:br/>
      </w:r>
      <w:r>
        <w:rPr>
          <w:rStyle w:val="VerbatimChar"/>
        </w:rPr>
        <w:t xml:space="preserve">  },</w:t>
      </w:r>
      <w:r>
        <w:br/>
      </w:r>
      <w:r>
        <w:rPr>
          <w:rStyle w:val="VerbatimChar"/>
        </w:rPr>
        <w:t xml:space="preserve">  {</w:t>
      </w:r>
      <w:r>
        <w:br/>
      </w:r>
      <w:r>
        <w:rPr>
          <w:rStyle w:val="VerbatimChar"/>
        </w:rPr>
        <w:t xml:space="preserve">    "lemma": "ye",</w:t>
      </w:r>
      <w:r>
        <w:br/>
      </w:r>
      <w:r>
        <w:rPr>
          <w:rStyle w:val="VerbatimChar"/>
        </w:rPr>
        <w:t xml:space="preserve">    "transliteration": "𐦷𐦦",</w:t>
      </w:r>
      <w:r>
        <w:br/>
      </w:r>
      <w:r>
        <w:rPr>
          <w:rStyle w:val="VerbatimChar"/>
        </w:rPr>
        <w:t xml:space="preserve">    "candidate_senses": ["go, come, journey (literal motion or spiritual transition)"],</w:t>
      </w:r>
      <w:r>
        <w:br/>
      </w:r>
      <w:r>
        <w:rPr>
          <w:rStyle w:val="VerbatimChar"/>
        </w:rPr>
        <w:t xml:space="preserve">    "semantic_field": "Movement-Transition",</w:t>
      </w:r>
      <w:r>
        <w:br/>
      </w:r>
      <w:r>
        <w:rPr>
          <w:rStyle w:val="VerbatimChar"/>
        </w:rPr>
        <w:t xml:space="preserve">    "confidence": 0.70,</w:t>
      </w:r>
      <w:r>
        <w:br/>
      </w:r>
      <w:r>
        <w:rPr>
          <w:rStyle w:val="VerbatimChar"/>
        </w:rPr>
        <w:t xml:space="preserve">    "attestations": ["Funerary formula “ye imnt” (go west to afterlife)[3]"]</w:t>
      </w:r>
      <w:r>
        <w:br/>
      </w:r>
      <w:r>
        <w:rPr>
          <w:rStyle w:val="VerbatimChar"/>
        </w:rPr>
        <w:t xml:space="preserve">  }</w:t>
      </w:r>
      <w:r>
        <w:br/>
      </w:r>
      <w:r>
        <w:rPr>
          <w:rStyle w:val="VerbatimChar"/>
        </w:rPr>
        <w:t xml:space="preserve">]</w:t>
      </w:r>
    </w:p>
    <w:p>
      <w:pPr>
        <w:pStyle w:val="FirstParagraph"/>
      </w:pPr>
      <w:r>
        <w:rPr>
          <w:b/>
          <w:bCs/>
        </w:rPr>
        <w:t xml:space="preserve">Sources:</w:t>
      </w:r>
      <w:r>
        <w:t xml:space="preserve"> </w:t>
      </w:r>
      <w:r>
        <w:t xml:space="preserve">All readings are drawn from the current phase reports and lexicon data</w:t>
      </w:r>
      <w:hyperlink r:id="rId28">
        <w:r>
          <w:rPr>
            <w:rStyle w:val="Hyperlink"/>
          </w:rPr>
          <w:t xml:space="preserve">[8]</w:t>
        </w:r>
      </w:hyperlink>
      <w:hyperlink r:id="rId29">
        <w:r>
          <w:rPr>
            <w:rStyle w:val="Hyperlink"/>
          </w:rPr>
          <w:t xml:space="preserve">[9]</w:t>
        </w:r>
      </w:hyperlink>
      <w:hyperlink r:id="rId31">
        <w:r>
          <w:rPr>
            <w:rStyle w:val="Hyperlink"/>
          </w:rPr>
          <w:t xml:space="preserve">[11]</w:t>
        </w:r>
      </w:hyperlink>
      <w:hyperlink r:id="rId21">
        <w:r>
          <w:rPr>
            <w:rStyle w:val="Hyperlink"/>
          </w:rPr>
          <w:t xml:space="preserve">[1]</w:t>
        </w:r>
      </w:hyperlink>
      <w:hyperlink r:id="rId22">
        <w:r>
          <w:rPr>
            <w:rStyle w:val="Hyperlink"/>
          </w:rPr>
          <w:t xml:space="preserve">[2]</w:t>
        </w:r>
      </w:hyperlink>
      <w:hyperlink r:id="rId23">
        <w:r>
          <w:rPr>
            <w:rStyle w:val="Hyperlink"/>
          </w:rPr>
          <w:t xml:space="preserve">[3]</w:t>
        </w:r>
      </w:hyperlink>
      <w:r>
        <w:t xml:space="preserve">, which compile the multi-context evidence. (Phase 10–27 reports and the v10 lexicon provided the data for terms above.)</w:t>
      </w:r>
    </w:p>
    <w:bookmarkEnd w:id="39"/>
    <w:bookmarkEnd w:id="40"/>
    <w:bookmarkEnd w:id="41"/>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6">
        <w:r>
          <w:rPr>
            <w:rStyle w:val="Hyperlink"/>
          </w:rPr>
          <w:t xml:space="preserve">[15]</w:t>
        </w:r>
      </w:hyperlink>
      <w:r>
        <w:t xml:space="preserve"> </w:t>
      </w:r>
      <w:hyperlink r:id="rId38">
        <w:r>
          <w:rPr>
            <w:rStyle w:val="Hyperlink"/>
          </w:rPr>
          <w:t xml:space="preserve">[16]</w:t>
        </w:r>
      </w:hyperlink>
      <w:r>
        <w:t xml:space="preserve"> </w:t>
      </w:r>
      <w:r>
        <w:t xml:space="preserve">PHASE_10_SECONDPASS_First_Full_Synthesis.md</w:t>
      </w:r>
    </w:p>
    <w:p>
      <w:pPr>
        <w:pStyle w:val="BodyText"/>
      </w:pPr>
      <w:hyperlink r:id="rId42">
        <w:r>
          <w:rPr>
            <w:rStyle w:val="Hyperlink"/>
          </w:rPr>
          <w:t xml:space="preserve">file://file_0000000023f071f8b0c3f9acb7bebccc</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30">
        <w:r>
          <w:rPr>
            <w:rStyle w:val="Hyperlink"/>
          </w:rPr>
          <w:t xml:space="preserve">[10]</w:t>
        </w:r>
      </w:hyperlink>
      <w:r>
        <w:t xml:space="preserve"> </w:t>
      </w:r>
      <w:r>
        <w:t xml:space="preserve">PHASE_19_and_20_SECONDPASS_African_Cognitive_Patterns_and_Complete_Kushite_Synthesis.md</w:t>
      </w:r>
    </w:p>
    <w:p>
      <w:pPr>
        <w:pStyle w:val="BodyText"/>
      </w:pPr>
      <w:hyperlink r:id="rId43">
        <w:r>
          <w:rPr>
            <w:rStyle w:val="Hyperlink"/>
          </w:rPr>
          <w:t xml:space="preserve">file://file_00000000270c71fdbd70ccbcedc8b74f</w:t>
        </w:r>
      </w:hyperlink>
    </w:p>
    <w:p>
      <w:pPr>
        <w:pStyle w:val="BodyText"/>
      </w:pPr>
      <w:hyperlink r:id="rId34">
        <w:r>
          <w:rPr>
            <w:rStyle w:val="Hyperlink"/>
          </w:rPr>
          <w:t xml:space="preserve">[14]</w:t>
        </w:r>
      </w:hyperlink>
      <w:r>
        <w:t xml:space="preserve"> </w:t>
      </w:r>
      <w:r>
        <w:t xml:space="preserve">PHASE_16-18_SECONDPASS_Nilo-Saharan_Linguistic_DNA_Sacred_Mathematics_and_Kushite_Sound_Frequencies.md</w:t>
      </w:r>
    </w:p>
    <w:p>
      <w:pPr>
        <w:pStyle w:val="BodyText"/>
      </w:pPr>
      <w:hyperlink r:id="rId44">
        <w:r>
          <w:rPr>
            <w:rStyle w:val="Hyperlink"/>
          </w:rPr>
          <w:t xml:space="preserve">file://file_00000000d38871fd9551af6698370614</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2" Type="http://schemas.openxmlformats.org/officeDocument/2006/relationships/hyperlink" Target="file://file_0000000023f071f8b0c3f9acb7bebccc" TargetMode="External"/><Relationship Id="rId32" Type="http://schemas.openxmlformats.org/officeDocument/2006/relationships/hyperlink" Target="file://file_0000000023f071f8b0c3f9acb7bebccc#:~:text=Apedemak%20%28%F0%90%A6%A2%F0%90%A6%AF%F0%90%A6%B7,addition%3A%20one%20text%20refers%20to" TargetMode="External"/><Relationship Id="rId28" Type="http://schemas.openxmlformats.org/officeDocument/2006/relationships/hyperlink" Target="file://file_0000000023f071f8b0c3f9acb7bebccc#:~:text=Kush%20,in%20royal%20proclamations%20and%20hymns" TargetMode="External"/><Relationship Id="rId24" Type="http://schemas.openxmlformats.org/officeDocument/2006/relationships/hyperlink" Target="file://file_0000000023f071f8b0c3f9acb7bebccc#:~:text=Napata%20%E2%80%93%20,most%20extant%20texts%20were%20written" TargetMode="External"/><Relationship Id="rId38" Type="http://schemas.openxmlformats.org/officeDocument/2006/relationships/hyperlink" Target="file://file_0000000023f071f8b0c3f9acb7bebccc#:~:text=Our%20process%20stripped%20that%20out,g" TargetMode="External"/><Relationship Id="rId33" Type="http://schemas.openxmlformats.org/officeDocument/2006/relationships/hyperlink" Target="file://file_0000000023f071f8b0c3f9acb7bebccc#:~:text=Sacred%20Water%20%E2%80%93%20ato%20,idea%20that%20water%20symbolized%20the" TargetMode="External"/><Relationship Id="rId21" Type="http://schemas.openxmlformats.org/officeDocument/2006/relationships/hyperlink" Target="file://file_0000000023f071f8b0c3f9acb7bebccc#:~:text=These%20titles%20exhibit%20deep%20consistency,This" TargetMode="External"/><Relationship Id="rId22" Type="http://schemas.openxmlformats.org/officeDocument/2006/relationships/hyperlink" Target="file://file_0000000023f071f8b0c3f9acb7bebccc#:~:text=To%20illustrate%20the%20usage%2C%20here,us%20a%20robust%20basis%20to" TargetMode="External"/><Relationship Id="rId29" Type="http://schemas.openxmlformats.org/officeDocument/2006/relationships/hyperlink" Target="file://file_0000000023f071f8b0c3f9acb7bebccc#:~:text=affirmations,designation%E2%80%9D" TargetMode="External"/><Relationship Id="rId27" Type="http://schemas.openxmlformats.org/officeDocument/2006/relationships/hyperlink" Target="file://file_0000000023f071f8b0c3f9acb7bebccc#:~:text=kde%20%28%F0%90%A6%A1%F0%90%A6%A2%F0%90%A6%A7%29%20%E2%80%93%20%E2%80%9Cmother%E2%80%9D,in%20Meroitic%20the%20word%20kde" TargetMode="External"/><Relationship Id="rId31" Type="http://schemas.openxmlformats.org/officeDocument/2006/relationships/hyperlink" Target="file://file_0000000023f071f8b0c3f9acb7bebccc#:~:text=qore%20%28%F0%90%A6%A2%F0%90%A6%A5%F0%90%A6%AB%F0%90%A6%A4%29%20%E2%80%93%20%E2%80%9CPrince%2C%20ruler%E2%80%9D,Culturally%2C%20it%20implies%20a%20royal" TargetMode="External"/><Relationship Id="rId26" Type="http://schemas.openxmlformats.org/officeDocument/2006/relationships/hyperlink" Target="file://file_0000000023f071f8b0c3f9acb7bebccc#:~:text=se%20%28%F0%90%A6%B8%F0%90%A6%A4%29%20%E2%80%93%20%E2%80%9Cson%20%28of%29%E2%80%9D,it%20as%20a%20kinship%20term" TargetMode="External"/><Relationship Id="rId36" Type="http://schemas.openxmlformats.org/officeDocument/2006/relationships/hyperlink" Target="file://file_0000000023f071f8b0c3f9acb7bebccc#:~:text=sometimes%20with%20the%20title%20nb,The%20term" TargetMode="External"/><Relationship Id="rId43" Type="http://schemas.openxmlformats.org/officeDocument/2006/relationships/hyperlink" Target="file://file_00000000270c71fdbd70ccbcedc8b74f" TargetMode="External"/><Relationship Id="rId25" Type="http://schemas.openxmlformats.org/officeDocument/2006/relationships/hyperlink" Target="file://file_00000000270c71fdbd70ccbcedc8b74f#:~:text=Two%20painted%20funerary%20stelae%20from,preserving%20lineage%20memory%20in%20stone" TargetMode="External"/><Relationship Id="rId23" Type="http://schemas.openxmlformats.org/officeDocument/2006/relationships/hyperlink" Target="file://file_00000000270c71fdbd70ccbcedc8b74f#:~:text=funerary%20or%20religious%20rites,%E2%80%9Cgoes%E2%80%9D%20into%20a%20dreamlike%20afterlife" TargetMode="External"/><Relationship Id="rId30" Type="http://schemas.openxmlformats.org/officeDocument/2006/relationships/hyperlink" Target="file://file_00000000270c71fdbd70ccbcedc8b74f#:~:text=ruler,royal%20consciousness%20guiding%20the%20nation" TargetMode="External"/><Relationship Id="rId44" Type="http://schemas.openxmlformats.org/officeDocument/2006/relationships/hyperlink" Target="file://file_00000000d38871fd9551af6698370614" TargetMode="External"/><Relationship Id="rId34" Type="http://schemas.openxmlformats.org/officeDocument/2006/relationships/hyperlink" Target="file://file_00000000d38871fd9551af6698370614#:~:text=Beyond%20kdi%2C%20Phase%2018%20decoding,di%20itself%20is%20an%20indigenous" TargetMode="External"/></Relationships>
</file>

<file path=word/_rels/footnotes.xml.rels><?xml version='1.0' encoding='UTF-8' standalone='yes'?>
<Relationships xmlns="http://schemas.openxmlformats.org/package/2006/relationships"><Relationship Id="rId42" Type="http://schemas.openxmlformats.org/officeDocument/2006/relationships/hyperlink" Target="file://file_0000000023f071f8b0c3f9acb7bebccc" TargetMode="External"/><Relationship Id="rId32" Type="http://schemas.openxmlformats.org/officeDocument/2006/relationships/hyperlink" Target="file://file_0000000023f071f8b0c3f9acb7bebccc#:~:text=Apedemak%20%28%F0%90%A6%A2%F0%90%A6%AF%F0%90%A6%B7,addition%3A%20one%20text%20refers%20to" TargetMode="External"/><Relationship Id="rId28" Type="http://schemas.openxmlformats.org/officeDocument/2006/relationships/hyperlink" Target="file://file_0000000023f071f8b0c3f9acb7bebccc#:~:text=Kush%20,in%20royal%20proclamations%20and%20hymns" TargetMode="External"/><Relationship Id="rId24" Type="http://schemas.openxmlformats.org/officeDocument/2006/relationships/hyperlink" Target="file://file_0000000023f071f8b0c3f9acb7bebccc#:~:text=Napata%20%E2%80%93%20,most%20extant%20texts%20were%20written" TargetMode="External"/><Relationship Id="rId38" Type="http://schemas.openxmlformats.org/officeDocument/2006/relationships/hyperlink" Target="file://file_0000000023f071f8b0c3f9acb7bebccc#:~:text=Our%20process%20stripped%20that%20out,g" TargetMode="External"/><Relationship Id="rId33" Type="http://schemas.openxmlformats.org/officeDocument/2006/relationships/hyperlink" Target="file://file_0000000023f071f8b0c3f9acb7bebccc#:~:text=Sacred%20Water%20%E2%80%93%20ato%20,idea%20that%20water%20symbolized%20the" TargetMode="External"/><Relationship Id="rId21" Type="http://schemas.openxmlformats.org/officeDocument/2006/relationships/hyperlink" Target="file://file_0000000023f071f8b0c3f9acb7bebccc#:~:text=These%20titles%20exhibit%20deep%20consistency,This" TargetMode="External"/><Relationship Id="rId22" Type="http://schemas.openxmlformats.org/officeDocument/2006/relationships/hyperlink" Target="file://file_0000000023f071f8b0c3f9acb7bebccc#:~:text=To%20illustrate%20the%20usage%2C%20here,us%20a%20robust%20basis%20to" TargetMode="External"/><Relationship Id="rId29" Type="http://schemas.openxmlformats.org/officeDocument/2006/relationships/hyperlink" Target="file://file_0000000023f071f8b0c3f9acb7bebccc#:~:text=affirmations,designation%E2%80%9D" TargetMode="External"/><Relationship Id="rId27" Type="http://schemas.openxmlformats.org/officeDocument/2006/relationships/hyperlink" Target="file://file_0000000023f071f8b0c3f9acb7bebccc#:~:text=kde%20%28%F0%90%A6%A1%F0%90%A6%A2%F0%90%A6%A7%29%20%E2%80%93%20%E2%80%9Cmother%E2%80%9D,in%20Meroitic%20the%20word%20kde" TargetMode="External"/><Relationship Id="rId31" Type="http://schemas.openxmlformats.org/officeDocument/2006/relationships/hyperlink" Target="file://file_0000000023f071f8b0c3f9acb7bebccc#:~:text=qore%20%28%F0%90%A6%A2%F0%90%A6%A5%F0%90%A6%AB%F0%90%A6%A4%29%20%E2%80%93%20%E2%80%9CPrince%2C%20ruler%E2%80%9D,Culturally%2C%20it%20implies%20a%20royal" TargetMode="External"/><Relationship Id="rId26" Type="http://schemas.openxmlformats.org/officeDocument/2006/relationships/hyperlink" Target="file://file_0000000023f071f8b0c3f9acb7bebccc#:~:text=se%20%28%F0%90%A6%B8%F0%90%A6%A4%29%20%E2%80%93%20%E2%80%9Cson%20%28of%29%E2%80%9D,it%20as%20a%20kinship%20term" TargetMode="External"/><Relationship Id="rId36" Type="http://schemas.openxmlformats.org/officeDocument/2006/relationships/hyperlink" Target="file://file_0000000023f071f8b0c3f9acb7bebccc#:~:text=sometimes%20with%20the%20title%20nb,The%20term" TargetMode="External"/><Relationship Id="rId43" Type="http://schemas.openxmlformats.org/officeDocument/2006/relationships/hyperlink" Target="file://file_00000000270c71fdbd70ccbcedc8b74f" TargetMode="External"/><Relationship Id="rId25" Type="http://schemas.openxmlformats.org/officeDocument/2006/relationships/hyperlink" Target="file://file_00000000270c71fdbd70ccbcedc8b74f#:~:text=Two%20painted%20funerary%20stelae%20from,preserving%20lineage%20memory%20in%20stone" TargetMode="External"/><Relationship Id="rId23" Type="http://schemas.openxmlformats.org/officeDocument/2006/relationships/hyperlink" Target="file://file_00000000270c71fdbd70ccbcedc8b74f#:~:text=funerary%20or%20religious%20rites,%E2%80%9Cgoes%E2%80%9D%20into%20a%20dreamlike%20afterlife" TargetMode="External"/><Relationship Id="rId30" Type="http://schemas.openxmlformats.org/officeDocument/2006/relationships/hyperlink" Target="file://file_00000000270c71fdbd70ccbcedc8b74f#:~:text=ruler,royal%20consciousness%20guiding%20the%20nation" TargetMode="External"/><Relationship Id="rId44" Type="http://schemas.openxmlformats.org/officeDocument/2006/relationships/hyperlink" Target="file://file_00000000d38871fd9551af6698370614" TargetMode="External"/><Relationship Id="rId34" Type="http://schemas.openxmlformats.org/officeDocument/2006/relationships/hyperlink" Target="file://file_00000000d38871fd9551af6698370614#:~:text=Beyond%20kdi%2C%20Phase%2018%20decoding,di%20itself%20is%20an%20indigen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2026-02-23T19:37:34Z</dcterms:created>
  <dcterms:modified xsi:type="dcterms:W3CDTF">2026-02-23T19:37:34Z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