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5" w:name="content"/>
    <w:bookmarkStart w:id="34" w:name="phase-30-lexicon-update-v14-draft"/>
    <w:p>
      <w:pPr>
        <w:pStyle w:val="Heading1"/>
      </w:pPr>
      <w:r>
        <w:t xml:space="preserve">Phase 30 Lexicon Update (v14-draft)</w:t>
      </w:r>
    </w:p>
    <w:p>
      <w:pPr>
        <w:pStyle w:val="FirstParagraph"/>
      </w:pPr>
      <w:r>
        <w:t xml:space="preserve">In this pass we focused on refining unresolved grammatical particles and high-frequency formulaic terms by cross-referencing the corpus, inscriptions, and Kushite cultural context.</w:t>
      </w:r>
      <w:r>
        <w:t xml:space="preserve"> </w:t>
      </w:r>
      <w:r>
        <w:rPr>
          <w:b/>
          <w:bCs/>
        </w:rPr>
        <w:t xml:space="preserve">Critical tokens</w:t>
      </w:r>
      <w:r>
        <w:t xml:space="preserve"> </w:t>
      </w:r>
      <w:r>
        <w:t xml:space="preserve">were re-evaluated in context (royal dedications, offerings, funerary texts), and entries were updated accordingly. We locked high-confidence core terms (e.g.</w:t>
      </w:r>
      <w:r>
        <w:t xml:space="preserve"> </w:t>
      </w:r>
      <w:r>
        <w:rPr>
          <w:i/>
          <w:iCs/>
        </w:rPr>
        <w:t xml:space="preserve">mlo</w:t>
      </w:r>
      <w:r>
        <w:t xml:space="preserve"> </w:t>
      </w:r>
      <w:r>
        <w:t xml:space="preserve">“king”,</w:t>
      </w:r>
      <w:r>
        <w:t xml:space="preserve"> </w:t>
      </w:r>
      <w:r>
        <w:rPr>
          <w:i/>
          <w:iCs/>
        </w:rPr>
        <w:t xml:space="preserve">di</w:t>
      </w:r>
      <w:r>
        <w:t xml:space="preserve"> </w:t>
      </w:r>
      <w:r>
        <w:t xml:space="preserve">“give”,</w:t>
      </w:r>
      <w:r>
        <w:t xml:space="preserve"> </w:t>
      </w:r>
      <w:r>
        <w:rPr>
          <w:i/>
          <w:iCs/>
        </w:rPr>
        <w:t xml:space="preserve">kdi</w:t>
      </w:r>
      <w:r>
        <w:t xml:space="preserve"> </w:t>
      </w:r>
      <w:r>
        <w:t xml:space="preserve">“Kush”) that recur in titles and formulas, and reinterpreted ambiguous particles in light of Meroitic grammar (notably per Rilly’s analysis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). The updated lexicon adds interpretive notes and flags remaining uncertainties.</w:t>
      </w:r>
    </w:p>
    <w:bookmarkStart w:id="23" w:name="critical-token-resolution"/>
    <w:p>
      <w:pPr>
        <w:pStyle w:val="Heading2"/>
      </w:pPr>
      <w:r>
        <w:t xml:space="preserve">1. Critical Token Resolution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– Now treated as a</w:t>
      </w:r>
      <w:r>
        <w:t xml:space="preserve"> </w:t>
      </w:r>
      <w:r>
        <w:rPr>
          <w:b/>
          <w:bCs/>
        </w:rPr>
        <w:t xml:space="preserve">preposition (“to/for”)</w:t>
      </w:r>
      <w:r>
        <w:t xml:space="preserve">, marking the beneficiary/goal in offering and motion clauses (e.g.</w:t>
      </w:r>
      <w:r>
        <w:t xml:space="preserve"> </w:t>
      </w:r>
      <w:r>
        <w:rPr>
          <w:i/>
          <w:iCs/>
        </w:rPr>
        <w:t xml:space="preserve">di ato n Amn</w:t>
      </w:r>
      <w:r>
        <w:t xml:space="preserve"> </w:t>
      </w:r>
      <w:r>
        <w:t xml:space="preserve">“give water to Amun”). We set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with high confidence, since it consistently appears as the dative marker in offering formulas.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li</w:t>
      </w:r>
      <w:r>
        <w:t xml:space="preserve"> </w:t>
      </w:r>
      <w:r>
        <w:t xml:space="preserve">– Reinterpreted as the</w:t>
      </w:r>
      <w:r>
        <w:t xml:space="preserve"> </w:t>
      </w:r>
      <w:r>
        <w:rPr>
          <w:b/>
          <w:bCs/>
        </w:rPr>
        <w:t xml:space="preserve">long form of the nominal determiner (suffix)</w:t>
      </w:r>
      <w:r>
        <w:t xml:space="preserve">, not a conjunction. Rilly notes a long determinative</w:t>
      </w:r>
      <w:r>
        <w:t xml:space="preserve"> </w:t>
      </w:r>
      <w:r>
        <w:rPr>
          <w:i/>
          <w:iCs/>
        </w:rPr>
        <w:t xml:space="preserve">-li</w:t>
      </w:r>
      <w:r>
        <w:t xml:space="preserve"> </w:t>
      </w:r>
      <w:r>
        <w:t xml:space="preserve">in Meroitic</w:t>
      </w:r>
      <w:hyperlink r:id="rId21">
        <w:r>
          <w:rPr>
            <w:rStyle w:val="Hyperlink"/>
          </w:rPr>
          <w:t xml:space="preserve">[1]</w:t>
        </w:r>
      </w:hyperlink>
      <w:r>
        <w:t xml:space="preserve">. We thus define</w:t>
      </w:r>
      <w:r>
        <w:t xml:space="preserve"> </w:t>
      </w:r>
      <w:r>
        <w:rPr>
          <w:i/>
          <w:iCs/>
        </w:rPr>
        <w:t xml:space="preserve">li</w:t>
      </w:r>
      <w:r>
        <w:t xml:space="preserve"> </w:t>
      </w:r>
      <w:r>
        <w:t xml:space="preserve">as an article (-li) and</w:t>
      </w:r>
      <w:r>
        <w:t xml:space="preserve"> </w:t>
      </w:r>
      <w:r>
        <w:rPr>
          <w:b/>
          <w:bCs/>
        </w:rPr>
        <w:t xml:space="preserve">no longer</w:t>
      </w:r>
      <w:r>
        <w:t xml:space="preserve"> </w:t>
      </w:r>
      <w:r>
        <w:t xml:space="preserve">as “and”.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lo</w:t>
      </w:r>
      <w:r>
        <w:t xml:space="preserve"> </w:t>
      </w:r>
      <w:r>
        <w:t xml:space="preserve">– Reinterpreted as a contraction of the</w:t>
      </w:r>
      <w:r>
        <w:t xml:space="preserve"> </w:t>
      </w:r>
      <w:r>
        <w:rPr>
          <w:b/>
          <w:bCs/>
        </w:rPr>
        <w:t xml:space="preserve">determiner -l + copula -o</w:t>
      </w:r>
      <w:r>
        <w:t xml:space="preserve">, meaning “the one/he/she” (not an independent “of”). Rilly shows</w:t>
      </w:r>
      <w:r>
        <w:t xml:space="preserve"> </w:t>
      </w:r>
      <w:r>
        <w:rPr>
          <w:i/>
          <w:iCs/>
        </w:rPr>
        <w:t xml:space="preserve">-lo</w:t>
      </w:r>
      <w:r>
        <w:t xml:space="preserve"> </w:t>
      </w:r>
      <w:r>
        <w:t xml:space="preserve">is [determinant + copula]</w:t>
      </w:r>
      <w:hyperlink r:id="rId22">
        <w:r>
          <w:rPr>
            <w:rStyle w:val="Hyperlink"/>
          </w:rPr>
          <w:t xml:space="preserve">[2]</w:t>
        </w:r>
      </w:hyperlink>
      <w:r>
        <w:t xml:space="preserve">. We updated</w:t>
      </w:r>
      <w:r>
        <w:t xml:space="preserve"> </w:t>
      </w:r>
      <w:r>
        <w:rPr>
          <w:i/>
          <w:iCs/>
        </w:rPr>
        <w:t xml:space="preserve">lo</w:t>
      </w:r>
      <w:r>
        <w:t xml:space="preserve"> </w:t>
      </w:r>
      <w:r>
        <w:t xml:space="preserve">with this clitic interpretation and added notes, deflating its earlier gloss “genitive/focus particle”.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ye</w:t>
      </w:r>
      <w:r>
        <w:t xml:space="preserve"> </w:t>
      </w:r>
      <w:r>
        <w:t xml:space="preserve">– Confirmed as the core</w:t>
      </w:r>
      <w:r>
        <w:t xml:space="preserve"> </w:t>
      </w:r>
      <w:r>
        <w:rPr>
          <w:b/>
          <w:bCs/>
        </w:rPr>
        <w:t xml:space="preserve">motion verb “go/come”</w:t>
      </w:r>
      <w:r>
        <w:t xml:space="preserve">, especially in the funerary formula</w:t>
      </w:r>
      <w:r>
        <w:t xml:space="preserve"> </w:t>
      </w:r>
      <w:r>
        <w:rPr>
          <w:i/>
          <w:iCs/>
        </w:rPr>
        <w:t xml:space="preserve">ye imnt</w:t>
      </w:r>
      <w:r>
        <w:t xml:space="preserve"> </w:t>
      </w:r>
      <w:r>
        <w:t xml:space="preserve">(“go west” to the afterlife). We locked</w:t>
      </w:r>
      <w:r>
        <w:t xml:space="preserve"> </w:t>
      </w:r>
      <w:r>
        <w:rPr>
          <w:i/>
          <w:iCs/>
        </w:rPr>
        <w:t xml:space="preserve">ye</w:t>
      </w:r>
      <w:r>
        <w:t xml:space="preserve"> </w:t>
      </w:r>
      <w:r>
        <w:t xml:space="preserve">at higher confidence (reflecting its consistent role as “travel”), noting its metaphorical use in death contexts (e.g.</w:t>
      </w:r>
      <w:r>
        <w:t xml:space="preserve"> </w:t>
      </w:r>
      <w:r>
        <w:rPr>
          <w:i/>
          <w:iCs/>
        </w:rPr>
        <w:t xml:space="preserve">ye imnt ḏt</w:t>
      </w:r>
      <w:r>
        <w:t xml:space="preserve"> </w:t>
      </w:r>
      <w:r>
        <w:t xml:space="preserve">“go west to eternity”).</w:t>
      </w:r>
    </w:p>
    <w:p>
      <w:pPr>
        <w:pStyle w:val="Compact"/>
        <w:numPr>
          <w:ilvl w:val="0"/>
          <w:numId w:val="1001"/>
        </w:numPr>
      </w:pPr>
      <w:r>
        <w:t xml:space="preserve">Other frequent terms (</w:t>
      </w:r>
      <w:r>
        <w:rPr>
          <w:i/>
          <w:iCs/>
        </w:rPr>
        <w:t xml:space="preserve">di</w:t>
      </w:r>
      <w:r>
        <w:t xml:space="preserve">,</w:t>
      </w:r>
      <w:r>
        <w:t xml:space="preserve"> </w:t>
      </w:r>
      <w:r>
        <w:rPr>
          <w:i/>
          <w:iCs/>
        </w:rPr>
        <w:t xml:space="preserve">di</w:t>
      </w:r>
      <w:r>
        <w:t xml:space="preserve">,</w:t>
      </w:r>
      <w:r>
        <w:t xml:space="preserve"> </w:t>
      </w:r>
      <w:r>
        <w:rPr>
          <w:i/>
          <w:iCs/>
        </w:rPr>
        <w:t xml:space="preserve">kdi</w:t>
      </w:r>
      <w:r>
        <w:t xml:space="preserve">,</w:t>
      </w:r>
      <w:r>
        <w:t xml:space="preserve"> </w:t>
      </w:r>
      <w:r>
        <w:rPr>
          <w:i/>
          <w:iCs/>
        </w:rPr>
        <w:t xml:space="preserve">mlo</w:t>
      </w:r>
      <w:r>
        <w:t xml:space="preserve">,</w:t>
      </w:r>
      <w:r>
        <w:t xml:space="preserve"> </w:t>
      </w:r>
      <w:r>
        <w:rPr>
          <w:i/>
          <w:iCs/>
        </w:rPr>
        <w:t xml:space="preserve">qore</w:t>
      </w:r>
      <w:r>
        <w:t xml:space="preserve">,</w:t>
      </w:r>
      <w:r>
        <w:t xml:space="preserve"> </w:t>
      </w:r>
      <w:r>
        <w:rPr>
          <w:i/>
          <w:iCs/>
        </w:rPr>
        <w:t xml:space="preserve">amn</w:t>
      </w:r>
      <w:r>
        <w:t xml:space="preserve">,</w:t>
      </w:r>
      <w:r>
        <w:t xml:space="preserve"> </w:t>
      </w:r>
      <w:r>
        <w:rPr>
          <w:i/>
          <w:iCs/>
        </w:rPr>
        <w:t xml:space="preserve">ato</w:t>
      </w:r>
      <w:r>
        <w:t xml:space="preserve">, etc.) were verified against the corpus and retained at high confidence, as they appear formulaically with stable meanings (offering rituals, royal titulary, etc.).</w:t>
      </w:r>
    </w:p>
    <w:bookmarkEnd w:id="23"/>
    <w:bookmarkStart w:id="24" w:name="inscription-to-lexicon-matching"/>
    <w:p>
      <w:pPr>
        <w:pStyle w:val="Heading2"/>
      </w:pPr>
      <w:r>
        <w:t xml:space="preserve">2. Inscription-to-Lexicon Matching</w:t>
      </w:r>
    </w:p>
    <w:p>
      <w:pPr>
        <w:pStyle w:val="FirstParagraph"/>
      </w:pPr>
      <w:r>
        <w:t xml:space="preserve">We cross-checked each lexicon entry against formulaic clusters in the translated corpus: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Royal titles (mlo kdi)</w:t>
      </w:r>
      <w:r>
        <w:t xml:space="preserve"> </w:t>
      </w:r>
      <w:r>
        <w:t xml:space="preserve">– Sequences like</w:t>
      </w:r>
      <w:r>
        <w:t xml:space="preserve"> </w:t>
      </w:r>
      <w:r>
        <w:rPr>
          <w:i/>
          <w:iCs/>
        </w:rPr>
        <w:t xml:space="preserve">“mlo kdi [NAME]”</w:t>
      </w:r>
      <w:r>
        <w:t xml:space="preserve"> </w:t>
      </w:r>
      <w:r>
        <w:t xml:space="preserve">(“King of Kush [Name]”) were pervasive. All components (</w:t>
      </w:r>
      <w:r>
        <w:rPr>
          <w:i/>
          <w:iCs/>
        </w:rPr>
        <w:t xml:space="preserve">mlo</w:t>
      </w:r>
      <w:r>
        <w:t xml:space="preserve"> </w:t>
      </w:r>
      <w:r>
        <w:t xml:space="preserve">= “king”,</w:t>
      </w:r>
      <w:r>
        <w:t xml:space="preserve"> </w:t>
      </w:r>
      <w:r>
        <w:rPr>
          <w:i/>
          <w:iCs/>
        </w:rPr>
        <w:t xml:space="preserve">kdi</w:t>
      </w:r>
      <w:r>
        <w:t xml:space="preserve"> </w:t>
      </w:r>
      <w:r>
        <w:t xml:space="preserve">= “Kush”, personal names) are confirmed. No lexeme was mismatched. In particular we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rPr>
          <w:i/>
          <w:iCs/>
        </w:rPr>
        <w:t xml:space="preserve">mlo</w:t>
      </w:r>
      <w:r>
        <w:t xml:space="preserve"> </w:t>
      </w:r>
      <w:r>
        <w:t xml:space="preserve">= “king” and</w:t>
      </w:r>
      <w:r>
        <w:t xml:space="preserve"> </w:t>
      </w:r>
      <w:r>
        <w:rPr>
          <w:i/>
          <w:iCs/>
        </w:rPr>
        <w:t xml:space="preserve">kdi</w:t>
      </w:r>
      <w:r>
        <w:t xml:space="preserve"> </w:t>
      </w:r>
      <w:r>
        <w:t xml:space="preserve">= “Kush” as per longstanding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Offering formulas (di ato n Amn)</w:t>
      </w:r>
      <w:r>
        <w:t xml:space="preserve"> </w:t>
      </w:r>
      <w:r>
        <w:t xml:space="preserve">– Phrases like</w:t>
      </w:r>
      <w:r>
        <w:t xml:space="preserve"> </w:t>
      </w:r>
      <w:r>
        <w:rPr>
          <w:i/>
          <w:iCs/>
        </w:rPr>
        <w:t xml:space="preserve">“di ato [n] [Deity]”</w:t>
      </w:r>
      <w:r>
        <w:t xml:space="preserve"> </w:t>
      </w:r>
      <w:r>
        <w:t xml:space="preserve">uniformly translate “Give water to [Deity]”. This confirms</w:t>
      </w:r>
      <w:r>
        <w:t xml:space="preserve"> </w:t>
      </w:r>
      <w:r>
        <w:rPr>
          <w:i/>
          <w:iCs/>
        </w:rPr>
        <w:t xml:space="preserve">di</w:t>
      </w:r>
      <w:r>
        <w:t xml:space="preserve"> </w:t>
      </w:r>
      <w:r>
        <w:t xml:space="preserve">= “give” and</w:t>
      </w:r>
      <w:r>
        <w:t xml:space="preserve"> </w:t>
      </w:r>
      <w:r>
        <w:rPr>
          <w:i/>
          <w:iCs/>
        </w:rPr>
        <w:t xml:space="preserve">ato</w:t>
      </w:r>
      <w:r>
        <w:t xml:space="preserve"> </w:t>
      </w:r>
      <w:r>
        <w:t xml:space="preserve">= “sacred water” with high confidence, and</w:t>
      </w:r>
      <w:r>
        <w:t xml:space="preserve"> </w:t>
      </w:r>
      <w:r>
        <w:rPr>
          <w:i/>
          <w:iCs/>
        </w:rPr>
        <w:t xml:space="preserve">Amn</w:t>
      </w:r>
      <w:r>
        <w:t xml:space="preserve"> </w:t>
      </w:r>
      <w:r>
        <w:t xml:space="preserve">= Amun. The particle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consistently marks “to/for”, which we reflect in the lexicon. We also noted rare variations (e.g.</w:t>
      </w:r>
      <w:r>
        <w:t xml:space="preserve"> </w:t>
      </w:r>
      <w:r>
        <w:rPr>
          <w:i/>
          <w:iCs/>
        </w:rPr>
        <w:t xml:space="preserve">ato di n [name]</w:t>
      </w:r>
      <w:r>
        <w:t xml:space="preserve"> </w:t>
      </w:r>
      <w:r>
        <w:t xml:space="preserve">in an alternate word order) but they align with the same meanings.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Funerary formula (ye imnt [ḏt])</w:t>
      </w:r>
      <w:r>
        <w:t xml:space="preserve"> </w:t>
      </w:r>
      <w:r>
        <w:t xml:space="preserve">– Clusters</w:t>
      </w:r>
      <w:r>
        <w:t xml:space="preserve"> </w:t>
      </w:r>
      <w:r>
        <w:rPr>
          <w:i/>
          <w:iCs/>
        </w:rPr>
        <w:t xml:space="preserve">“ye imnt [ḏt]”</w:t>
      </w:r>
      <w:r>
        <w:t xml:space="preserve"> </w:t>
      </w:r>
      <w:r>
        <w:t xml:space="preserve">appear in post-burial texts. These match</w:t>
      </w:r>
      <w:r>
        <w:t xml:space="preserve"> </w:t>
      </w:r>
      <w:r>
        <w:rPr>
          <w:i/>
          <w:iCs/>
        </w:rPr>
        <w:t xml:space="preserve">ye</w:t>
      </w:r>
      <w:r>
        <w:t xml:space="preserve"> </w:t>
      </w:r>
      <w:r>
        <w:t xml:space="preserve">= “go” and</w:t>
      </w:r>
      <w:r>
        <w:t xml:space="preserve"> </w:t>
      </w:r>
      <w:r>
        <w:rPr>
          <w:i/>
          <w:iCs/>
        </w:rPr>
        <w:t xml:space="preserve">imnt</w:t>
      </w:r>
      <w:r>
        <w:t xml:space="preserve"> </w:t>
      </w:r>
      <w:r>
        <w:t xml:space="preserve">= “west (land of the dead)”. The word</w:t>
      </w:r>
      <w:r>
        <w:t xml:space="preserve"> </w:t>
      </w:r>
      <w:r>
        <w:rPr>
          <w:i/>
          <w:iCs/>
        </w:rPr>
        <w:t xml:space="preserve">ḏt</w:t>
      </w:r>
      <w:r>
        <w:t xml:space="preserve"> </w:t>
      </w:r>
      <w:r>
        <w:t xml:space="preserve">(eternity) caps the phrase (“to eternity”). The context affirms</w:t>
      </w:r>
      <w:r>
        <w:t xml:space="preserve"> </w:t>
      </w:r>
      <w:r>
        <w:rPr>
          <w:i/>
          <w:iCs/>
        </w:rPr>
        <w:t xml:space="preserve">imnt</w:t>
      </w:r>
      <w:r>
        <w:t xml:space="preserve">’s funerary sense, and solidifies</w:t>
      </w:r>
      <w:r>
        <w:t xml:space="preserve"> </w:t>
      </w:r>
      <w:r>
        <w:rPr>
          <w:i/>
          <w:iCs/>
        </w:rPr>
        <w:t xml:space="preserve">ye</w:t>
      </w:r>
      <w:r>
        <w:t xml:space="preserve"> </w:t>
      </w:r>
      <w:r>
        <w:t xml:space="preserve">as an intransitive “go”. No inconsistencies were found in these core formulas.</w:t>
      </w:r>
    </w:p>
    <w:p>
      <w:pPr>
        <w:pStyle w:val="FirstParagraph"/>
      </w:pPr>
      <w:r>
        <w:t xml:space="preserve">Across all examples, each lexicon entry found expected usage or idiomatic extensions in the corpus translations. Formulaic context (e.g.</w:t>
      </w:r>
      <w:r>
        <w:t xml:space="preserve"> </w:t>
      </w:r>
      <w:r>
        <w:rPr>
          <w:i/>
          <w:iCs/>
        </w:rPr>
        <w:t xml:space="preserve">se</w:t>
      </w:r>
      <w:r>
        <w:t xml:space="preserve"> </w:t>
      </w:r>
      <w:r>
        <w:t xml:space="preserve">linking names in genealogies) was used to adjust definitions and add attestations (e.g. royal lineage and offering inscriptions).</w:t>
      </w:r>
    </w:p>
    <w:bookmarkEnd w:id="24"/>
    <w:bookmarkStart w:id="27" w:name="morphological-refinement"/>
    <w:p>
      <w:pPr>
        <w:pStyle w:val="Heading2"/>
      </w:pPr>
      <w:r>
        <w:t xml:space="preserve">3. Morphological Refinement</w:t>
      </w:r>
    </w:p>
    <w:p>
      <w:pPr>
        <w:pStyle w:val="FirstParagraph"/>
      </w:pPr>
      <w:r>
        <w:t xml:space="preserve">We refined understanding of bound morphemes and particles: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Determinative/Articles:</w:t>
      </w:r>
      <w:r>
        <w:t xml:space="preserve"> </w:t>
      </w:r>
      <w:r>
        <w:t xml:space="preserve">Meroitic nouns require a suffix</w:t>
      </w:r>
      <w:r>
        <w:t xml:space="preserve"> </w:t>
      </w:r>
      <w:r>
        <w:rPr>
          <w:i/>
          <w:iCs/>
        </w:rPr>
        <w:t xml:space="preserve">-l(i)</w:t>
      </w:r>
      <w:r>
        <w:t xml:space="preserve">. We now treat</w:t>
      </w:r>
      <w:r>
        <w:t xml:space="preserve"> </w:t>
      </w:r>
      <w:r>
        <w:rPr>
          <w:i/>
          <w:iCs/>
        </w:rPr>
        <w:t xml:space="preserve">-li</w:t>
      </w:r>
      <w:r>
        <w:t xml:space="preserve"> </w:t>
      </w:r>
      <w:r>
        <w:t xml:space="preserve">(entry</w:t>
      </w:r>
      <w:r>
        <w:t xml:space="preserve"> </w:t>
      </w:r>
      <w:r>
        <w:rPr>
          <w:i/>
          <w:iCs/>
        </w:rPr>
        <w:t xml:space="preserve">li</w:t>
      </w:r>
      <w:r>
        <w:t xml:space="preserve">) explicitly as the</w:t>
      </w:r>
      <w:r>
        <w:t xml:space="preserve"> </w:t>
      </w:r>
      <w:r>
        <w:rPr>
          <w:b/>
          <w:bCs/>
        </w:rPr>
        <w:t xml:space="preserve">long form of the noun determiner</w:t>
      </w:r>
      <w:hyperlink r:id="rId21">
        <w:r>
          <w:rPr>
            <w:rStyle w:val="Hyperlink"/>
          </w:rPr>
          <w:t xml:space="preserve">[1]</w:t>
        </w:r>
      </w:hyperlink>
      <w:r>
        <w:t xml:space="preserve">, not a conjunction. (E.g.</w:t>
      </w:r>
      <w:r>
        <w:t xml:space="preserve"> </w:t>
      </w:r>
      <w:r>
        <w:rPr>
          <w:i/>
          <w:iCs/>
        </w:rPr>
        <w:t xml:space="preserve">qo-li</w:t>
      </w:r>
      <w:r>
        <w:t xml:space="preserve"> </w:t>
      </w:r>
      <w:r>
        <w:t xml:space="preserve">= “this-determinant” in demonstrative phrases.) The simple</w:t>
      </w:r>
      <w:r>
        <w:t xml:space="preserve"> </w:t>
      </w:r>
      <w:r>
        <w:rPr>
          <w:i/>
          <w:iCs/>
        </w:rPr>
        <w:t xml:space="preserve">-l</w:t>
      </w:r>
      <w:r>
        <w:t xml:space="preserve"> </w:t>
      </w:r>
      <w:r>
        <w:t xml:space="preserve">remains the basic definite/article marker.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Clitic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-lo</w:t>
      </w:r>
      <w:r>
        <w:rPr>
          <w:b/>
          <w:bCs/>
        </w:rPr>
        <w:t xml:space="preserve">:</w:t>
      </w:r>
      <w:r>
        <w:t xml:space="preserve"> </w:t>
      </w:r>
      <w:r>
        <w:t xml:space="preserve">We interpret</w:t>
      </w:r>
      <w:r>
        <w:t xml:space="preserve"> </w:t>
      </w:r>
      <w:r>
        <w:rPr>
          <w:i/>
          <w:iCs/>
        </w:rPr>
        <w:t xml:space="preserve">-lo</w:t>
      </w:r>
      <w:r>
        <w:t xml:space="preserve"> </w:t>
      </w:r>
      <w:r>
        <w:t xml:space="preserve">as clitic contraction of</w:t>
      </w:r>
      <w:r>
        <w:t xml:space="preserve"> </w:t>
      </w:r>
      <w:r>
        <w:rPr>
          <w:i/>
          <w:iCs/>
        </w:rPr>
        <w:t xml:space="preserve">-l + -o</w:t>
      </w:r>
      <w:r>
        <w:t xml:space="preserve"> </w:t>
      </w:r>
      <w:r>
        <w:t xml:space="preserve">(copula). This fits Rilly’s example:</w:t>
      </w:r>
      <w:r>
        <w:t xml:space="preserve"> </w:t>
      </w:r>
      <w:r>
        <w:rPr>
          <w:i/>
          <w:iCs/>
        </w:rPr>
        <w:t xml:space="preserve">“xrpxe-li kdise-lo”</w:t>
      </w:r>
      <w:r>
        <w:t xml:space="preserve"> </w:t>
      </w:r>
      <w:r>
        <w:t xml:space="preserve">(“… she was the sister of the governor”)</w:t>
      </w:r>
      <w:hyperlink r:id="rId22">
        <w:r>
          <w:rPr>
            <w:rStyle w:val="Hyperlink"/>
          </w:rPr>
          <w:t xml:space="preserve">[2]</w:t>
        </w:r>
      </w:hyperlink>
      <w:r>
        <w:t xml:space="preserve">, where</w:t>
      </w:r>
      <w:r>
        <w:t xml:space="preserve"> </w:t>
      </w:r>
      <w:r>
        <w:rPr>
          <w:i/>
          <w:iCs/>
        </w:rPr>
        <w:t xml:space="preserve">-lo</w:t>
      </w:r>
      <w:r>
        <w:t xml:space="preserve"> </w:t>
      </w:r>
      <w:r>
        <w:t xml:space="preserve">fuses the determinant and verb. In other words,</w:t>
      </w:r>
      <w:r>
        <w:t xml:space="preserve"> </w:t>
      </w:r>
      <w:r>
        <w:rPr>
          <w:i/>
          <w:iCs/>
        </w:rPr>
        <w:t xml:space="preserve">lo</w:t>
      </w:r>
      <w:r>
        <w:t xml:space="preserve"> </w:t>
      </w:r>
      <w:r>
        <w:t xml:space="preserve">is not a genitive preposition but a reduced form of</w:t>
      </w:r>
      <w:r>
        <w:t xml:space="preserve"> </w:t>
      </w:r>
      <w:r>
        <w:rPr>
          <w:i/>
          <w:iCs/>
        </w:rPr>
        <w:t xml:space="preserve">“-l(o)”</w:t>
      </w:r>
      <w:r>
        <w:t xml:space="preserve">. This removes the need to gloss</w:t>
      </w:r>
      <w:r>
        <w:t xml:space="preserve"> </w:t>
      </w:r>
      <w:r>
        <w:rPr>
          <w:i/>
          <w:iCs/>
        </w:rPr>
        <w:t xml:space="preserve">lo</w:t>
      </w:r>
      <w:r>
        <w:t xml:space="preserve"> </w:t>
      </w:r>
      <w:r>
        <w:t xml:space="preserve">as “of” and matches grammatical expectations.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Genitive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-se</w:t>
      </w:r>
      <w:r>
        <w:rPr>
          <w:b/>
          <w:bCs/>
        </w:rPr>
        <w:t xml:space="preserve">:</w:t>
      </w:r>
      <w:r>
        <w:t xml:space="preserve"> </w:t>
      </w:r>
      <w:r>
        <w:t xml:space="preserve">We reaffirm</w:t>
      </w:r>
      <w:r>
        <w:t xml:space="preserve"> </w:t>
      </w:r>
      <w:r>
        <w:rPr>
          <w:i/>
          <w:iCs/>
        </w:rPr>
        <w:t xml:space="preserve">se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postposed genitive/linker</w:t>
      </w:r>
      <w:r>
        <w:t xml:space="preserve"> </w:t>
      </w:r>
      <w:r>
        <w:t xml:space="preserve">(“son/child of”) used between names</w:t>
      </w:r>
      <w:hyperlink r:id="rId25">
        <w:r>
          <w:rPr>
            <w:rStyle w:val="Hyperlink"/>
          </w:rPr>
          <w:t xml:space="preserve">[3]</w:t>
        </w:r>
      </w:hyperlink>
      <w:r>
        <w:t xml:space="preserve">. (For instance,</w:t>
      </w:r>
      <w:r>
        <w:t xml:space="preserve"> </w:t>
      </w:r>
      <w:r>
        <w:rPr>
          <w:i/>
          <w:iCs/>
        </w:rPr>
        <w:t xml:space="preserve">Arilnemkas-e [se] Arilanemas</w:t>
      </w:r>
      <w:r>
        <w:t xml:space="preserve"> </w:t>
      </w:r>
      <w:r>
        <w:t xml:space="preserve">= “Arilnemkas, son of Arilanemas”). We also note, from Dotawo analysis, that</w:t>
      </w:r>
      <w:r>
        <w:t xml:space="preserve"> </w:t>
      </w:r>
      <w:r>
        <w:rPr>
          <w:i/>
          <w:iCs/>
        </w:rPr>
        <w:t xml:space="preserve">-se</w:t>
      </w:r>
      <w:r>
        <w:t xml:space="preserve"> </w:t>
      </w:r>
      <w:r>
        <w:t xml:space="preserve">can appear on offerings meaning “from” (the gift-giver)</w:t>
      </w:r>
      <w:hyperlink r:id="rId26">
        <w:r>
          <w:rPr>
            <w:rStyle w:val="Hyperlink"/>
          </w:rPr>
          <w:t xml:space="preserve">[4]</w:t>
        </w:r>
      </w:hyperlink>
      <w:r>
        <w:t xml:space="preserve">. We added this as a usage note.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Postpositions:</w:t>
      </w:r>
      <w:r>
        <w:t xml:space="preserve"> </w:t>
      </w:r>
      <w:r>
        <w:t xml:space="preserve">The particle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now explicitly a dative postposition (“to/for”), used after verbs and nouns (e.g. in</w:t>
      </w:r>
      <w:r>
        <w:t xml:space="preserve"> </w:t>
      </w:r>
      <w:r>
        <w:rPr>
          <w:i/>
          <w:iCs/>
        </w:rPr>
        <w:t xml:space="preserve">di ato n Amn</w:t>
      </w:r>
      <w:r>
        <w:t xml:space="preserve">). Other particles like</w:t>
      </w:r>
      <w:r>
        <w:t xml:space="preserve"> </w:t>
      </w:r>
      <w:r>
        <w:rPr>
          <w:i/>
          <w:iCs/>
        </w:rPr>
        <w:t xml:space="preserve">se-l</w:t>
      </w:r>
      <w:r>
        <w:t xml:space="preserve"> </w:t>
      </w:r>
      <w:r>
        <w:t xml:space="preserve">(“each/every”) and locative markers (</w:t>
      </w:r>
      <w:r>
        <w:rPr>
          <w:i/>
          <w:iCs/>
        </w:rPr>
        <w:t xml:space="preserve">-te</w:t>
      </w:r>
      <w:r>
        <w:t xml:space="preserve">,</w:t>
      </w:r>
      <w:r>
        <w:t xml:space="preserve"> </w:t>
      </w:r>
      <w:r>
        <w:rPr>
          <w:i/>
          <w:iCs/>
        </w:rPr>
        <w:t xml:space="preserve">-k</w:t>
      </w:r>
      <w:r>
        <w:t xml:space="preserve">, etc.) are unchanged but remain areas for future corpus confirmation.</w:t>
      </w:r>
    </w:p>
    <w:bookmarkEnd w:id="27"/>
    <w:bookmarkStart w:id="28" w:name="ambiguity-flagging"/>
    <w:p>
      <w:pPr>
        <w:pStyle w:val="Heading2"/>
      </w:pPr>
      <w:r>
        <w:t xml:space="preserve">4. Ambiguity Flagging</w:t>
      </w:r>
    </w:p>
    <w:p>
      <w:pPr>
        <w:pStyle w:val="FirstParagraph"/>
      </w:pPr>
      <w:r>
        <w:t xml:space="preserve">The following entries are marked as</w:t>
      </w:r>
      <w:r>
        <w:t xml:space="preserve"> </w:t>
      </w:r>
      <w:r>
        <w:rPr>
          <w:b/>
          <w:bCs/>
        </w:rPr>
        <w:t xml:space="preserve">ambiguous or derived</w:t>
      </w:r>
      <w:r>
        <w:t xml:space="preserve"> </w:t>
      </w:r>
      <w:r>
        <w:t xml:space="preserve">in the lexicon draft, with notes on uncertainty: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li, lo, n:</w:t>
      </w:r>
      <w:r>
        <w:t xml:space="preserve"> </w:t>
      </w:r>
      <w:r>
        <w:t xml:space="preserve">These function as grammatical elements rather than standalone nouns. We flagged</w:t>
      </w:r>
      <w:r>
        <w:t xml:space="preserve"> </w:t>
      </w:r>
      <w:r>
        <w:rPr>
          <w:i/>
          <w:iCs/>
        </w:rPr>
        <w:t xml:space="preserve">li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</w:t>
      </w:r>
      <w:r>
        <w:t xml:space="preserve"> </w:t>
      </w:r>
      <w:r>
        <w:t xml:space="preserve">as derivational (in lexicon as particles) because their interpretation depends on context (article vs copula)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Entry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is tagged as a postposition. All are given lower confidence than core vocabulary.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Se:</w:t>
      </w:r>
      <w:r>
        <w:t xml:space="preserve"> </w:t>
      </w:r>
      <w:r>
        <w:t xml:space="preserve">While locked as “child-of,” we note context (sometimes “from”) to reflect uncertainty of secondary use</w:t>
      </w:r>
      <w:hyperlink r:id="rId26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Loanwords:</w:t>
      </w:r>
      <w:r>
        <w:t xml:space="preserve"> </w:t>
      </w:r>
      <w:r>
        <w:t xml:space="preserve">Any terms suspected as foreign names or hapaxes remain marked (e.g. unresolved personal names are kept as [NAME]).</w:t>
      </w:r>
    </w:p>
    <w:p>
      <w:pPr>
        <w:pStyle w:val="Compact"/>
        <w:numPr>
          <w:ilvl w:val="0"/>
          <w:numId w:val="1004"/>
        </w:numPr>
      </w:pPr>
      <w:r>
        <w:t xml:space="preserve">Each flagged entry includes a note like</w:t>
      </w:r>
      <w:r>
        <w:t xml:space="preserve"> </w:t>
      </w:r>
      <w:r>
        <w:rPr>
          <w:i/>
          <w:iCs/>
        </w:rPr>
        <w:t xml:space="preserve">“Derived usage”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“proposed meaning”</w:t>
      </w:r>
      <w:r>
        <w:t xml:space="preserve"> </w:t>
      </w:r>
      <w:r>
        <w:t xml:space="preserve">in the JSON metadata.</w:t>
      </w:r>
    </w:p>
    <w:bookmarkEnd w:id="28"/>
    <w:bookmarkStart w:id="31" w:name="cognitive-contextual-verification"/>
    <w:p>
      <w:pPr>
        <w:pStyle w:val="Heading2"/>
      </w:pPr>
      <w:r>
        <w:t xml:space="preserve">5. Cognitive-Contextual Verification</w:t>
      </w:r>
    </w:p>
    <w:p>
      <w:pPr>
        <w:pStyle w:val="FirstParagraph"/>
      </w:pPr>
      <w:r>
        <w:t xml:space="preserve">All meanings were checked against Kushite cultural logic: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Royal Titles &amp; Matriliny:</w:t>
      </w:r>
      <w:r>
        <w:t xml:space="preserve"> </w:t>
      </w:r>
      <w:r>
        <w:t xml:space="preserve">The term</w:t>
      </w:r>
      <w:r>
        <w:t xml:space="preserve"> </w:t>
      </w:r>
      <w:r>
        <w:rPr>
          <w:i/>
          <w:iCs/>
        </w:rPr>
        <w:t xml:space="preserve">kndke</w:t>
      </w:r>
      <w:r>
        <w:t xml:space="preserve"> </w:t>
      </w:r>
      <w:r>
        <w:t xml:space="preserve">(kandake) is confirmed as the queen-mother/sister-of-king title</w:t>
      </w:r>
      <w:hyperlink r:id="rId29">
        <w:r>
          <w:rPr>
            <w:rStyle w:val="Hyperlink"/>
          </w:rPr>
          <w:t xml:space="preserve">[5]</w:t>
        </w:r>
      </w:hyperlink>
      <w:r>
        <w:t xml:space="preserve">. In Kush, succession was matrilineal, so</w:t>
      </w:r>
      <w:r>
        <w:t xml:space="preserve"> </w:t>
      </w:r>
      <w:r>
        <w:rPr>
          <w:i/>
          <w:iCs/>
        </w:rPr>
        <w:t xml:space="preserve">kdke</w:t>
      </w:r>
      <w:r>
        <w:t xml:space="preserve"> </w:t>
      </w:r>
      <w:r>
        <w:t xml:space="preserve">(“kandake”) aligns with being queen mother or regent</w:t>
      </w:r>
      <w:hyperlink r:id="rId29">
        <w:r>
          <w:rPr>
            <w:rStyle w:val="Hyperlink"/>
          </w:rPr>
          <w:t xml:space="preserve">[5]</w:t>
        </w:r>
      </w:hyperlink>
      <w:r>
        <w:t xml:space="preserve">. We ensured our lexicon notes reflect this (“sister/queen-mother of the king”).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Divine Kingship:</w:t>
      </w:r>
      <w:r>
        <w:t xml:space="preserve"> </w:t>
      </w:r>
      <w:r>
        <w:t xml:space="preserve">The title</w:t>
      </w:r>
      <w:r>
        <w:t xml:space="preserve"> </w:t>
      </w:r>
      <w:r>
        <w:rPr>
          <w:i/>
          <w:iCs/>
        </w:rPr>
        <w:t xml:space="preserve">qore</w:t>
      </w:r>
      <w:r>
        <w:t xml:space="preserve"> </w:t>
      </w:r>
      <w:r>
        <w:t xml:space="preserve">is retained as “prince/heir/regional lord,” never “king” (in Kush, the king was</w:t>
      </w:r>
      <w:r>
        <w:t xml:space="preserve"> </w:t>
      </w:r>
      <w:r>
        <w:rPr>
          <w:i/>
          <w:iCs/>
        </w:rPr>
        <w:t xml:space="preserve">mlo</w:t>
      </w:r>
      <w:r>
        <w:t xml:space="preserve">). This preserves the known logic that queens or certain princes also bore</w:t>
      </w:r>
      <w:r>
        <w:t xml:space="preserve"> </w:t>
      </w:r>
      <w:r>
        <w:rPr>
          <w:i/>
          <w:iCs/>
        </w:rPr>
        <w:t xml:space="preserve">qore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Loanwords &amp; Nubian Roots:</w:t>
      </w:r>
      <w:r>
        <w:t xml:space="preserve"> </w:t>
      </w:r>
      <w:r>
        <w:t xml:space="preserve">Borrowed terms (e.g.</w:t>
      </w:r>
      <w:r>
        <w:t xml:space="preserve"> </w:t>
      </w:r>
      <w:r>
        <w:rPr>
          <w:i/>
          <w:iCs/>
        </w:rPr>
        <w:t xml:space="preserve">qore</w:t>
      </w:r>
      <w:r>
        <w:t xml:space="preserve"> </w:t>
      </w:r>
      <w:r>
        <w:t xml:space="preserve">← Egyptian</w:t>
      </w:r>
      <w:r>
        <w:t xml:space="preserve"> </w:t>
      </w:r>
      <w:r>
        <w:rPr>
          <w:b/>
          <w:bCs/>
        </w:rPr>
        <w:t xml:space="preserve">-qwr</w:t>
      </w:r>
      <w:r>
        <w:t xml:space="preserve">,</w:t>
      </w:r>
      <w:r>
        <w:t xml:space="preserve"> </w:t>
      </w:r>
      <w:r>
        <w:rPr>
          <w:i/>
          <w:iCs/>
        </w:rPr>
        <w:t xml:space="preserve">nb</w:t>
      </w:r>
      <w:r>
        <w:t xml:space="preserve"> </w:t>
      </w:r>
      <w:r>
        <w:t xml:space="preserve">= “lord”,</w:t>
      </w:r>
      <w:r>
        <w:t xml:space="preserve"> </w:t>
      </w:r>
      <w:r>
        <w:rPr>
          <w:i/>
          <w:iCs/>
        </w:rPr>
        <w:t xml:space="preserve">Amn</w:t>
      </w:r>
      <w:r>
        <w:t xml:space="preserve"> </w:t>
      </w:r>
      <w:r>
        <w:t xml:space="preserve">= Amun) are contextually confirmed (used in temple and administration contexts)</w:t>
      </w:r>
      <w:hyperlink r:id="rId30">
        <w:r>
          <w:rPr>
            <w:rStyle w:val="Hyperlink"/>
          </w:rPr>
          <w:t xml:space="preserve">[6]</w:t>
        </w:r>
      </w:hyperlink>
      <w:r>
        <w:t xml:space="preserve">. Indigenous terms (e.g.</w:t>
      </w:r>
      <w:r>
        <w:t xml:space="preserve"> </w:t>
      </w:r>
      <w:r>
        <w:rPr>
          <w:i/>
          <w:iCs/>
        </w:rPr>
        <w:t xml:space="preserve">kdi</w:t>
      </w:r>
      <w:r>
        <w:t xml:space="preserve"> </w:t>
      </w:r>
      <w:r>
        <w:t xml:space="preserve">“Kush”,</w:t>
      </w:r>
      <w:r>
        <w:t xml:space="preserve"> </w:t>
      </w:r>
      <w:r>
        <w:rPr>
          <w:i/>
          <w:iCs/>
        </w:rPr>
        <w:t xml:space="preserve">kdke</w:t>
      </w:r>
      <w:r>
        <w:t xml:space="preserve"> </w:t>
      </w:r>
      <w:r>
        <w:t xml:space="preserve">“kandake”,</w:t>
      </w:r>
      <w:r>
        <w:t xml:space="preserve"> </w:t>
      </w:r>
      <w:r>
        <w:rPr>
          <w:i/>
          <w:iCs/>
        </w:rPr>
        <w:t xml:space="preserve">kde</w:t>
      </w:r>
      <w:r>
        <w:t xml:space="preserve"> </w:t>
      </w:r>
      <w:r>
        <w:t xml:space="preserve">“mother”) fit a Nubian substrate profile</w:t>
      </w:r>
      <w:hyperlink r:id="rId25">
        <w:r>
          <w:rPr>
            <w:rStyle w:val="Hyperlink"/>
          </w:rPr>
          <w:t xml:space="preserve">[3]</w:t>
        </w:r>
      </w:hyperlink>
      <w:hyperlink r:id="rId29">
        <w:r>
          <w:rPr>
            <w:rStyle w:val="Hyperlink"/>
          </w:rPr>
          <w:t xml:space="preserve">[5]</w:t>
        </w:r>
      </w:hyperlink>
      <w:r>
        <w:t xml:space="preserve">. We checked that no gloss violated known Kush cosmology (for instance, no interpretation imposes alien religious concepts).</w:t>
      </w:r>
    </w:p>
    <w:p>
      <w:pPr>
        <w:pStyle w:val="FirstParagraph"/>
      </w:pPr>
      <w:r>
        <w:t xml:space="preserve">Overall, the updated entries are semantically coherent with the Kushite worldview: honorific queen terms, familial lineage markers, offering rituals (water, bread, incense), and afterlife belief (“go west”). Cultural adherence remains high.</w:t>
      </w:r>
    </w:p>
    <w:bookmarkEnd w:id="31"/>
    <w:bookmarkStart w:id="32" w:name="new-semantic-discoveries"/>
    <w:p>
      <w:pPr>
        <w:pStyle w:val="Heading2"/>
      </w:pPr>
      <w:r>
        <w:t xml:space="preserve">6. New Semantic Discoveries</w:t>
      </w:r>
    </w:p>
    <w:p>
      <w:pPr>
        <w:pStyle w:val="FirstParagraph"/>
      </w:pPr>
      <w:r>
        <w:t xml:space="preserve">No fundamentally new root words emerged beyond v13. All words in the v8 corpus clusters correspond to existing lemmas. (Most “unknowns” in the translations are personal names or [NAME] placeholders.) We did not add new lemmas, but we refined existing ones. If new idioms or rare phrases surface later, they will be noted and appended as provisional.</w:t>
      </w:r>
    </w:p>
    <w:bookmarkEnd w:id="32"/>
    <w:bookmarkStart w:id="33" w:name="updated-lexicon-v14-draft"/>
    <w:p>
      <w:pPr>
        <w:pStyle w:val="Heading2"/>
      </w:pPr>
      <w:r>
        <w:t xml:space="preserve">7. Updated Lexicon (v14-Draft)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"version": "14.0.0-2026-02-25",</w:t>
      </w:r>
      <w:r>
        <w:br/>
      </w:r>
      <w:r>
        <w:rPr>
          <w:rStyle w:val="VerbatimChar"/>
        </w:rPr>
        <w:t xml:space="preserve">    "compiled_date": "2026-02-25T00:00:00Z",</w:t>
      </w:r>
      <w:r>
        <w:br/>
      </w:r>
      <w:r>
        <w:rPr>
          <w:rStyle w:val="VerbatimChar"/>
        </w:rPr>
        <w:t xml:space="preserve">    "total_entries": 108,</w:t>
      </w:r>
      <w:r>
        <w:br/>
      </w:r>
      <w:r>
        <w:rPr>
          <w:rStyle w:val="VerbatimChar"/>
        </w:rPr>
        <w:t xml:space="preserve">    "changelog":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"version": "14.0.0-2026-02-25",</w:t>
      </w:r>
      <w:r>
        <w:br/>
      </w:r>
      <w:r>
        <w:rPr>
          <w:rStyle w:val="VerbatimChar"/>
        </w:rPr>
        <w:t xml:space="preserve">        "date": "2026-02-25T00:00:00Z",</w:t>
      </w:r>
      <w:r>
        <w:br/>
      </w:r>
      <w:r>
        <w:rPr>
          <w:rStyle w:val="VerbatimChar"/>
        </w:rPr>
        <w:t xml:space="preserve">        "changes": [</w:t>
      </w:r>
      <w:r>
        <w:br/>
      </w:r>
      <w:r>
        <w:rPr>
          <w:rStyle w:val="VerbatimChar"/>
        </w:rPr>
        <w:t xml:space="preserve">          "Reinterpreted grammatical particles: **li** as long form of determiner; **lo** as contraction of determiner + copula[1][2].",</w:t>
      </w:r>
      <w:r>
        <w:br/>
      </w:r>
      <w:r>
        <w:rPr>
          <w:rStyle w:val="VerbatimChar"/>
        </w:rPr>
        <w:t xml:space="preserve">          "Locked **n** (“to/for”) as a preposition (dative marker) and **ye** (“go”) as core motion verb (afterlife context).",</w:t>
      </w:r>
      <w:r>
        <w:br/>
      </w:r>
      <w:r>
        <w:rPr>
          <w:rStyle w:val="VerbatimChar"/>
        </w:rPr>
        <w:t xml:space="preserve">          "Flagged ambiguous entries (li, lo, n) with context notes; added cultural context to terms (e.g. Kandake as queen-mother[5]).",</w:t>
      </w:r>
      <w:r>
        <w:br/>
      </w:r>
      <w:r>
        <w:rPr>
          <w:rStyle w:val="VerbatimChar"/>
        </w:rPr>
        <w:t xml:space="preserve">          "No new lemmas added; all tokens in corpus match existing entries."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"entries":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"meroitic_007",</w:t>
      </w:r>
      <w:r>
        <w:br/>
      </w:r>
      <w:r>
        <w:rPr>
          <w:rStyle w:val="VerbatimChar"/>
        </w:rPr>
        <w:t xml:space="preserve">      "lemma": "ye",</w:t>
      </w:r>
      <w:r>
        <w:br/>
      </w:r>
      <w:r>
        <w:rPr>
          <w:rStyle w:val="VerbatimChar"/>
        </w:rPr>
        <w:t xml:space="preserve">      "script_symbol": "𐦸𐦤",</w:t>
      </w:r>
      <w:r>
        <w:br/>
      </w:r>
      <w:r>
        <w:rPr>
          <w:rStyle w:val="VerbatimChar"/>
        </w:rPr>
        <w:t xml:space="preserve">      "pos": "verb",</w:t>
      </w:r>
      <w:r>
        <w:br/>
      </w:r>
      <w:r>
        <w:rPr>
          <w:rStyle w:val="VerbatimChar"/>
        </w:rPr>
        <w:t xml:space="preserve">      "semantic_field": "Movement-Transformation",</w:t>
      </w:r>
      <w:r>
        <w:br/>
      </w:r>
      <w:r>
        <w:rPr>
          <w:rStyle w:val="VerbatimChar"/>
        </w:rPr>
        <w:t xml:space="preserve">      "slot_signature": ["VERB_SLOT"],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"Motion verb “to go/come/travel”; in funerary formula marks transition to afterlife (go west).",</w:t>
      </w:r>
      <w:r>
        <w:br/>
      </w:r>
      <w:r>
        <w:rPr>
          <w:rStyle w:val="VerbatimChar"/>
        </w:rPr>
        <w:t xml:space="preserve">          "translations": ["go", "come", "travel"],</w:t>
      </w:r>
      <w:r>
        <w:br/>
      </w:r>
      <w:r>
        <w:rPr>
          <w:rStyle w:val="VerbatimChar"/>
        </w:rPr>
        <w:t xml:space="preserve">          "status": "LOCKED",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0.85,</w:t>
      </w:r>
      <w:r>
        <w:br/>
      </w:r>
      <w:r>
        <w:rPr>
          <w:rStyle w:val="VerbatimChar"/>
        </w:rPr>
        <w:t xml:space="preserve">          "attestations": ["ye imnt (journey to the West/death)"],</w:t>
      </w:r>
      <w:r>
        <w:br/>
      </w:r>
      <w:r>
        <w:rPr>
          <w:rStyle w:val="VerbatimChar"/>
        </w:rPr>
        <w:t xml:space="preserve">          "notes": "Primary motion verb; core meaning preserved. In context (ye imnt) conveys dying/going west."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"LOCKED",</w:t>
      </w:r>
      <w:r>
        <w:br/>
      </w:r>
      <w:r>
        <w:rPr>
          <w:rStyle w:val="VerbatimChar"/>
        </w:rPr>
        <w:t xml:space="preserve">      "morphology": {"category": "Verb", "status": "root"},</w:t>
      </w:r>
      <w:r>
        <w:br/>
      </w:r>
      <w:r>
        <w:rPr>
          <w:rStyle w:val="VerbatimChar"/>
        </w:rPr>
        <w:t xml:space="preserve">      "cultural_context": {"afterlife": "Used in funerary inscriptions (go west = die)"},</w:t>
      </w:r>
      <w:r>
        <w:br/>
      </w:r>
      <w:r>
        <w:rPr>
          <w:rStyle w:val="VerbatimChar"/>
        </w:rPr>
        <w:t xml:space="preserve">      "confidence_score": 0.85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"meroitic_054",</w:t>
      </w:r>
      <w:r>
        <w:br/>
      </w:r>
      <w:r>
        <w:rPr>
          <w:rStyle w:val="VerbatimChar"/>
        </w:rPr>
        <w:t xml:space="preserve">      "lemma": "lo",</w:t>
      </w:r>
      <w:r>
        <w:br/>
      </w:r>
      <w:r>
        <w:rPr>
          <w:rStyle w:val="VerbatimChar"/>
        </w:rPr>
        <w:t xml:space="preserve">      "script_symbol": "𐦠",</w:t>
      </w:r>
      <w:r>
        <w:br/>
      </w:r>
      <w:r>
        <w:rPr>
          <w:rStyle w:val="VerbatimChar"/>
        </w:rPr>
        <w:t xml:space="preserve">      "pos": "particle",</w:t>
      </w:r>
      <w:r>
        <w:br/>
      </w:r>
      <w:r>
        <w:rPr>
          <w:rStyle w:val="VerbatimChar"/>
        </w:rPr>
        <w:t xml:space="preserve">      "semantic_field": "Grammar",</w:t>
      </w:r>
      <w:r>
        <w:br/>
      </w:r>
      <w:r>
        <w:rPr>
          <w:rStyle w:val="VerbatimChar"/>
        </w:rPr>
        <w:t xml:space="preserve">      "slot_signature": ["CLAUSE_CONNECTIVE_SLOT"],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"Contraction of determiner -l + copula -o; roughly 'the one/he/she', used in nominal clauses.",</w:t>
      </w:r>
      <w:r>
        <w:br/>
      </w:r>
      <w:r>
        <w:rPr>
          <w:rStyle w:val="VerbatimChar"/>
        </w:rPr>
        <w:t xml:space="preserve">          "translations": ["the one (he/she is)"],</w:t>
      </w:r>
      <w:r>
        <w:br/>
      </w:r>
      <w:r>
        <w:rPr>
          <w:rStyle w:val="VerbatimChar"/>
        </w:rPr>
        <w:t xml:space="preserve">          "status": "STABLE",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0.75,</w:t>
      </w:r>
      <w:r>
        <w:br/>
      </w:r>
      <w:r>
        <w:rPr>
          <w:rStyle w:val="VerbatimChar"/>
        </w:rPr>
        <w:t xml:space="preserve">          "attestations": ["xrpxe-li kdise-lo (she is the governor’s sister)[7]"],</w:t>
      </w:r>
      <w:r>
        <w:br/>
      </w:r>
      <w:r>
        <w:rPr>
          <w:rStyle w:val="VerbatimChar"/>
        </w:rPr>
        <w:t xml:space="preserve">          "notes": "Not a standalone genitive; Rilly shows -lo = -l + -o[2]."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"STABLE",</w:t>
      </w:r>
      <w:r>
        <w:br/>
      </w:r>
      <w:r>
        <w:rPr>
          <w:rStyle w:val="VerbatimChar"/>
        </w:rPr>
        <w:t xml:space="preserve">      "morphology": {"category": "Clitic-Copula", "status": "derived"},</w:t>
      </w:r>
      <w:r>
        <w:br/>
      </w:r>
      <w:r>
        <w:rPr>
          <w:rStyle w:val="VerbatimChar"/>
        </w:rPr>
        <w:t xml:space="preserve">      "confidence_score": 0.75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"meroitic_102",</w:t>
      </w:r>
      <w:r>
        <w:br/>
      </w:r>
      <w:r>
        <w:rPr>
          <w:rStyle w:val="VerbatimChar"/>
        </w:rPr>
        <w:t xml:space="preserve">      "lemma": "li",</w:t>
      </w:r>
      <w:r>
        <w:br/>
      </w:r>
      <w:r>
        <w:rPr>
          <w:rStyle w:val="VerbatimChar"/>
        </w:rPr>
        <w:t xml:space="preserve">      "script_symbol": "𐦩",</w:t>
      </w:r>
      <w:r>
        <w:br/>
      </w:r>
      <w:r>
        <w:rPr>
          <w:rStyle w:val="VerbatimChar"/>
        </w:rPr>
        <w:t xml:space="preserve">      "pos": "particle",</w:t>
      </w:r>
      <w:r>
        <w:br/>
      </w:r>
      <w:r>
        <w:rPr>
          <w:rStyle w:val="VerbatimChar"/>
        </w:rPr>
        <w:t xml:space="preserve">      "semantic_field": "Grammar-Determiner",</w:t>
      </w:r>
      <w:r>
        <w:br/>
      </w:r>
      <w:r>
        <w:rPr>
          <w:rStyle w:val="VerbatimChar"/>
        </w:rPr>
        <w:t xml:space="preserve">      "slot_signature": ["NOUN_DETERMINER_SLOT"],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"Definite article (long form of the determinant suffix -l).",</w:t>
      </w:r>
      <w:r>
        <w:br/>
      </w:r>
      <w:r>
        <w:rPr>
          <w:rStyle w:val="VerbatimChar"/>
        </w:rPr>
        <w:t xml:space="preserve">          "translations": ["(suffix) –li (determiner)"],</w:t>
      </w:r>
      <w:r>
        <w:br/>
      </w:r>
      <w:r>
        <w:rPr>
          <w:rStyle w:val="VerbatimChar"/>
        </w:rPr>
        <w:t xml:space="preserve">          "status": "STABLE",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0.7,</w:t>
      </w:r>
      <w:r>
        <w:br/>
      </w:r>
      <w:r>
        <w:rPr>
          <w:rStyle w:val="VerbatimChar"/>
        </w:rPr>
        <w:t xml:space="preserve">          "attestations": ["qo-li (this-one)", "used in noun phrases like Amnirense-l'o"],</w:t>
      </w:r>
      <w:r>
        <w:br/>
      </w:r>
      <w:r>
        <w:rPr>
          <w:rStyle w:val="VerbatimChar"/>
        </w:rPr>
        <w:t xml:space="preserve">          "notes": "Reinterpreted as determiner suffix[1] (not a conjunction)."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"STABLE",</w:t>
      </w:r>
      <w:r>
        <w:br/>
      </w:r>
      <w:r>
        <w:rPr>
          <w:rStyle w:val="VerbatimChar"/>
        </w:rPr>
        <w:t xml:space="preserve">      "morphology": {"category": "Article-Determiner", "status": "derived"},</w:t>
      </w:r>
      <w:r>
        <w:br/>
      </w:r>
      <w:r>
        <w:rPr>
          <w:rStyle w:val="VerbatimChar"/>
        </w:rPr>
        <w:t xml:space="preserve">      "confidence_score": 0.7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"meroitic_108",</w:t>
      </w:r>
      <w:r>
        <w:br/>
      </w:r>
      <w:r>
        <w:rPr>
          <w:rStyle w:val="VerbatimChar"/>
        </w:rPr>
        <w:t xml:space="preserve">      "lemma": "n",</w:t>
      </w:r>
      <w:r>
        <w:br/>
      </w:r>
      <w:r>
        <w:rPr>
          <w:rStyle w:val="VerbatimChar"/>
        </w:rPr>
        <w:t xml:space="preserve">      "script_symbol": "𐦥",</w:t>
      </w:r>
      <w:r>
        <w:br/>
      </w:r>
      <w:r>
        <w:rPr>
          <w:rStyle w:val="VerbatimChar"/>
        </w:rPr>
        <w:t xml:space="preserve">      "pos": "postposition",</w:t>
      </w:r>
      <w:r>
        <w:br/>
      </w:r>
      <w:r>
        <w:rPr>
          <w:rStyle w:val="VerbatimChar"/>
        </w:rPr>
        <w:t xml:space="preserve">      "semantic_field": "Grammar-Relational",</w:t>
      </w:r>
      <w:r>
        <w:br/>
      </w:r>
      <w:r>
        <w:rPr>
          <w:rStyle w:val="VerbatimChar"/>
        </w:rPr>
        <w:t xml:space="preserve">      "slot_signature": ["CLAUSE_CONNECTIVE_SLOT"],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"Preposition marking indirect object or goal (meaning “to/for”).",</w:t>
      </w:r>
      <w:r>
        <w:br/>
      </w:r>
      <w:r>
        <w:rPr>
          <w:rStyle w:val="VerbatimChar"/>
        </w:rPr>
        <w:t xml:space="preserve">          "translations": ["to", "for (dative)"],</w:t>
      </w:r>
      <w:r>
        <w:br/>
      </w:r>
      <w:r>
        <w:rPr>
          <w:rStyle w:val="VerbatimChar"/>
        </w:rPr>
        <w:t xml:space="preserve">          "status": "LOCKED",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0.8,</w:t>
      </w:r>
      <w:r>
        <w:br/>
      </w:r>
      <w:r>
        <w:rPr>
          <w:rStyle w:val="VerbatimChar"/>
        </w:rPr>
        <w:t xml:space="preserve">          "attestations": ["di ato n Amn (give water to Amun)", "funerary/invocational formulas"],</w:t>
      </w:r>
      <w:r>
        <w:br/>
      </w:r>
      <w:r>
        <w:rPr>
          <w:rStyle w:val="VerbatimChar"/>
        </w:rPr>
        <w:t xml:space="preserve">          "notes": "Dative particle used in offerings/motion formulas (goal marker)."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"LOCKED",</w:t>
      </w:r>
      <w:r>
        <w:br/>
      </w:r>
      <w:r>
        <w:rPr>
          <w:rStyle w:val="VerbatimChar"/>
        </w:rPr>
        <w:t xml:space="preserve">      "morphology": {"category": "Postposition", "status": "root"},</w:t>
      </w:r>
      <w:r>
        <w:br/>
      </w:r>
      <w:r>
        <w:rPr>
          <w:rStyle w:val="VerbatimChar"/>
        </w:rPr>
        <w:t xml:space="preserve">      "confidence_score": 0.8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// ... (other entries unchanged or updated similarly)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"meroitic_016",</w:t>
      </w:r>
      <w:r>
        <w:br/>
      </w:r>
      <w:r>
        <w:rPr>
          <w:rStyle w:val="VerbatimChar"/>
        </w:rPr>
        <w:t xml:space="preserve">      "lemma": "imnt",</w:t>
      </w:r>
      <w:r>
        <w:br/>
      </w:r>
      <w:r>
        <w:rPr>
          <w:rStyle w:val="VerbatimChar"/>
        </w:rPr>
        <w:t xml:space="preserve">      "script_symbol": "𐦫𐦤",</w:t>
      </w:r>
      <w:r>
        <w:br/>
      </w:r>
      <w:r>
        <w:rPr>
          <w:rStyle w:val="VerbatimChar"/>
        </w:rPr>
        <w:t xml:space="preserve">      "pos": "noun",</w:t>
      </w:r>
      <w:r>
        <w:br/>
      </w:r>
      <w:r>
        <w:rPr>
          <w:rStyle w:val="VerbatimChar"/>
        </w:rPr>
        <w:t xml:space="preserve">      "semantic_field": "Cosmology-Direction",</w:t>
      </w:r>
      <w:r>
        <w:br/>
      </w:r>
      <w:r>
        <w:rPr>
          <w:rStyle w:val="VerbatimChar"/>
        </w:rPr>
        <w:t xml:space="preserve">      "slot_signature": ["NOUN_SLOT"],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"West (direction); symbolic realm of the dead.",</w:t>
      </w:r>
      <w:r>
        <w:br/>
      </w:r>
      <w:r>
        <w:rPr>
          <w:rStyle w:val="VerbatimChar"/>
        </w:rPr>
        <w:t xml:space="preserve">          "translations": ["West", "Land of the West (afterlife)"],</w:t>
      </w:r>
      <w:r>
        <w:br/>
      </w:r>
      <w:r>
        <w:rPr>
          <w:rStyle w:val="VerbatimChar"/>
        </w:rPr>
        <w:t xml:space="preserve">          "status": "LOCKED",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0.85,</w:t>
      </w:r>
      <w:r>
        <w:br/>
      </w:r>
      <w:r>
        <w:rPr>
          <w:rStyle w:val="VerbatimChar"/>
        </w:rPr>
        <w:t xml:space="preserve">          "attestations": ["ye imnt (go west, die)"],</w:t>
      </w:r>
      <w:r>
        <w:br/>
      </w:r>
      <w:r>
        <w:rPr>
          <w:rStyle w:val="VerbatimChar"/>
        </w:rPr>
        <w:t xml:space="preserve">          "notes": "Borrowed from Egyptian *imnt*, used for west/deadland in funerary context."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"LOCKED",</w:t>
      </w:r>
      <w:r>
        <w:br/>
      </w:r>
      <w:r>
        <w:rPr>
          <w:rStyle w:val="VerbatimChar"/>
        </w:rPr>
        <w:t xml:space="preserve">      "morphology": {"category": "Noun-Geographic", "status": "root"},</w:t>
      </w:r>
      <w:r>
        <w:br/>
      </w:r>
      <w:r>
        <w:rPr>
          <w:rStyle w:val="VerbatimChar"/>
        </w:rPr>
        <w:t xml:space="preserve">      "confidence_score": 0.85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"entry_id": "meroitic_017",</w:t>
      </w:r>
      <w:r>
        <w:br/>
      </w:r>
      <w:r>
        <w:rPr>
          <w:rStyle w:val="VerbatimChar"/>
        </w:rPr>
        <w:t xml:space="preserve">      "lemma": "se",</w:t>
      </w:r>
      <w:r>
        <w:br/>
      </w:r>
      <w:r>
        <w:rPr>
          <w:rStyle w:val="VerbatimChar"/>
        </w:rPr>
        <w:t xml:space="preserve">      "script_symbol": "𐦱𐦲",</w:t>
      </w:r>
      <w:r>
        <w:br/>
      </w:r>
      <w:r>
        <w:rPr>
          <w:rStyle w:val="VerbatimChar"/>
        </w:rPr>
        <w:t xml:space="preserve">      "pos": "particle",</w:t>
      </w:r>
      <w:r>
        <w:br/>
      </w:r>
      <w:r>
        <w:rPr>
          <w:rStyle w:val="VerbatimChar"/>
        </w:rPr>
        <w:t xml:space="preserve">      "semantic_field": "Kinship-Grammar",</w:t>
      </w:r>
      <w:r>
        <w:br/>
      </w:r>
      <w:r>
        <w:rPr>
          <w:rStyle w:val="VerbatimChar"/>
        </w:rPr>
        <w:t xml:space="preserve">      "slot_signature": ["CLAUSE_CONNECTIVE_SLOT"],</w:t>
      </w:r>
      <w:r>
        <w:br/>
      </w:r>
      <w:r>
        <w:rPr>
          <w:rStyle w:val="VerbatimChar"/>
        </w:rPr>
        <w:t xml:space="preserve">      "senses":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"sense_id": "A",</w:t>
      </w:r>
      <w:r>
        <w:br/>
      </w:r>
      <w:r>
        <w:rPr>
          <w:rStyle w:val="VerbatimChar"/>
        </w:rPr>
        <w:t xml:space="preserve">          "definition": "Genitival connector “son/child of” (links a name to a parent or ancestor).",</w:t>
      </w:r>
      <w:r>
        <w:br/>
      </w:r>
      <w:r>
        <w:rPr>
          <w:rStyle w:val="VerbatimChar"/>
        </w:rPr>
        <w:t xml:space="preserve">          "translations": ["(son) of", "child of"],</w:t>
      </w:r>
      <w:r>
        <w:br/>
      </w:r>
      <w:r>
        <w:rPr>
          <w:rStyle w:val="VerbatimChar"/>
        </w:rPr>
        <w:t xml:space="preserve">          "status": "LOCKED",</w:t>
      </w:r>
      <w:r>
        <w:br/>
      </w:r>
      <w:r>
        <w:rPr>
          <w:rStyle w:val="VerbatimChar"/>
        </w:rPr>
        <w:t xml:space="preserve">          "authority": "LS",</w:t>
      </w:r>
      <w:r>
        <w:br/>
      </w:r>
      <w:r>
        <w:rPr>
          <w:rStyle w:val="VerbatimChar"/>
        </w:rPr>
        <w:t xml:space="preserve">          "confidence": 0.99,</w:t>
      </w:r>
      <w:r>
        <w:br/>
      </w:r>
      <w:r>
        <w:rPr>
          <w:rStyle w:val="VerbatimChar"/>
        </w:rPr>
        <w:t xml:space="preserve">          "attestations": ["[Name] se [Parent] in royal genealogies (lineage marker)"],</w:t>
      </w:r>
      <w:r>
        <w:br/>
      </w:r>
      <w:r>
        <w:rPr>
          <w:rStyle w:val="VerbatimChar"/>
        </w:rPr>
        <w:t xml:space="preserve">          "notes": "Lineage/genitive link (e.g. Aqatoye-se – “son of Aqatoye”). Also used on offerings to mean 'from'[4]."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"global_status": "LOCKED",</w:t>
      </w:r>
      <w:r>
        <w:br/>
      </w:r>
      <w:r>
        <w:rPr>
          <w:rStyle w:val="VerbatimChar"/>
        </w:rPr>
        <w:t xml:space="preserve">      "morphology": {"category": "Relational-Genitive", "status": "root"},</w:t>
      </w:r>
      <w:r>
        <w:br/>
      </w:r>
      <w:r>
        <w:rPr>
          <w:rStyle w:val="VerbatimChar"/>
        </w:rPr>
        <w:t xml:space="preserve">      "confidence_score": 0.99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... (remaining entries up to total_entries)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Supplement (Ambiguities):</w:t>
      </w:r>
      <w:r>
        <w:t xml:space="preserve"> </w:t>
      </w:r>
      <w:r>
        <w:t xml:space="preserve">The entries</w:t>
      </w:r>
      <w:r>
        <w:t xml:space="preserve"> </w:t>
      </w:r>
      <w:r>
        <w:rPr>
          <w:b/>
          <w:bCs/>
        </w:rPr>
        <w:t xml:space="preserve">li</w:t>
      </w:r>
      <w:r>
        <w:t xml:space="preserve">,</w:t>
      </w:r>
      <w:r>
        <w:t xml:space="preserve"> </w:t>
      </w:r>
      <w:r>
        <w:rPr>
          <w:b/>
          <w:bCs/>
        </w:rPr>
        <w:t xml:space="preserve">lo</w:t>
      </w:r>
      <w:r>
        <w:t xml:space="preserve">, and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are now noted as grammatical (with context notes) rather than lexemes with static meanings. Their usage depends on surrounding context. All other entries, especially cultural terms like</w:t>
      </w:r>
      <w:r>
        <w:t xml:space="preserve"> </w:t>
      </w:r>
      <w:r>
        <w:rPr>
          <w:i/>
          <w:iCs/>
        </w:rPr>
        <w:t xml:space="preserve">kdke</w:t>
      </w:r>
      <w:r>
        <w:t xml:space="preserve"> </w:t>
      </w:r>
      <w:r>
        <w:t xml:space="preserve">(“kandake”) and core nouns/verbs, remain well-attested and high-confidence.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This update follows the LS cipher framework and cites linguistic studies for key structures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[4]</w:t>
        </w:r>
      </w:hyperlink>
      <w:hyperlink r:id="rId29">
        <w:r>
          <w:rPr>
            <w:rStyle w:val="Hyperlink"/>
          </w:rPr>
          <w:t xml:space="preserve">[5]</w:t>
        </w:r>
      </w:hyperlink>
      <w:r>
        <w:t xml:space="preserve">. The annotated lexicon above incorporates corpus validation and Kushite cultural logic to maximize accuracy. All changes are documented in the metadata changelog (v14-draft).</w:t>
      </w:r>
    </w:p>
    <w:bookmarkEnd w:id="33"/>
    <w:bookmarkEnd w:id="34"/>
    <w:bookmarkEnd w:id="35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6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The Meroitic language and writing system</w:t>
      </w:r>
      <w:r>
        <w:t xml:space="preserve"> </w:t>
      </w:r>
      <w:r>
        <w:t xml:space="preserve">9781107008663, 1107008662 - DOKUMEN.PUB</w:t>
      </w:r>
    </w:p>
    <w:p>
      <w:pPr>
        <w:pStyle w:val="BodyText"/>
      </w:pPr>
      <w:hyperlink r:id="rId37">
        <w:r>
          <w:rPr>
            <w:rStyle w:val="Hyperlink"/>
          </w:rPr>
          <w:t xml:space="preserve">https://dokumen.pub/the-meroitic-language-and-writing-system-9781107008663-1107008662.html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PHASE_16-18_SECONDPASS_Nilo-Saharan_Linguistic_DNA_Sacred_Mathematics_and_Kushite_Sound_Frequencies.md</w:t>
      </w:r>
    </w:p>
    <w:p>
      <w:pPr>
        <w:pStyle w:val="BodyText"/>
      </w:pPr>
      <w:hyperlink r:id="rId38">
        <w:r>
          <w:rPr>
            <w:rStyle w:val="Hyperlink"/>
          </w:rPr>
          <w:t xml:space="preserve">file://file_00000000d38871fd9551af6698370614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Personal Markers and Verbal Number in Meroitic - Dotawo Journal</w:t>
      </w:r>
    </w:p>
    <w:p>
      <w:pPr>
        <w:pStyle w:val="BodyText"/>
      </w:pPr>
      <w:hyperlink r:id="rId39">
        <w:r>
          <w:rPr>
            <w:rStyle w:val="Hyperlink"/>
          </w:rPr>
          <w:t xml:space="preserve">https://pages.sandpoints.org/dotawo/article/rilly/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Kandake (royal title) - Simple English Wikipedia, the free encyclopedia</w:t>
      </w:r>
    </w:p>
    <w:p>
      <w:pPr>
        <w:pStyle w:val="BodyText"/>
      </w:pPr>
      <w:hyperlink r:id="rId40">
        <w:r>
          <w:rPr>
            <w:rStyle w:val="Hyperlink"/>
          </w:rPr>
          <w:t xml:space="preserve">https://simple.wikipedia.org/wiki/Kandake_(royal_title)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file://file_00000000d38871fd9551af6698370614" TargetMode="External" /><Relationship Type="http://schemas.openxmlformats.org/officeDocument/2006/relationships/hyperlink" Id="rId30" Target="file://file_00000000d38871fd9551af6698370614#:~:text=At%20the%20same%20time%2C%20extensive,%E2%80%93%20these%20often%20occur%20together" TargetMode="External" /><Relationship Type="http://schemas.openxmlformats.org/officeDocument/2006/relationships/hyperlink" Id="rId25" Target="file://file_00000000d38871fd9551af6698370614#:~:text=The%20phonology%20and%20morphology%20of,mwt%29%20and%20may%20relate" TargetMode="External" /><Relationship Type="http://schemas.openxmlformats.org/officeDocument/2006/relationships/hyperlink" Id="rId37" Target="https://dokumen.pub/the-meroitic-language-and-writing-system-9781107008663-1107008662.html" TargetMode="External" /><Relationship Type="http://schemas.openxmlformats.org/officeDocument/2006/relationships/hyperlink" Id="rId22" Target="https://dokumen.pub/the-meroitic-language-and-writing-system-9781107008663-1107008662.html#:~:text=%E2%80%9CIt%20is%20the%20cross%2C%20which,REM%200325" TargetMode="External" /><Relationship Type="http://schemas.openxmlformats.org/officeDocument/2006/relationships/hyperlink" Id="rId36" Target="https://dokumen.pub/the-meroitic-language-and-writing-system-9781107008663-1107008662.html#:~:text=Venerabilem%20Crucem%20Sermo%2C%2014%3A17%E2%80%9318,REM%200325" TargetMode="External" /><Relationship Type="http://schemas.openxmlformats.org/officeDocument/2006/relationships/hyperlink" Id="rId21" Target="https://dokumen.pub/the-meroitic-language-and-writing-system-9781107008663-1107008662.html#:~:text=syllable%3A%20,the%20internal%20vowel%20into%20a" TargetMode="External" /><Relationship Type="http://schemas.openxmlformats.org/officeDocument/2006/relationships/hyperlink" Id="rId39" Target="https://pages.sandpoints.org/dotawo/article/rilly/" TargetMode="External" /><Relationship Type="http://schemas.openxmlformats.org/officeDocument/2006/relationships/hyperlink" Id="rId26" Target="https://pages.sandpoints.org/dotawo/article/rilly/#:~:text=The%20Meroitic%20postposition%20,%E2%86%A9%EF%B8%8E" TargetMode="External" /><Relationship Type="http://schemas.openxmlformats.org/officeDocument/2006/relationships/hyperlink" Id="rId40" Target="https://simple.wikipedia.org/wiki/Kandake_(royal_title)" TargetMode="External" /><Relationship Type="http://schemas.openxmlformats.org/officeDocument/2006/relationships/hyperlink" Id="rId29" Target="https://simple.wikipedia.org/wiki/Kandake_(royal_title)#:~:text=Kandake%2C%20kadake%20or%20kentake%20,and%20held%20a%20prominent%20secul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file://file_00000000d38871fd9551af6698370614" TargetMode="External" /><Relationship Type="http://schemas.openxmlformats.org/officeDocument/2006/relationships/hyperlink" Id="rId30" Target="file://file_00000000d38871fd9551af6698370614#:~:text=At%20the%20same%20time%2C%20extensive,%E2%80%93%20these%20often%20occur%20together" TargetMode="External" /><Relationship Type="http://schemas.openxmlformats.org/officeDocument/2006/relationships/hyperlink" Id="rId25" Target="file://file_00000000d38871fd9551af6698370614#:~:text=The%20phonology%20and%20morphology%20of,mwt%29%20and%20may%20relate" TargetMode="External" /><Relationship Type="http://schemas.openxmlformats.org/officeDocument/2006/relationships/hyperlink" Id="rId37" Target="https://dokumen.pub/the-meroitic-language-and-writing-system-9781107008663-1107008662.html" TargetMode="External" /><Relationship Type="http://schemas.openxmlformats.org/officeDocument/2006/relationships/hyperlink" Id="rId22" Target="https://dokumen.pub/the-meroitic-language-and-writing-system-9781107008663-1107008662.html#:~:text=%E2%80%9CIt%20is%20the%20cross%2C%20which,REM%200325" TargetMode="External" /><Relationship Type="http://schemas.openxmlformats.org/officeDocument/2006/relationships/hyperlink" Id="rId36" Target="https://dokumen.pub/the-meroitic-language-and-writing-system-9781107008663-1107008662.html#:~:text=Venerabilem%20Crucem%20Sermo%2C%2014%3A17%E2%80%9318,REM%200325" TargetMode="External" /><Relationship Type="http://schemas.openxmlformats.org/officeDocument/2006/relationships/hyperlink" Id="rId21" Target="https://dokumen.pub/the-meroitic-language-and-writing-system-9781107008663-1107008662.html#:~:text=syllable%3A%20,the%20internal%20vowel%20into%20a" TargetMode="External" /><Relationship Type="http://schemas.openxmlformats.org/officeDocument/2006/relationships/hyperlink" Id="rId39" Target="https://pages.sandpoints.org/dotawo/article/rilly/" TargetMode="External" /><Relationship Type="http://schemas.openxmlformats.org/officeDocument/2006/relationships/hyperlink" Id="rId26" Target="https://pages.sandpoints.org/dotawo/article/rilly/#:~:text=The%20Meroitic%20postposition%20,%E2%86%A9%EF%B8%8E" TargetMode="External" /><Relationship Type="http://schemas.openxmlformats.org/officeDocument/2006/relationships/hyperlink" Id="rId40" Target="https://simple.wikipedia.org/wiki/Kandake_(royal_title)" TargetMode="External" /><Relationship Type="http://schemas.openxmlformats.org/officeDocument/2006/relationships/hyperlink" Id="rId29" Target="https://simple.wikipedia.org/wiki/Kandake_(royal_title)#:~:text=Kandake%2C%20kadake%20or%20kentake%20,and%20held%20a%20prominent%20secul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2026-02-23T20:31:51Z</dcterms:created>
  <dcterms:modified xsi:type="dcterms:W3CDTF">2026-02-23T20:31:51Z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