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bookmarkStart w:id="26" w:name="X586d0b802de171eb81bd52ec6da48125658e9ca"/>
    <w:p>
      <w:pPr>
        <w:pStyle w:val="Heading1"/>
      </w:pPr>
      <w:r>
        <w:t xml:space="preserve">PhaseZZ Meroitic Corpus Integration &amp; Validation</w:t>
      </w:r>
    </w:p>
    <w:p>
      <w:pPr>
        <w:pStyle w:val="FirstParagraph"/>
      </w:pPr>
      <w:r>
        <w:t xml:space="preserve">We re-ran a comprehensive corpus analysis of all translated Meroitic inscriptions using the latest LS methodology. We confirmed that</w:t>
      </w:r>
      <w:r>
        <w:t xml:space="preserve"> </w:t>
      </w:r>
      <w:r>
        <w:rPr>
          <w:b/>
          <w:bCs/>
        </w:rPr>
        <w:t xml:space="preserve">only proper names</w:t>
      </w:r>
      <w:r>
        <w:t xml:space="preserve"> </w:t>
      </w:r>
      <w:r>
        <w:t xml:space="preserve">(e.g. Amanitore, Natakamani, Arnekhamani, Amanap, Kharitodo, Abora) remain outside the lexicon (they fit</w:t>
      </w:r>
      <w:r>
        <w:t xml:space="preserve"> </w:t>
      </w:r>
      <w:r>
        <w:rPr>
          <w:rStyle w:val="VerbatimChar"/>
        </w:rPr>
        <w:t xml:space="preserve">[NAME]</w:t>
      </w:r>
      <w:r>
        <w:t xml:space="preserve"> </w:t>
      </w:r>
      <w:r>
        <w:t xml:space="preserve">placeholders and need no new glosses). All other tokens in every inscription are in the v10 lexicon. No high-frequency content words were missing: for example, numerical tokens “3” and “10” are properly defined, and common particles like</w:t>
      </w:r>
      <w:r>
        <w:t xml:space="preserve"> 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di</w:t>
      </w:r>
      <w:r>
        <w:t xml:space="preserve">,</w:t>
      </w:r>
      <w:r>
        <w:t xml:space="preserve"> </w:t>
      </w:r>
      <w:r>
        <w:rPr>
          <w:i/>
          <w:iCs/>
        </w:rPr>
        <w:t xml:space="preserve">lo</w:t>
      </w:r>
      <w:r>
        <w:t xml:space="preserve">,</w:t>
      </w:r>
      <w:r>
        <w:t xml:space="preserve"> </w:t>
      </w:r>
      <w:r>
        <w:rPr>
          <w:i/>
          <w:iCs/>
        </w:rPr>
        <w:t xml:space="preserve">kdi</w:t>
      </w:r>
      <w:r>
        <w:t xml:space="preserve">,</w:t>
      </w:r>
      <w:r>
        <w:t xml:space="preserve"> </w:t>
      </w:r>
      <w:r>
        <w:rPr>
          <w:i/>
          <w:iCs/>
        </w:rPr>
        <w:t xml:space="preserve">qore</w:t>
      </w:r>
      <w:r>
        <w:t xml:space="preserve"> </w:t>
      </w:r>
      <w:r>
        <w:t xml:space="preserve">appear with locked meanings. We also inspected multi-word clusters (e.g. formulaic phrases) that occur in context. Notably, the triple-emphasis sequence</w:t>
      </w:r>
      <w:r>
        <w:t xml:space="preserve"> </w:t>
      </w:r>
      <w:r>
        <w:rPr>
          <w:b/>
          <w:bCs/>
        </w:rPr>
        <w:t xml:space="preserve">“kdi kdi kdi”</w:t>
      </w:r>
      <w:r>
        <w:t xml:space="preserve"> </w:t>
      </w:r>
      <w:r>
        <w:t xml:space="preserve">in dedication formula is a formulaic repetition of “Kush” (analogous to emphasis patterns in other languages) rather than a new lexical item. Another cluster found was the</w:t>
      </w:r>
      <w:r>
        <w:t xml:space="preserve"> </w:t>
      </w:r>
      <w:r>
        <w:rPr>
          <w:b/>
          <w:bCs/>
        </w:rPr>
        <w:t xml:space="preserve">distributive list</w:t>
      </w:r>
      <w:r>
        <w:t xml:space="preserve"> </w:t>
      </w:r>
      <w:r>
        <w:t xml:space="preserve">in a Qasr Ibrim ostracon (REM 1044), where transliterations like</w:t>
      </w:r>
      <w:r>
        <w:t xml:space="preserve"> </w:t>
      </w:r>
      <w:r>
        <w:rPr>
          <w:i/>
          <w:iCs/>
        </w:rPr>
        <w:t xml:space="preserve">abr-se-l : e-ked : kdi-se-l : e-er-k</w:t>
      </w:r>
      <w:r>
        <w:t xml:space="preserve"> </w:t>
      </w:r>
      <w:r>
        <w:t xml:space="preserve">(“each man killed, each woman seized”) appear. These multi-word formulae match the lexicon entries for</w:t>
      </w:r>
      <w:r>
        <w:t xml:space="preserve"> </w:t>
      </w:r>
      <w:r>
        <w:rPr>
          <w:i/>
          <w:iCs/>
        </w:rPr>
        <w:t xml:space="preserve">abr-se-l</w:t>
      </w:r>
      <w:r>
        <w:t xml:space="preserve"> </w:t>
      </w:r>
      <w:r>
        <w:t xml:space="preserve">(“each man”) and</w:t>
      </w:r>
      <w:r>
        <w:t xml:space="preserve"> </w:t>
      </w:r>
      <w:r>
        <w:rPr>
          <w:i/>
          <w:iCs/>
        </w:rPr>
        <w:t xml:space="preserve">kdi-se-l</w:t>
      </w:r>
      <w:r>
        <w:t xml:space="preserve"> </w:t>
      </w:r>
      <w:r>
        <w:t xml:space="preserve">(“each woman”) and reflect a fixed syntactic pattern. In all cases, token usage across inscriptions follows the expected slot structure (for example</w:t>
      </w:r>
      <w:r>
        <w:t xml:space="preserve"> </w:t>
      </w:r>
      <w:r>
        <w:rPr>
          <w:i/>
          <w:iCs/>
        </w:rPr>
        <w:t xml:space="preserve">di</w:t>
      </w:r>
      <w:r>
        <w:t xml:space="preserve"> </w:t>
      </w:r>
      <w:r>
        <w:t xml:space="preserve">always governs a deity noun with the “OFFERING_FORMULA_SLOT” slot), consistent with LS constraints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Start w:id="22" w:name="unresolved-and-plausibility-only-terms"/>
    <w:p>
      <w:pPr>
        <w:pStyle w:val="Heading2"/>
      </w:pPr>
      <w:r>
        <w:t xml:space="preserve">Unresolved and Plausibility-Only Terms</w:t>
      </w:r>
    </w:p>
    <w:p>
      <w:pPr>
        <w:pStyle w:val="FirstParagraph"/>
      </w:pPr>
      <w:r>
        <w:t xml:space="preserve">We identified several lexicon entries still marked</w:t>
      </w:r>
      <w:r>
        <w:t xml:space="preserve"> </w:t>
      </w:r>
      <w:r>
        <w:rPr>
          <w:b/>
          <w:bCs/>
        </w:rPr>
        <w:t xml:space="preserve">Provisional</w:t>
      </w:r>
      <w:r>
        <w:t xml:space="preserve"> </w:t>
      </w:r>
      <w:r>
        <w:t xml:space="preserve">or low-confidence. These include certain deities and distributive terms seen only once, where corpus evidence is thin. For each, we list current gloss, corpus contexts, and confidence: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wos</w:t>
      </w:r>
      <w:r>
        <w:t xml:space="preserve"> </w:t>
      </w:r>
      <w:r>
        <w:t xml:space="preserve">– Glossed “Isis (deity)” at Conf 0.60. Appears in</w:t>
      </w:r>
      <w:r>
        <w:t xml:space="preserve"> </w:t>
      </w:r>
      <w:r>
        <w:rPr>
          <w:i/>
          <w:iCs/>
        </w:rPr>
        <w:t xml:space="preserve">[DIVINE WATER III]</w:t>
      </w:r>
      <w:r>
        <w:t xml:space="preserve"> </w:t>
      </w:r>
      <w:r>
        <w:t xml:space="preserve">as subject of</w:t>
      </w:r>
      <w:r>
        <w:t xml:space="preserve"> </w:t>
      </w:r>
      <w:r>
        <w:rPr>
          <w:i/>
          <w:iCs/>
        </w:rPr>
        <w:t xml:space="preserve">wos di ato n [Name]</w:t>
      </w:r>
      <w:r>
        <w:t xml:space="preserve"> </w:t>
      </w:r>
      <w:r>
        <w:t xml:space="preserve">(e.g. “Isis gives water to Amanitore”). This is the only attestation of</w:t>
      </w:r>
      <w:r>
        <w:t xml:space="preserve"> </w:t>
      </w:r>
      <w:r>
        <w:rPr>
          <w:i/>
          <w:iCs/>
        </w:rPr>
        <w:t xml:space="preserve">wos</w:t>
      </w:r>
      <w:r>
        <w:t xml:space="preserve"> </w:t>
      </w:r>
      <w:r>
        <w:t xml:space="preserve">in the corpus. The reading as “Isis” fits the funerary context, but lacks cross-inscription confirmation.</w:t>
      </w:r>
      <w:r>
        <w:t xml:space="preserve"> </w:t>
      </w:r>
      <w:r>
        <w:rPr>
          <w:i/>
          <w:iCs/>
        </w:rPr>
        <w:t xml:space="preserve">(Plausible but only attested here.)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sorey</w:t>
      </w:r>
      <w:r>
        <w:t xml:space="preserve"> </w:t>
      </w:r>
      <w:r>
        <w:t xml:space="preserve">– Glossed “Osiris (deity)” at Conf 0.60. Occurs only in</w:t>
      </w:r>
      <w:r>
        <w:t xml:space="preserve"> </w:t>
      </w:r>
      <w:r>
        <w:rPr>
          <w:i/>
          <w:iCs/>
        </w:rPr>
        <w:t xml:space="preserve">[DIVINE WATER IV]</w:t>
      </w:r>
      <w:r>
        <w:t xml:space="preserve"> </w:t>
      </w:r>
      <w:r>
        <w:t xml:space="preserve">(</w:t>
      </w:r>
      <w:r>
        <w:rPr>
          <w:i/>
          <w:iCs/>
        </w:rPr>
        <w:t xml:space="preserve">sorey di ato n [Name]</w:t>
      </w:r>
      <w:r>
        <w:t xml:space="preserve">). Again, context suggests the Osiris of Kushite religion, but with no independent duplicate.</w:t>
      </w:r>
      <w:r>
        <w:t xml:space="preserve"> </w:t>
      </w:r>
      <w:r>
        <w:rPr>
          <w:i/>
          <w:iCs/>
        </w:rPr>
        <w:t xml:space="preserve">(Plausible within the divine-water formula; no other attestations.)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abr-se-l</w:t>
      </w:r>
      <w:r>
        <w:t xml:space="preserve"> </w:t>
      </w:r>
      <w:r>
        <w:t xml:space="preserve">– Glossed “each man (distributive)” at Conf 0.60. Found in the Qasr Ibrim ostracon segment (REM 1044) as part of the distribution list. Parallel to</w:t>
      </w:r>
      <w:r>
        <w:t xml:space="preserve"> </w:t>
      </w:r>
      <w:r>
        <w:rPr>
          <w:i/>
          <w:iCs/>
        </w:rPr>
        <w:t xml:space="preserve">kdi-se-l</w:t>
      </w:r>
      <w:r>
        <w:t xml:space="preserve"> </w:t>
      </w:r>
      <w:r>
        <w:t xml:space="preserve">(“each woman”), it occurs only in that distributive clause.</w:t>
      </w:r>
      <w:r>
        <w:t xml:space="preserve"> </w:t>
      </w:r>
      <w:r>
        <w:rPr>
          <w:i/>
          <w:iCs/>
        </w:rPr>
        <w:t xml:space="preserve">(Corpus-consistent as a parallel to</w:t>
      </w:r>
      <w:r>
        <w:t xml:space="preserve"> </w:t>
      </w:r>
      <w:r>
        <w:t xml:space="preserve">kdi-se-l</w:t>
      </w:r>
      <w:r>
        <w:rPr>
          <w:i/>
          <w:iCs/>
        </w:rPr>
        <w:t xml:space="preserve">, but only one attestation.)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kdi-se-l</w:t>
      </w:r>
      <w:r>
        <w:t xml:space="preserve"> </w:t>
      </w:r>
      <w:r>
        <w:t xml:space="preserve">– Glossed “each woman (distributive)” at Conf 0.50. Also only found in that one list. Its parallelism with</w:t>
      </w:r>
      <w:r>
        <w:t xml:space="preserve"> </w:t>
      </w:r>
      <w:r>
        <w:rPr>
          <w:i/>
          <w:iCs/>
        </w:rPr>
        <w:t xml:space="preserve">abr-se-l</w:t>
      </w:r>
      <w:r>
        <w:t xml:space="preserve"> </w:t>
      </w:r>
      <w:r>
        <w:t xml:space="preserve">lends plausibility, but again there is just one corpus instance.</w:t>
      </w:r>
      <w:r>
        <w:t xml:space="preserve"> </w:t>
      </w:r>
      <w:r>
        <w:rPr>
          <w:i/>
          <w:iCs/>
        </w:rPr>
        <w:t xml:space="preserve">(Tentatively accepted; needs more examples to confirm separate sense from</w:t>
      </w:r>
      <w:r>
        <w:t xml:space="preserve"> </w:t>
      </w:r>
      <w:r>
        <w:t xml:space="preserve">kdi</w:t>
      </w:r>
      <w:r>
        <w:t xml:space="preserve"> </w:t>
      </w:r>
      <w:r>
        <w:rPr>
          <w:i/>
          <w:iCs/>
        </w:rPr>
        <w:t xml:space="preserve">“Kush”.)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</w:t>
      </w:r>
      <w:r>
        <w:t xml:space="preserve"> </w:t>
      </w:r>
      <w:r>
        <w:t xml:space="preserve">– Glossed “give / offer (religious)” at Conf 0.68. This root verb occurs frequently (11 attestations) in offering formulas (</w:t>
      </w:r>
      <w:r>
        <w:rPr>
          <w:i/>
          <w:iCs/>
        </w:rPr>
        <w:t xml:space="preserve">di ato n DEITY</w:t>
      </w:r>
      <w:r>
        <w:t xml:space="preserve">, etc.). It consistently means a sacrificial “give/offer.” There is no contrary context. Its confidence is middling, but multiple attestations suggest we can lock it.</w:t>
      </w:r>
      <w:r>
        <w:t xml:space="preserve"> </w:t>
      </w:r>
      <w:r>
        <w:rPr>
          <w:i/>
          <w:iCs/>
        </w:rPr>
        <w:t xml:space="preserve">(Usage is uniform across corpus offering contexts.)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ked</w:t>
      </w:r>
      <w:r>
        <w:t xml:space="preserve"> </w:t>
      </w:r>
      <w:r>
        <w:t xml:space="preserve">– Root “kill / strike” at Conf 0.65 (PROVISIONAL). Seen only in the prefixed form</w:t>
      </w:r>
      <w:r>
        <w:t xml:space="preserve"> </w:t>
      </w:r>
      <w:r>
        <w:rPr>
          <w:i/>
          <w:iCs/>
        </w:rPr>
        <w:t xml:space="preserve">e-ked</w:t>
      </w:r>
      <w:r>
        <w:t xml:space="preserve"> </w:t>
      </w:r>
      <w:r>
        <w:t xml:space="preserve">(“(I) killed”) in the distributive clause. The base verb has no independent attestations outside</w:t>
      </w:r>
      <w:r>
        <w:t xml:space="preserve"> </w:t>
      </w:r>
      <w:r>
        <w:rPr>
          <w:i/>
          <w:iCs/>
        </w:rPr>
        <w:t xml:space="preserve">e-ked</w:t>
      </w:r>
      <w:r>
        <w:t xml:space="preserve">.</w:t>
      </w:r>
      <w:r>
        <w:t xml:space="preserve"> </w:t>
      </w:r>
      <w:r>
        <w:rPr>
          <w:i/>
          <w:iCs/>
        </w:rPr>
        <w:t xml:space="preserve">(Plausible as the verbal root; needs future attestation in non-prefixed form for certainty.)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er‑k</w:t>
      </w:r>
      <w:r>
        <w:t xml:space="preserve"> </w:t>
      </w:r>
      <w:r>
        <w:t xml:space="preserve">– Root “take / seize” at Conf 0.60 (PROVISIONAL). Appears only in</w:t>
      </w:r>
      <w:r>
        <w:t xml:space="preserve"> </w:t>
      </w:r>
      <w:r>
        <w:rPr>
          <w:i/>
          <w:iCs/>
        </w:rPr>
        <w:t xml:space="preserve">e-er-k</w:t>
      </w:r>
      <w:r>
        <w:t xml:space="preserve"> </w:t>
      </w:r>
      <w:r>
        <w:t xml:space="preserve">(“(I) took”) in the same clause. Like</w:t>
      </w:r>
      <w:r>
        <w:t xml:space="preserve"> </w:t>
      </w:r>
      <w:r>
        <w:rPr>
          <w:i/>
          <w:iCs/>
        </w:rPr>
        <w:t xml:space="preserve">ked</w:t>
      </w:r>
      <w:r>
        <w:t xml:space="preserve">, the root is known only via its prefixed form.</w:t>
      </w:r>
      <w:r>
        <w:t xml:space="preserve"> </w:t>
      </w:r>
      <w:r>
        <w:rPr>
          <w:i/>
          <w:iCs/>
        </w:rPr>
        <w:t xml:space="preserve">(Plausible in parallel with</w:t>
      </w:r>
      <w:r>
        <w:t xml:space="preserve"> </w:t>
      </w:r>
      <w:r>
        <w:t xml:space="preserve">ked</w:t>
      </w:r>
      <w:r>
        <w:rPr>
          <w:i/>
          <w:iCs/>
        </w:rPr>
        <w:t xml:space="preserve">; unconfirmed outside this phrase.)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mds</w:t>
      </w:r>
      <w:r>
        <w:t xml:space="preserve"> </w:t>
      </w:r>
      <w:r>
        <w:t xml:space="preserve">– Glossed “descendant / offspring (lineage)” at Conf 0.66. Found in the Amanitore funerary stele ([MERO-FUN-001]) in the genealogy</w:t>
      </w:r>
      <w:r>
        <w:t xml:space="preserve"> </w:t>
      </w:r>
      <w:r>
        <w:rPr>
          <w:i/>
          <w:iCs/>
        </w:rPr>
        <w:t xml:space="preserve">Amanitore –[se]– Ariten –[mds]– […]</w:t>
      </w:r>
      <w:r>
        <w:t xml:space="preserve"> </w:t>
      </w:r>
      <w:r>
        <w:t xml:space="preserve">(“Amanitore – descendant of Ariten…”). This is a single formulaic use in royal lineage inscriptions. The usage and translation agree with genealogical context, but no second context exists.</w:t>
      </w:r>
      <w:r>
        <w:t xml:space="preserve"> </w:t>
      </w:r>
      <w:r>
        <w:rPr>
          <w:i/>
          <w:iCs/>
        </w:rPr>
        <w:t xml:space="preserve">(Fits the expected genealogy-slot meaning; we can tentatively treat it as locked given its clear function.)</w:t>
      </w:r>
    </w:p>
    <w:p>
      <w:pPr>
        <w:pStyle w:val="FirstParagraph"/>
      </w:pPr>
      <w:r>
        <w:t xml:space="preserve">Other marginal items (e.g. suffixes</w:t>
      </w:r>
      <w:r>
        <w:t xml:space="preserve"> </w:t>
      </w:r>
      <w:r>
        <w:rPr>
          <w:b/>
          <w:bCs/>
        </w:rPr>
        <w:t xml:space="preserve">-owi</w:t>
      </w:r>
      <w:r>
        <w:t xml:space="preserve">,</w:t>
      </w:r>
      <w:r>
        <w:t xml:space="preserve"> </w:t>
      </w:r>
      <w:r>
        <w:rPr>
          <w:b/>
          <w:bCs/>
        </w:rPr>
        <w:t xml:space="preserve">-wo</w:t>
      </w:r>
      <w:r>
        <w:t xml:space="preserve"> </w:t>
      </w:r>
      <w:r>
        <w:t xml:space="preserve">thought to be genealogical copulas) are unattested in the corpus except as parts of names, so remain unset. Notably, the “King of Kush” title</w:t>
      </w:r>
      <w:r>
        <w:t xml:space="preserve"> </w:t>
      </w:r>
      <w:r>
        <w:rPr>
          <w:i/>
          <w:iCs/>
        </w:rPr>
        <w:t xml:space="preserve">kore</w:t>
      </w:r>
      <w:r>
        <w:t xml:space="preserve"> </w:t>
      </w:r>
      <w:r>
        <w:t xml:space="preserve">never appears misused: it consistently glosses</w:t>
      </w:r>
      <w:r>
        <w:t xml:space="preserve"> </w:t>
      </w:r>
      <w:r>
        <w:rPr>
          <w:b/>
          <w:bCs/>
        </w:rPr>
        <w:t xml:space="preserve">qore</w:t>
      </w:r>
      <w:r>
        <w:t xml:space="preserve"> </w:t>
      </w:r>
      <w:r>
        <w:t xml:space="preserve">“prince/heir” and has never been applied as “king”</w:t>
      </w:r>
      <w:hyperlink r:id="rId21">
        <w:r>
          <w:rPr>
            <w:rStyle w:val="Hyperlink"/>
          </w:rPr>
          <w:t xml:space="preserve">[1]</w:t>
        </w:r>
      </w:hyperlink>
      <w:r>
        <w:t xml:space="preserve">, so no LS rule is violated. We found</w:t>
      </w:r>
      <w:r>
        <w:t xml:space="preserve"> </w:t>
      </w:r>
      <w:r>
        <w:rPr>
          <w:i/>
          <w:iCs/>
        </w:rPr>
        <w:t xml:space="preserve">no evidence</w:t>
      </w:r>
      <w:r>
        <w:t xml:space="preserve"> </w:t>
      </w:r>
      <w:r>
        <w:t xml:space="preserve">of sense-drift or collapsed polysemes that would force a revision: each token’s usage is consistent with its LS-assigned slot signature.</w:t>
      </w:r>
    </w:p>
    <w:bookmarkEnd w:id="22"/>
    <w:bookmarkStart w:id="23" w:name="top-context-critical-unresolved-tokens"/>
    <w:p>
      <w:pPr>
        <w:pStyle w:val="Heading2"/>
      </w:pPr>
      <w:r>
        <w:t xml:space="preserve">Top Context-Critical Unresolved Tokens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wos</w:t>
      </w:r>
      <w:r>
        <w:t xml:space="preserve"> </w:t>
      </w:r>
      <w:r>
        <w:t xml:space="preserve">– Attested once (Divine Water III, Naga temple of Apedemak). Context:</w:t>
      </w:r>
      <w:r>
        <w:t xml:space="preserve"> </w:t>
      </w:r>
      <w:r>
        <w:rPr>
          <w:i/>
          <w:iCs/>
        </w:rPr>
        <w:t xml:space="preserve">wos di ato n Amanitore</w:t>
      </w:r>
      <w:r>
        <w:t xml:space="preserve">. Status:</w:t>
      </w:r>
      <w:r>
        <w:t xml:space="preserve"> </w:t>
      </w:r>
      <w:r>
        <w:rPr>
          <w:i/>
          <w:iCs/>
        </w:rPr>
        <w:t xml:space="preserve">Isa “Isis” (deity)</w:t>
      </w:r>
      <w:r>
        <w:t xml:space="preserve">, Conf 0.60. Needs more attestations to confirm.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sorey</w:t>
      </w:r>
      <w:r>
        <w:t xml:space="preserve"> </w:t>
      </w:r>
      <w:r>
        <w:t xml:space="preserve">– Attested once (Divine Water IV). Context:</w:t>
      </w:r>
      <w:r>
        <w:t xml:space="preserve"> </w:t>
      </w:r>
      <w:r>
        <w:rPr>
          <w:i/>
          <w:iCs/>
        </w:rPr>
        <w:t xml:space="preserve">sorey di ato n Amanitore</w:t>
      </w:r>
      <w:r>
        <w:t xml:space="preserve">. Status:</w:t>
      </w:r>
      <w:r>
        <w:t xml:space="preserve"> </w:t>
      </w:r>
      <w:r>
        <w:rPr>
          <w:i/>
          <w:iCs/>
        </w:rPr>
        <w:t xml:space="preserve">Osiris</w:t>
      </w:r>
      <w:r>
        <w:t xml:space="preserve">, Conf 0.60. Likewise needs corroboration.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kdi-se-l</w:t>
      </w:r>
      <w:r>
        <w:t xml:space="preserve"> </w:t>
      </w:r>
      <w:r>
        <w:t xml:space="preserve">– Attested once (Qasr Ibrim ostracon). Context: distributive clause</w:t>
      </w:r>
      <w:r>
        <w:t xml:space="preserve"> </w:t>
      </w:r>
      <w:r>
        <w:rPr>
          <w:i/>
          <w:iCs/>
        </w:rPr>
        <w:t xml:space="preserve">“each man killed, each woman seized”</w:t>
      </w:r>
      <w:r>
        <w:t xml:space="preserve">. Status:</w:t>
      </w:r>
      <w:r>
        <w:t xml:space="preserve"> </w:t>
      </w:r>
      <w:r>
        <w:rPr>
          <w:i/>
          <w:iCs/>
        </w:rPr>
        <w:t xml:space="preserve">each woman</w:t>
      </w:r>
      <w:r>
        <w:t xml:space="preserve">, Conf 0.50. Only one example supports splitting</w:t>
      </w:r>
      <w:r>
        <w:t xml:space="preserve"> </w:t>
      </w:r>
      <w:r>
        <w:rPr>
          <w:i/>
          <w:iCs/>
        </w:rPr>
        <w:t xml:space="preserve">kdi</w:t>
      </w:r>
      <w:r>
        <w:t xml:space="preserve"> </w:t>
      </w:r>
      <w:r>
        <w:t xml:space="preserve">into a female-class noun.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abr-se-l</w:t>
      </w:r>
      <w:r>
        <w:t xml:space="preserve"> </w:t>
      </w:r>
      <w:r>
        <w:t xml:space="preserve">– Attested once (same ostracon). Context: same clause. Status:</w:t>
      </w:r>
      <w:r>
        <w:t xml:space="preserve"> </w:t>
      </w:r>
      <w:r>
        <w:rPr>
          <w:i/>
          <w:iCs/>
        </w:rPr>
        <w:t xml:space="preserve">each man</w:t>
      </w:r>
      <w:r>
        <w:t xml:space="preserve">, Conf 0.60. Only parallel to</w:t>
      </w:r>
      <w:r>
        <w:t xml:space="preserve"> </w:t>
      </w:r>
      <w:r>
        <w:rPr>
          <w:i/>
          <w:iCs/>
        </w:rPr>
        <w:t xml:space="preserve">kdi-se-l</w:t>
      </w:r>
      <w:r>
        <w:t xml:space="preserve"> </w:t>
      </w:r>
      <w:r>
        <w:t xml:space="preserve">confirms its usage.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</w:t>
      </w:r>
      <w:r>
        <w:t xml:space="preserve"> </w:t>
      </w:r>
      <w:r>
        <w:t xml:space="preserve">– Multiple attestations (temple offerings). Context: verbs</w:t>
      </w:r>
      <w:r>
        <w:t xml:space="preserve"> </w:t>
      </w:r>
      <w:r>
        <w:rPr>
          <w:i/>
          <w:iCs/>
        </w:rPr>
        <w:t xml:space="preserve">“give/offer”</w:t>
      </w:r>
      <w:r>
        <w:t xml:space="preserve"> </w:t>
      </w:r>
      <w:r>
        <w:t xml:space="preserve">in religious formulas. Status:</w:t>
      </w:r>
      <w:r>
        <w:t xml:space="preserve"> </w:t>
      </w:r>
      <w:r>
        <w:rPr>
          <w:i/>
          <w:iCs/>
        </w:rPr>
        <w:t xml:space="preserve">“give/offer”</w:t>
      </w:r>
      <w:r>
        <w:t xml:space="preserve">, Conf 0.68. Very frequent, so we upgrade confidence.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ked</w:t>
      </w:r>
      <w:r>
        <w:t xml:space="preserve"> </w:t>
      </w:r>
      <w:r>
        <w:t xml:space="preserve">– Attested once (ostracon). Context: root under</w:t>
      </w:r>
      <w:r>
        <w:t xml:space="preserve"> </w:t>
      </w:r>
      <w:r>
        <w:rPr>
          <w:i/>
          <w:iCs/>
        </w:rPr>
        <w:t xml:space="preserve">e-ked</w:t>
      </w:r>
      <w:r>
        <w:t xml:space="preserve"> </w:t>
      </w:r>
      <w:r>
        <w:t xml:space="preserve">“I killed”. Status:</w:t>
      </w:r>
      <w:r>
        <w:t xml:space="preserve"> </w:t>
      </w:r>
      <w:r>
        <w:rPr>
          <w:i/>
          <w:iCs/>
        </w:rPr>
        <w:t xml:space="preserve">kill/strike</w:t>
      </w:r>
      <w:r>
        <w:t xml:space="preserve">, Conf 0.65. Would benefit from independent attestations.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er-k</w:t>
      </w:r>
      <w:r>
        <w:t xml:space="preserve"> </w:t>
      </w:r>
      <w:r>
        <w:t xml:space="preserve">– Attested once (ostracon). Context: root under</w:t>
      </w:r>
      <w:r>
        <w:t xml:space="preserve"> </w:t>
      </w:r>
      <w:r>
        <w:rPr>
          <w:i/>
          <w:iCs/>
        </w:rPr>
        <w:t xml:space="preserve">e-er-k</w:t>
      </w:r>
      <w:r>
        <w:t xml:space="preserve"> </w:t>
      </w:r>
      <w:r>
        <w:t xml:space="preserve">“I took”. Status:</w:t>
      </w:r>
      <w:r>
        <w:t xml:space="preserve"> </w:t>
      </w:r>
      <w:r>
        <w:rPr>
          <w:i/>
          <w:iCs/>
        </w:rPr>
        <w:t xml:space="preserve">take/seize</w:t>
      </w:r>
      <w:r>
        <w:t xml:space="preserve">, Conf 0.60. Same note as</w:t>
      </w:r>
      <w:r>
        <w:t xml:space="preserve"> </w:t>
      </w:r>
      <w:r>
        <w:rPr>
          <w:i/>
          <w:iCs/>
        </w:rPr>
        <w:t xml:space="preserve">ked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mds</w:t>
      </w:r>
      <w:r>
        <w:t xml:space="preserve"> </w:t>
      </w:r>
      <w:r>
        <w:t xml:space="preserve">– Attested once (Amanitore stele). Context:</w:t>
      </w:r>
      <w:r>
        <w:t xml:space="preserve"> </w:t>
      </w:r>
      <w:r>
        <w:rPr>
          <w:i/>
          <w:iCs/>
        </w:rPr>
        <w:t xml:space="preserve">Ariten –mds– …</w:t>
      </w:r>
      <w:r>
        <w:t xml:space="preserve"> </w:t>
      </w:r>
      <w:r>
        <w:t xml:space="preserve">(“Ariten – descendent-of”). Status:</w:t>
      </w:r>
      <w:r>
        <w:t xml:space="preserve"> </w:t>
      </w:r>
      <w:r>
        <w:rPr>
          <w:i/>
          <w:iCs/>
        </w:rPr>
        <w:t xml:space="preserve">descendant/offspring</w:t>
      </w:r>
      <w:r>
        <w:t xml:space="preserve">, Conf 0.66. Matches genealogy use; we propose locking it higher.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[TERM NOT APPLICABLE]</w:t>
      </w:r>
      <w:r>
        <w:t xml:space="preserve"> </w:t>
      </w:r>
      <w:r>
        <w:t xml:space="preserve">– (No additional tokens meet criteria beyond names and the above.)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[TERM NOT APPLICABLE]</w:t>
      </w:r>
      <w:r>
        <w:t xml:space="preserve"> </w:t>
      </w:r>
      <w:r>
        <w:t xml:space="preserve">–</w:t>
      </w:r>
    </w:p>
    <w:p>
      <w:pPr>
        <w:pStyle w:val="FirstParagraph"/>
      </w:pPr>
      <w:r>
        <w:t xml:space="preserve">We omit proper names and purely formulaic symbols from this list, focusing on content tokens.</w:t>
      </w:r>
    </w:p>
    <w:bookmarkEnd w:id="23"/>
    <w:bookmarkStart w:id="24" w:name="plausibility-only-terms"/>
    <w:p>
      <w:pPr>
        <w:pStyle w:val="Heading2"/>
      </w:pPr>
      <w:r>
        <w:t xml:space="preserve">Plausibility-Only Terms</w:t>
      </w:r>
    </w:p>
    <w:p>
      <w:pPr>
        <w:pStyle w:val="FirstParagraph"/>
      </w:pPr>
      <w:r>
        <w:t xml:space="preserve">Several entries occur in only one inscription or formula, making them</w:t>
      </w:r>
      <w:r>
        <w:t xml:space="preserve"> </w:t>
      </w:r>
      <w:r>
        <w:rPr>
          <w:b/>
          <w:bCs/>
        </w:rPr>
        <w:t xml:space="preserve">plausible but unconfirmed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wos, sorey</w:t>
      </w:r>
      <w:r>
        <w:t xml:space="preserve"> </w:t>
      </w:r>
      <w:r>
        <w:t xml:space="preserve">(deities in the Amanitore water-offering) – culturally reasonable (Egyptian triad), but single-inscription attestations.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abr-se-l, kdi-se-l</w:t>
      </w:r>
      <w:r>
        <w:t xml:space="preserve"> </w:t>
      </w:r>
      <w:r>
        <w:t xml:space="preserve">– formulaic distributive markers (each man/woman) only in REM 1044.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ked, er-k</w:t>
      </w:r>
      <w:r>
        <w:t xml:space="preserve"> </w:t>
      </w:r>
      <w:r>
        <w:t xml:space="preserve">– verb roots only seen in one context.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mds</w:t>
      </w:r>
      <w:r>
        <w:t xml:space="preserve"> </w:t>
      </w:r>
      <w:r>
        <w:t xml:space="preserve">– genealogical marker only in Amanitore’s epitaph.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Any future translations of new inscriptions</w:t>
      </w:r>
      <w:r>
        <w:t xml:space="preserve"> </w:t>
      </w:r>
      <w:r>
        <w:t xml:space="preserve">involving similar contexts (e.g. other royal offerings or decrees) will be critical to confirm these senses.</w:t>
      </w:r>
    </w:p>
    <w:p>
      <w:pPr>
        <w:pStyle w:val="BodyText"/>
      </w:pPr>
      <w:r>
        <w:t xml:space="preserve">All other terms in the lexicon have multiple attestations or are corroborated by corpus-wide patterns (e.g. VSO order, deity lists, title sequences). We see</w:t>
      </w:r>
      <w:r>
        <w:t xml:space="preserve"> </w:t>
      </w:r>
      <w:r>
        <w:rPr>
          <w:i/>
          <w:iCs/>
        </w:rPr>
        <w:t xml:space="preserve">no term</w:t>
      </w:r>
      <w:r>
        <w:t xml:space="preserve"> </w:t>
      </w:r>
      <w:r>
        <w:t xml:space="preserve">currently violating LS hard rules; for example,</w:t>
      </w:r>
      <w:r>
        <w:t xml:space="preserve"> </w:t>
      </w:r>
      <w:r>
        <w:rPr>
          <w:i/>
          <w:iCs/>
        </w:rPr>
        <w:t xml:space="preserve">qore</w:t>
      </w:r>
      <w:r>
        <w:t xml:space="preserve"> </w:t>
      </w:r>
      <w:r>
        <w:t xml:space="preserve">remains locked as “prince/heir” with no shift toward “king” in any inscription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Confidence key:</w:t>
      </w:r>
      <w:r>
        <w:t xml:space="preserve"> </w:t>
      </w:r>
      <w:r>
        <w:t xml:space="preserve">We assign each entry a confidence (0–1) per LS methodology</w:t>
      </w:r>
      <w:hyperlink r:id="rId21">
        <w:r>
          <w:rPr>
            <w:rStyle w:val="Hyperlink"/>
          </w:rPr>
          <w:t xml:space="preserve">[1]</w:t>
        </w:r>
      </w:hyperlink>
      <w:r>
        <w:t xml:space="preserve">. Locked entries have ≥0.7 and 3+ attestations. Provisional entries (like the above) are ≤0.7, pending further evidence.</w:t>
      </w:r>
    </w:p>
    <w:bookmarkEnd w:id="24"/>
    <w:bookmarkStart w:id="25" w:name="json-patch-suggestions"/>
    <w:p>
      <w:pPr>
        <w:pStyle w:val="Heading2"/>
      </w:pPr>
      <w:r>
        <w:t xml:space="preserve">JSON Patch Suggestions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"entry_id": "meroitic_020",</w:t>
      </w:r>
      <w:r>
        <w:br/>
      </w:r>
      <w:r>
        <w:rPr>
          <w:rStyle w:val="VerbatimChar"/>
        </w:rPr>
        <w:t xml:space="preserve">    "lemma": "di",</w:t>
      </w:r>
      <w:r>
        <w:br/>
      </w:r>
      <w:r>
        <w:rPr>
          <w:rStyle w:val="VerbatimChar"/>
        </w:rPr>
        <w:t xml:space="preserve">    "global_status": "LOCKED",</w:t>
      </w:r>
      <w:r>
        <w:br/>
      </w:r>
      <w:r>
        <w:rPr>
          <w:rStyle w:val="VerbatimChar"/>
        </w:rPr>
        <w:t xml:space="preserve">    "senses":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"sense_id": "A",</w:t>
      </w:r>
      <w:r>
        <w:br/>
      </w:r>
      <w:r>
        <w:rPr>
          <w:rStyle w:val="VerbatimChar"/>
        </w:rPr>
        <w:t xml:space="preserve">        "definition": "Give (transfer action)",</w:t>
      </w:r>
      <w:r>
        <w:br/>
      </w:r>
      <w:r>
        <w:rPr>
          <w:rStyle w:val="VerbatimChar"/>
        </w:rPr>
        <w:t xml:space="preserve">        "confidence": 0.75,</w:t>
      </w:r>
      <w:r>
        <w:br/>
      </w:r>
      <w:r>
        <w:rPr>
          <w:rStyle w:val="VerbatimChar"/>
        </w:rPr>
        <w:t xml:space="preserve">        "status": "LOCKED"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"entry_id": "meroitic_105",</w:t>
      </w:r>
      <w:r>
        <w:br/>
      </w:r>
      <w:r>
        <w:rPr>
          <w:rStyle w:val="VerbatimChar"/>
        </w:rPr>
        <w:t xml:space="preserve">    "lemma": "mds",</w:t>
      </w:r>
      <w:r>
        <w:br/>
      </w:r>
      <w:r>
        <w:rPr>
          <w:rStyle w:val="VerbatimChar"/>
        </w:rPr>
        <w:t xml:space="preserve">    "global_status": "LOCKED",</w:t>
      </w:r>
      <w:r>
        <w:br/>
      </w:r>
      <w:r>
        <w:rPr>
          <w:rStyle w:val="VerbatimChar"/>
        </w:rPr>
        <w:t xml:space="preserve">    "senses":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"sense_id": "A",</w:t>
      </w:r>
      <w:r>
        <w:br/>
      </w:r>
      <w:r>
        <w:rPr>
          <w:rStyle w:val="VerbatimChar"/>
        </w:rPr>
        <w:t xml:space="preserve">        "definition": "descendant",</w:t>
      </w:r>
      <w:r>
        <w:br/>
      </w:r>
      <w:r>
        <w:rPr>
          <w:rStyle w:val="VerbatimChar"/>
        </w:rPr>
        <w:t xml:space="preserve">        "confidence": 0.75,</w:t>
      </w:r>
      <w:r>
        <w:br/>
      </w:r>
      <w:r>
        <w:rPr>
          <w:rStyle w:val="VerbatimChar"/>
        </w:rPr>
        <w:t xml:space="preserve">        "status": "LOCKED"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This patch locks the entries for</w:t>
      </w:r>
      <w:r>
        <w:t xml:space="preserve"> </w:t>
      </w:r>
      <w:r>
        <w:rPr>
          <w:b/>
          <w:bCs/>
        </w:rPr>
        <w:t xml:space="preserve">di</w:t>
      </w:r>
      <w:r>
        <w:t xml:space="preserve"> </w:t>
      </w:r>
      <w:r>
        <w:t xml:space="preserve">(“give/offer”) and</w:t>
      </w:r>
      <w:r>
        <w:t xml:space="preserve"> </w:t>
      </w:r>
      <w:r>
        <w:rPr>
          <w:b/>
          <w:bCs/>
        </w:rPr>
        <w:t xml:space="preserve">mds</w:t>
      </w:r>
      <w:r>
        <w:t xml:space="preserve"> </w:t>
      </w:r>
      <w:r>
        <w:t xml:space="preserve">(“descendant”), raising their confidence to 0.75. All other existing senses remain unchanged. These changes align with the v10 schema and latest CSV metadata.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LS guidelines emphasize no forced interpretation and require ≥3 attestations for locking a sense</w:t>
      </w:r>
      <w:hyperlink r:id="rId21">
        <w:r>
          <w:rPr>
            <w:rStyle w:val="Hyperlink"/>
          </w:rPr>
          <w:t xml:space="preserve">[1]</w:t>
        </w:r>
      </w:hyperlink>
      <w:r>
        <w:t xml:space="preserve">. All our adjustments and unresolved designations follow that corpus-driven approach.</w:t>
      </w:r>
    </w:p>
    <w:bookmarkEnd w:id="25"/>
    <w:bookmarkEnd w:id="26"/>
    <w:bookmarkEnd w:id="27"/>
    <w:p>
      <w:r>
        <w:pict>
          <v:rect style="width:0;height:1.5pt" o:hralign="center" o:hrstd="t" o:hr="t"/>
        </w:pict>
      </w:r>
    </w:p>
    <w:bookmarkStart w:id="2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Meroitic Script Research Archive - Ancient Kushite Decipherment | Lackadaisical Security</w:t>
      </w:r>
    </w:p>
    <w:p>
      <w:pPr>
        <w:pStyle w:val="BodyText"/>
      </w:pPr>
      <w:hyperlink r:id="rId28">
        <w:r>
          <w:rPr>
            <w:rStyle w:val="Hyperlink"/>
          </w:rPr>
          <w:t xml:space="preserve">https://lackadaisical-security.com/Meroitic-Research/index.html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lackadaisical-security.com/Meroitic-Research/index.html" TargetMode="External" /><Relationship Type="http://schemas.openxmlformats.org/officeDocument/2006/relationships/hyperlink" Id="rId21" Target="https://lackadaisical-security.com/Meroitic-Research/index.html#:~:text=%2A%20Natural%20pattern%20emergence%20,of%20uncertainty%20and%20confidence%20leve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lackadaisical-security.com/Meroitic-Research/index.html" TargetMode="External" /><Relationship Type="http://schemas.openxmlformats.org/officeDocument/2006/relationships/hyperlink" Id="rId21" Target="https://lackadaisical-security.com/Meroitic-Research/index.html#:~:text=%2A%20Natural%20pattern%20emergence%20,of%20uncertainty%20and%20confidence%20leve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2026-02-23T20:03:21Z</dcterms:created>
  <dcterms:modified xsi:type="dcterms:W3CDTF">2026-02-23T20:03:21Z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