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a1a0101c3f98efb708c7d46446457f321729788"/>
    <w:p>
      <w:pPr>
        <w:pStyle w:val="Heading1"/>
      </w:pPr>
      <w:r>
        <w:t xml:space="preserve">Phase 5: Individual Tablet Analyses and Comparative Glyph Patterns</w:t>
      </w:r>
    </w:p>
    <w:bookmarkStart w:id="30" w:name="X856b52641a0f0970ed5eb6dacbc4d343b7065b2"/>
    <w:p>
      <w:pPr>
        <w:pStyle w:val="Heading2"/>
      </w:pPr>
      <w:r>
        <w:t xml:space="preserve">Phase 5.1: Mamari Tablet (Text C) – Content and Pattern Analysis</w:t>
      </w:r>
    </w:p>
    <w:p>
      <w:pPr>
        <w:pStyle w:val="FirstParagraph"/>
      </w:pPr>
      <w:r>
        <w:t xml:space="preserve">The Mamari tablet is one of the best-understood rongorongo texts, primarily because it contains a</w:t>
      </w:r>
      <w:r>
        <w:t xml:space="preserve"> </w:t>
      </w:r>
      <w:r>
        <w:rPr>
          <w:b/>
          <w:bCs/>
        </w:rPr>
        <w:t xml:space="preserve">lunar calendar</w:t>
      </w:r>
      <w:r>
        <w:t xml:space="preserve"> </w:t>
      </w:r>
      <w:r>
        <w:t xml:space="preserve">sequence that has been</w:t>
      </w:r>
      <w:r>
        <w:t xml:space="preserve"> </w:t>
      </w:r>
      <w:r>
        <w:rPr>
          <w:b/>
          <w:bCs/>
        </w:rPr>
        <w:t xml:space="preserve">partially deciphered</w:t>
      </w:r>
      <w:r>
        <w:t xml:space="preserve">. Thomas Barthel first identified a series of ~30 glyph clusters on Mamari corresponding to the nights of the Rapa Nui lunar month</w:t>
      </w:r>
      <w:hyperlink r:id="rId21">
        <w:r>
          <w:rPr>
            <w:rStyle w:val="Hyperlink"/>
          </w:rPr>
          <w:t xml:space="preserve">[1]</w:t>
        </w:r>
      </w:hyperlink>
      <w:hyperlink r:id="rId22">
        <w:r>
          <w:rPr>
            <w:rStyle w:val="Hyperlink"/>
          </w:rPr>
          <w:t xml:space="preserve">[2]</w:t>
        </w:r>
      </w:hyperlink>
      <w:r>
        <w:t xml:space="preserve">. This calendrical text spans the end of line 6 of side A through lines 7 and 8 (and perhaps the start of line 9) of the tablet</w:t>
      </w:r>
      <w:hyperlink r:id="rId22">
        <w:r>
          <w:rPr>
            <w:rStyle w:val="Hyperlink"/>
          </w:rPr>
          <w:t xml:space="preserve">[2]</w:t>
        </w:r>
      </w:hyperlink>
      <w:r>
        <w:t xml:space="preserve">. Later researchers confirmed this interpretation by correlating the glyph sequence with recorded Rapa Nui moon-night names:</w:t>
      </w:r>
      <w:r>
        <w:t xml:space="preserve"> </w:t>
      </w:r>
      <w:r>
        <w:rPr>
          <w:b/>
          <w:bCs/>
        </w:rPr>
        <w:t xml:space="preserve">William Thomson’s 1886 list of moon nights aligns one-for-one with the Mamari glyph sequence in order, with no additions or omissions</w:t>
      </w:r>
      <w:r>
        <w:t xml:space="preserve">, strongly validating the calendar reading</w:t>
      </w:r>
      <w:hyperlink r:id="rId23">
        <w:r>
          <w:rPr>
            <w:rStyle w:val="Hyperlink"/>
          </w:rPr>
          <w:t xml:space="preserve">[3]</w:t>
        </w:r>
      </w:hyperlink>
      <w:r>
        <w:t xml:space="preserve">. In other words, each glyph (or glyph group) in that part of Mamari corresponds to a night such as</w:t>
      </w:r>
      <w:r>
        <w:t xml:space="preserve"> </w:t>
      </w:r>
      <w:r>
        <w:rPr>
          <w:i/>
          <w:iCs/>
        </w:rPr>
        <w:t xml:space="preserve">Hiro</w:t>
      </w:r>
      <w:r>
        <w:t xml:space="preserve">,</w:t>
      </w:r>
      <w:r>
        <w:t xml:space="preserve"> </w:t>
      </w:r>
      <w:r>
        <w:rPr>
          <w:i/>
          <w:iCs/>
        </w:rPr>
        <w:t xml:space="preserve">Kokore</w:t>
      </w:r>
      <w:r>
        <w:t xml:space="preserve">,</w:t>
      </w:r>
      <w:r>
        <w:t xml:space="preserve"> </w:t>
      </w:r>
      <w:r>
        <w:rPr>
          <w:i/>
          <w:iCs/>
        </w:rPr>
        <w:t xml:space="preserve">Taꞌu</w:t>
      </w:r>
      <w:r>
        <w:t xml:space="preserve"> </w:t>
      </w:r>
      <w:r>
        <w:t xml:space="preserve">and so on, in the same sequence local informants gave those names</w:t>
      </w:r>
      <w:hyperlink r:id="rId23">
        <w:r>
          <w:rPr>
            <w:rStyle w:val="Hyperlink"/>
          </w:rPr>
          <w:t xml:space="preserve">[3]</w:t>
        </w:r>
      </w:hyperlink>
      <w:r>
        <w:t xml:space="preserve">.</w:t>
      </w:r>
    </w:p>
    <w:p>
      <w:pPr>
        <w:pStyle w:val="BodyText"/>
      </w:pPr>
      <w:r>
        <w:t xml:space="preserve">Within the calendar sequence,</w:t>
      </w:r>
      <w:r>
        <w:t xml:space="preserve"> </w:t>
      </w:r>
      <w:r>
        <w:rPr>
          <w:b/>
          <w:bCs/>
        </w:rPr>
        <w:t xml:space="preserve">distinctive patterns</w:t>
      </w:r>
      <w:r>
        <w:t xml:space="preserve"> </w:t>
      </w:r>
      <w:r>
        <w:t xml:space="preserve">emerge. There are 28 main night glyphs plus two special glyphs (making ~30 total, matching a lunar month) arranged symmetrically with the full moon at the center</w:t>
      </w:r>
      <w:hyperlink r:id="rId24">
        <w:r>
          <w:rPr>
            <w:rStyle w:val="Hyperlink"/>
          </w:rPr>
          <w:t xml:space="preserve">[4]</w:t>
        </w:r>
      </w:hyperlink>
      <w:r>
        <w:t xml:space="preserve">. Certain glyphs repeat in a regular cycle: for example,</w:t>
      </w:r>
      <w:r>
        <w:t xml:space="preserve"> </w:t>
      </w:r>
      <w:r>
        <w:rPr>
          <w:b/>
          <w:bCs/>
        </w:rPr>
        <w:t xml:space="preserve">a particular “fish” glyph appears eight times</w:t>
      </w:r>
      <w:r>
        <w:t xml:space="preserve"> </w:t>
      </w:r>
      <w:r>
        <w:t xml:space="preserve">– four times with its head oriented upward, and four times inverted (head downward)</w:t>
      </w:r>
      <w:hyperlink r:id="rId24">
        <w:r>
          <w:rPr>
            <w:rStyle w:val="Hyperlink"/>
          </w:rPr>
          <w:t xml:space="preserve">[4]</w:t>
        </w:r>
      </w:hyperlink>
      <w:r>
        <w:t xml:space="preserve">. Researchers interpret this as a clever device to mark the moon’s waxing vs. waning phases: the fish glyph is upright during the waxing half of the month and upside-down during the waning half</w:t>
      </w:r>
      <w:hyperlink r:id="rId24">
        <w:r>
          <w:rPr>
            <w:rStyle w:val="Hyperlink"/>
          </w:rPr>
          <w:t xml:space="preserve">[4]</w:t>
        </w:r>
      </w:hyperlink>
      <w:r>
        <w:t xml:space="preserve">. This orientation pattern, along with other recurring sequences, shows the scribes encoded</w:t>
      </w:r>
      <w:r>
        <w:t xml:space="preserve"> </w:t>
      </w:r>
      <w:r>
        <w:rPr>
          <w:b/>
          <w:bCs/>
        </w:rPr>
        <w:t xml:space="preserve">astronomical information in a structured way</w:t>
      </w:r>
      <w:r>
        <w:t xml:space="preserve">, reinforcing that this section is a functional lunisolar calendar</w:t>
      </w:r>
      <w:hyperlink r:id="rId24">
        <w:r>
          <w:rPr>
            <w:rStyle w:val="Hyperlink"/>
          </w:rPr>
          <w:t xml:space="preserve">[4]</w:t>
        </w:r>
      </w:hyperlink>
      <w:r>
        <w:t xml:space="preserve">. Indeed, Jacques Guy demonstrated that the sequence of glyphs on Mamari correlates with the traditional Polynesian metaphor of the moon as a growing and shrinking</w:t>
      </w:r>
      <w:r>
        <w:t xml:space="preserve"> </w:t>
      </w:r>
      <w:r>
        <w:rPr>
          <w:i/>
          <w:iCs/>
        </w:rPr>
        <w:t xml:space="preserve">fruit</w:t>
      </w:r>
      <w:r>
        <w:t xml:space="preserve"> </w:t>
      </w:r>
      <w:r>
        <w:t xml:space="preserve">(glyph 74</w:t>
      </w:r>
      <w:r>
        <w:t xml:space="preserve"> </w:t>
      </w:r>
      <w:r>
        <w:rPr>
          <w:b/>
          <w:bCs/>
        </w:rPr>
        <w:t xml:space="preserve">hua</w:t>
      </w:r>
      <w:r>
        <w:t xml:space="preserve"> </w:t>
      </w:r>
      <w:r>
        <w:t xml:space="preserve">“fruit” appears for the first quarter moon night)</w:t>
      </w:r>
      <w:hyperlink r:id="rId25">
        <w:r>
          <w:rPr>
            <w:rStyle w:val="Hyperlink"/>
          </w:rPr>
          <w:t xml:space="preserve">[5]</w:t>
        </w:r>
      </w:hyperlink>
      <w:hyperlink r:id="rId26">
        <w:r>
          <w:rPr>
            <w:rStyle w:val="Hyperlink"/>
          </w:rPr>
          <w:t xml:space="preserve">[6]</w:t>
        </w:r>
      </w:hyperlink>
      <w:r>
        <w:t xml:space="preserve">. The</w:t>
      </w:r>
      <w:r>
        <w:t xml:space="preserve"> </w:t>
      </w:r>
      <w:r>
        <w:rPr>
          <w:b/>
          <w:bCs/>
        </w:rPr>
        <w:t xml:space="preserve">full moon</w:t>
      </w:r>
      <w:r>
        <w:t xml:space="preserve"> </w:t>
      </w:r>
      <w:r>
        <w:t xml:space="preserve">night sits at the midpoint of the sequence, and the nights on either side mirror each other in glyph composition, consistent with the waxing/waning symmetry</w:t>
      </w:r>
      <w:hyperlink r:id="rId24">
        <w:r>
          <w:rPr>
            <w:rStyle w:val="Hyperlink"/>
          </w:rPr>
          <w:t xml:space="preserve">[4]</w:t>
        </w:r>
      </w:hyperlink>
      <w:r>
        <w:t xml:space="preserve">.</w:t>
      </w:r>
    </w:p>
    <w:p>
      <w:pPr>
        <w:pStyle w:val="BodyText"/>
      </w:pPr>
      <w:r>
        <w:t xml:space="preserve">Outside of the famous calendar portion, the Mamari tablet’s content is more enigmatic and appears</w:t>
      </w:r>
      <w:r>
        <w:t xml:space="preserve"> </w:t>
      </w:r>
      <w:r>
        <w:rPr>
          <w:b/>
          <w:bCs/>
        </w:rPr>
        <w:t xml:space="preserve">varied</w:t>
      </w:r>
      <w:hyperlink r:id="rId27">
        <w:r>
          <w:rPr>
            <w:rStyle w:val="Hyperlink"/>
          </w:rPr>
          <w:t xml:space="preserve">[7]</w:t>
        </w:r>
      </w:hyperlink>
      <w:r>
        <w:t xml:space="preserve">. There are indications of other structured passages on Mamari that</w:t>
      </w:r>
      <w:r>
        <w:t xml:space="preserve"> </w:t>
      </w:r>
      <w:r>
        <w:rPr>
          <w:b/>
          <w:bCs/>
        </w:rPr>
        <w:t xml:space="preserve">parallel sequences on different tablets</w:t>
      </w:r>
      <w:r>
        <w:t xml:space="preserve">, suggesting some shared formulaic texts. For instance, lines Cv2–Cv4 of Mamari contain a</w:t>
      </w:r>
      <w:r>
        <w:t xml:space="preserve"> </w:t>
      </w:r>
      <w:r>
        <w:rPr>
          <w:b/>
          <w:bCs/>
        </w:rPr>
        <w:t xml:space="preserve">repeated glyph sequence involving glyph</w:t>
      </w:r>
      <w:r>
        <w:rPr>
          <w:b/>
          <w:bCs/>
        </w:rPr>
        <w:t xml:space="preserve"> </w:t>
      </w:r>
      <w:r>
        <w:rPr>
          <w:b/>
          <w:bCs/>
          <w:i/>
          <w:iCs/>
        </w:rPr>
        <w:t xml:space="preserve">380.1</w:t>
      </w:r>
      <w:r>
        <w:t xml:space="preserve"> </w:t>
      </w:r>
      <w:r>
        <w:t xml:space="preserve">that also occurs in other inscriptions</w:t>
      </w:r>
      <w:hyperlink r:id="rId27">
        <w:r>
          <w:rPr>
            <w:rStyle w:val="Hyperlink"/>
          </w:rPr>
          <w:t xml:space="preserve">[7]</w:t>
        </w:r>
      </w:hyperlink>
      <w:r>
        <w:t xml:space="preserve">. This implies that Mamari includes at least one</w:t>
      </w:r>
      <w:r>
        <w:t xml:space="preserve"> </w:t>
      </w:r>
      <w:r>
        <w:rPr>
          <w:b/>
          <w:bCs/>
        </w:rPr>
        <w:t xml:space="preserve">common phrase or liturgical sequence</w:t>
      </w:r>
      <w:r>
        <w:t xml:space="preserve"> </w:t>
      </w:r>
      <w:r>
        <w:t xml:space="preserve">found elsewhere in the corpus, beyond its unique calendar. The rest of Mamari’s lines have not been deciphered, but some may also deal with calendrical or ritual content</w:t>
      </w:r>
      <w:hyperlink r:id="rId28">
        <w:r>
          <w:rPr>
            <w:rStyle w:val="Hyperlink"/>
          </w:rPr>
          <w:t xml:space="preserve">[8]</w:t>
        </w:r>
      </w:hyperlink>
      <w:r>
        <w:t xml:space="preserve">. It’s noteworthy that an early 20th-century oral tradition claimed the Mamari tablet (known as</w:t>
      </w:r>
      <w:r>
        <w:t xml:space="preserve"> </w:t>
      </w:r>
      <w:r>
        <w:rPr>
          <w:i/>
          <w:iCs/>
        </w:rPr>
        <w:t xml:space="preserve">Kohau o te Ranga</w:t>
      </w:r>
      <w:r>
        <w:t xml:space="preserve">) was a</w:t>
      </w:r>
      <w:r>
        <w:t xml:space="preserve"> </w:t>
      </w:r>
      <w:r>
        <w:rPr>
          <w:b/>
          <w:bCs/>
        </w:rPr>
        <w:t xml:space="preserve">war tablet listing the names of enemy prisoners</w:t>
      </w:r>
      <w:r>
        <w:t xml:space="preserve">, used magically to ensure victory</w:t>
      </w:r>
      <w:hyperlink r:id="rId29">
        <w:r>
          <w:rPr>
            <w:rStyle w:val="Hyperlink"/>
          </w:rPr>
          <w:t xml:space="preserve">[9]</w:t>
        </w:r>
      </w:hyperlink>
      <w:r>
        <w:t xml:space="preserve">. However, the actual inscriptions that have been decoded – like the lunar calendar – do not obviously match that description. In sum, Mamari stands out as</w:t>
      </w:r>
      <w:r>
        <w:t xml:space="preserve"> </w:t>
      </w:r>
      <w:r>
        <w:rPr>
          <w:i/>
          <w:iCs/>
        </w:rPr>
        <w:t xml:space="preserve">the only rongorongo text with a broadly agreed-upon meaning for a large portion of its content</w:t>
      </w:r>
      <w:r>
        <w:t xml:space="preserve">, thanks to the lunar month sequence</w:t>
      </w:r>
      <w:hyperlink r:id="rId21">
        <w:r>
          <w:rPr>
            <w:rStyle w:val="Hyperlink"/>
          </w:rPr>
          <w:t xml:space="preserve">[1]</w:t>
        </w:r>
      </w:hyperlink>
      <w:r>
        <w:t xml:space="preserve">. This deciphered segment provides a crucial key for researchers, as it demonstrates how</w:t>
      </w:r>
      <w:r>
        <w:t xml:space="preserve"> </w:t>
      </w:r>
      <w:r>
        <w:rPr>
          <w:b/>
          <w:bCs/>
        </w:rPr>
        <w:t xml:space="preserve">repeated glyph clusters and contextual clues</w:t>
      </w:r>
      <w:r>
        <w:t xml:space="preserve"> </w:t>
      </w:r>
      <w:r>
        <w:t xml:space="preserve">(moon phases, known night names) can reveal the text’s subject matter without forcing interpretation. The Mamari calendar serves as a baseline pattern against which other tablets are compared in hopes of identifying similar structures.</w:t>
      </w:r>
    </w:p>
    <w:bookmarkEnd w:id="30"/>
    <w:bookmarkStart w:id="37" w:name="Xc90233f4905870c44ca51bf3f84842ad292127f"/>
    <w:p>
      <w:pPr>
        <w:pStyle w:val="Heading2"/>
      </w:pPr>
      <w:r>
        <w:t xml:space="preserve">Phase 5.2: Aruku Kurenga Tablet (Text B) – Repeated Sequences and Structure</w:t>
      </w:r>
    </w:p>
    <w:p>
      <w:pPr>
        <w:pStyle w:val="FirstParagraph"/>
      </w:pPr>
      <w:r>
        <w:t xml:space="preserve">The Aruku Kurenga tablet is another substantial text in the corpus, comprising around 1,290 glyphs on 22 lines (recto and verso)</w:t>
      </w:r>
      <w:hyperlink r:id="rId31">
        <w:r>
          <w:rPr>
            <w:rStyle w:val="Hyperlink"/>
          </w:rPr>
          <w:t xml:space="preserve">[10]</w:t>
        </w:r>
      </w:hyperlink>
      <w:r>
        <w:t xml:space="preserve">. It is especially intriguing for its</w:t>
      </w:r>
      <w:r>
        <w:t xml:space="preserve"> </w:t>
      </w:r>
      <w:r>
        <w:rPr>
          <w:b/>
          <w:bCs/>
        </w:rPr>
        <w:t xml:space="preserve">internal repetition patterns</w:t>
      </w:r>
      <w:r>
        <w:t xml:space="preserve">.</w:t>
      </w:r>
      <w:r>
        <w:t xml:space="preserve"> </w:t>
      </w:r>
      <w:r>
        <w:rPr>
          <w:b/>
          <w:bCs/>
        </w:rPr>
        <w:t xml:space="preserve">Butinov and Knorozov (1956) discovered that Aruku Kurenga contains three large sequences of glyphs that are nearly identical</w:t>
      </w:r>
      <w:r>
        <w:t xml:space="preserve"> </w:t>
      </w:r>
      <w:r>
        <w:t xml:space="preserve">– in their words, “evidently, this is one and the same text, given in three variants”</w:t>
      </w:r>
      <w:hyperlink r:id="rId32">
        <w:r>
          <w:rPr>
            <w:rStyle w:val="Hyperlink"/>
          </w:rPr>
          <w:t xml:space="preserve">[11]</w:t>
        </w:r>
      </w:hyperlink>
      <w:r>
        <w:t xml:space="preserve">. In other words, a lengthy passage of glyphs is written, then later in the text a very similar passage is repeated, and yet again a third time. This is a rare phenomenon among the rongorongo tablets. The repeating sequences suggest that the tablet might be a compiled</w:t>
      </w:r>
      <w:r>
        <w:t xml:space="preserve"> </w:t>
      </w:r>
      <w:r>
        <w:rPr>
          <w:b/>
          <w:bCs/>
        </w:rPr>
        <w:t xml:space="preserve">collation of texts or verses</w:t>
      </w:r>
      <w:r>
        <w:t xml:space="preserve">. One interpretation is that Aruku Kurenga could be recording a</w:t>
      </w:r>
      <w:r>
        <w:t xml:space="preserve"> </w:t>
      </w:r>
      <w:r>
        <w:rPr>
          <w:b/>
          <w:bCs/>
        </w:rPr>
        <w:t xml:space="preserve">ritual chant or narrative in a refrain-like format</w:t>
      </w:r>
      <w:r>
        <w:t xml:space="preserve">, where the same invocation or story is told multiple times (perhaps to preserve different versions or for recitation by multiple performers). Steven Fischer indeed proposed that Aruku might not be a single continuous narrative but rather a</w:t>
      </w:r>
      <w:r>
        <w:t xml:space="preserve"> </w:t>
      </w:r>
      <w:r>
        <w:rPr>
          <w:b/>
          <w:bCs/>
        </w:rPr>
        <w:t xml:space="preserve">composite of several texts or iterations</w:t>
      </w:r>
      <w:r>
        <w:t xml:space="preserve">, possibly assembled by a scribe</w:t>
      </w:r>
      <w:hyperlink r:id="rId33">
        <w:r>
          <w:rPr>
            <w:rStyle w:val="Hyperlink"/>
          </w:rPr>
          <w:t xml:space="preserve">[12]</w:t>
        </w:r>
      </w:hyperlink>
      <w:r>
        <w:t xml:space="preserve">. These repeated clusters emerged “naturally” from the text and were not forced by any modern analysis – they are plainly visible upon close comparison of the lines, highlighting a</w:t>
      </w:r>
      <w:r>
        <w:t xml:space="preserve"> </w:t>
      </w:r>
      <w:r>
        <w:rPr>
          <w:b/>
          <w:bCs/>
        </w:rPr>
        <w:t xml:space="preserve">pattern of deliberate duplication</w:t>
      </w:r>
      <w:r>
        <w:t xml:space="preserve">.</w:t>
      </w:r>
    </w:p>
    <w:p>
      <w:pPr>
        <w:pStyle w:val="BodyText"/>
      </w:pPr>
      <w:r>
        <w:t xml:space="preserve">Historically, Tablet B (Aruku Kurenga) played a prominent role in early attempts to understand rongorongo. It was among the tablets given to Bishop Florentin Jaussen, and his Rapanui informant Metoro Tau‘a Ure was asked to “read” it aloud</w:t>
      </w:r>
      <w:hyperlink r:id="rId34">
        <w:r>
          <w:rPr>
            <w:rStyle w:val="Hyperlink"/>
          </w:rPr>
          <w:t xml:space="preserve">[13]</w:t>
        </w:r>
      </w:hyperlink>
      <w:r>
        <w:t xml:space="preserve">. Metoro did recite something while pointing to the glyphs (starting correctly at the bottom of the recto, per the rongorongo reading order</w:t>
      </w:r>
      <w:hyperlink r:id="rId34">
        <w:r>
          <w:rPr>
            <w:rStyle w:val="Hyperlink"/>
          </w:rPr>
          <w:t xml:space="preserve">[13]</w:t>
        </w:r>
      </w:hyperlink>
      <w:r>
        <w:t xml:space="preserve">), and Jaussen transcribed those chants. However, the result – known as the “Jaussen List” – proved</w:t>
      </w:r>
      <w:r>
        <w:t xml:space="preserve"> </w:t>
      </w:r>
      <w:r>
        <w:rPr>
          <w:b/>
          <w:bCs/>
        </w:rPr>
        <w:t xml:space="preserve">incoherent and of no use in deciphering the script</w:t>
      </w:r>
      <w:hyperlink r:id="rId34">
        <w:r>
          <w:rPr>
            <w:rStyle w:val="Hyperlink"/>
          </w:rPr>
          <w:t xml:space="preserve">[13]</w:t>
        </w:r>
      </w:hyperlink>
      <w:r>
        <w:t xml:space="preserve">. The transcribed chant did not correspond to the glyph sequences in any straightforward way. Modern analysts believe Metoro’s recitation was likely a series of memorized chants or prayers triggered by seeing familiar symbols, rather than a direct reading of the text. This episode underscores the difficulty in interpreting Aruku Kurenga’s repeated sequences: even a 19th-century islander versed in oral lore gave</w:t>
      </w:r>
      <w:r>
        <w:t xml:space="preserve"> </w:t>
      </w:r>
      <w:r>
        <w:rPr>
          <w:b/>
          <w:bCs/>
        </w:rPr>
        <w:t xml:space="preserve">interpretations that diverged from the text’s actual content</w:t>
      </w:r>
      <w:r>
        <w:t xml:space="preserve">, indicating we must analyze the patterns without imposing assumed meanings.</w:t>
      </w:r>
    </w:p>
    <w:p>
      <w:pPr>
        <w:pStyle w:val="BodyText"/>
      </w:pPr>
      <w:r>
        <w:t xml:space="preserve">From a structural standpoint, Aruku Kurenga shares some affinities with other large tablets. Researchers have noted that certain</w:t>
      </w:r>
      <w:r>
        <w:t xml:space="preserve"> </w:t>
      </w:r>
      <w:r>
        <w:rPr>
          <w:b/>
          <w:bCs/>
        </w:rPr>
        <w:t xml:space="preserve">prominent glyph pairings</w:t>
      </w:r>
      <w:r>
        <w:t xml:space="preserve"> </w:t>
      </w:r>
      <w:r>
        <w:t xml:space="preserve">and sequences in Aruku also appear in the so-called “Great Tradition” texts (a proposed grouping of texts with mythic or ritual content, discussed further below)</w:t>
      </w:r>
      <w:hyperlink r:id="rId35">
        <w:r>
          <w:rPr>
            <w:rStyle w:val="Hyperlink"/>
          </w:rPr>
          <w:t xml:space="preserve">[14]</w:t>
        </w:r>
      </w:hyperlink>
      <w:r>
        <w:t xml:space="preserve">. In fact,</w:t>
      </w:r>
      <w:r>
        <w:t xml:space="preserve"> </w:t>
      </w:r>
      <w:r>
        <w:rPr>
          <w:b/>
          <w:bCs/>
        </w:rPr>
        <w:t xml:space="preserve">comparative analysis finds overlapping segments between Aruku (Text B) and tablets like Large Santiago (Text H) and Large St. Petersburg (Text P)</w:t>
      </w:r>
      <w:hyperlink r:id="rId35">
        <w:r>
          <w:rPr>
            <w:rStyle w:val="Hyperlink"/>
          </w:rPr>
          <w:t xml:space="preserve">[14]</w:t>
        </w:r>
      </w:hyperlink>
      <w:r>
        <w:t xml:space="preserve">. This hints that Aruku’s content might belong to a broader narrative or genre circulated in multiple copies. The presence of</w:t>
      </w:r>
      <w:r>
        <w:t xml:space="preserve"> </w:t>
      </w:r>
      <w:r>
        <w:rPr>
          <w:b/>
          <w:bCs/>
        </w:rPr>
        <w:t xml:space="preserve">glyph 32 as a delimiter</w:t>
      </w:r>
      <w:r>
        <w:t xml:space="preserve"> </w:t>
      </w:r>
      <w:r>
        <w:t xml:space="preserve">in Aruku is one example: a structured sequence in Aruku is delimited by a specific glyph (Barthel #32), and a similar construction is observed in other texts, suggesting a standard phrase boundary or refrain marker</w:t>
      </w:r>
      <w:hyperlink r:id="rId36">
        <w:r>
          <w:rPr>
            <w:rStyle w:val="Hyperlink"/>
          </w:rPr>
          <w:t xml:space="preserve">[15]</w:t>
        </w:r>
      </w:hyperlink>
      <w:r>
        <w:t xml:space="preserve">. All these observations emerge from the text itself – e.g. repeated sequences, recurring delimiter signs – pointing to Aruku Kurenga being a carefully structured document. Yet, because we do not force any particular translation onto these patterns, the exact meaning remains unknown. Some have speculated it could be a genealogy, a creation chant, or a lengthy ritual incantation given in variant forms.</w:t>
      </w:r>
      <w:r>
        <w:t xml:space="preserve"> </w:t>
      </w:r>
      <w:r>
        <w:rPr>
          <w:b/>
          <w:bCs/>
        </w:rPr>
        <w:t xml:space="preserve">What is clear is that the scribe intentionally repeated whole passages</w:t>
      </w:r>
      <w:r>
        <w:t xml:space="preserve">, which could imply emphasis or multiple recitations of an important story (perhaps by different chanters or at different occasions). Until decipherment advances, Aruku Kurenga’s repeating clusters stand as</w:t>
      </w:r>
      <w:r>
        <w:t xml:space="preserve"> </w:t>
      </w:r>
      <w:r>
        <w:rPr>
          <w:b/>
          <w:bCs/>
        </w:rPr>
        <w:t xml:space="preserve">natural signposts</w:t>
      </w:r>
      <w:r>
        <w:t xml:space="preserve"> </w:t>
      </w:r>
      <w:r>
        <w:t xml:space="preserve">highlighting potentially important content deserving of cross-comparison with other tablets.</w:t>
      </w:r>
    </w:p>
    <w:bookmarkEnd w:id="37"/>
    <w:bookmarkStart w:id="46" w:name="X67632b186fb3b7ca8498788b41a6c85fec912e5"/>
    <w:p>
      <w:pPr>
        <w:pStyle w:val="Heading2"/>
      </w:pPr>
      <w:r>
        <w:t xml:space="preserve">Phase 5.3: Santiago Staff (Text I) – Genealogical Patterns and Unique Features</w:t>
      </w:r>
    </w:p>
    <w:p>
      <w:pPr>
        <w:pStyle w:val="FirstParagraph"/>
      </w:pPr>
      <w:r>
        <w:t xml:space="preserve">Text I, the Santiago Staff, differs from the flat wooden tablets in form – it is a 126 cm long wooden staff incised with glyphs – but it carries the</w:t>
      </w:r>
      <w:r>
        <w:t xml:space="preserve"> </w:t>
      </w:r>
      <w:r>
        <w:rPr>
          <w:b/>
          <w:bCs/>
        </w:rPr>
        <w:t xml:space="preserve">longest rongorongo inscription</w:t>
      </w:r>
      <w:r>
        <w:t xml:space="preserve"> </w:t>
      </w:r>
      <w:r>
        <w:t xml:space="preserve">(about 2,920 glyphs)</w:t>
      </w:r>
      <w:hyperlink r:id="rId38">
        <w:r>
          <w:rPr>
            <w:rStyle w:val="Hyperlink"/>
          </w:rPr>
          <w:t xml:space="preserve">[16]</w:t>
        </w:r>
      </w:hyperlink>
      <w:r>
        <w:t xml:space="preserve">. Analysis of the Santiago Staff reveals a markedly</w:t>
      </w:r>
      <w:r>
        <w:t xml:space="preserve"> </w:t>
      </w:r>
      <w:r>
        <w:rPr>
          <w:b/>
          <w:bCs/>
        </w:rPr>
        <w:t xml:space="preserve">formulaic and repetitive structure</w:t>
      </w:r>
      <w:r>
        <w:t xml:space="preserve"> </w:t>
      </w:r>
      <w:r>
        <w:t xml:space="preserve">consistent with</w:t>
      </w:r>
      <w:r>
        <w:t xml:space="preserve"> </w:t>
      </w:r>
      <w:r>
        <w:rPr>
          <w:b/>
          <w:bCs/>
        </w:rPr>
        <w:t xml:space="preserve">genealogies or lineage chants</w:t>
      </w:r>
      <w:r>
        <w:t xml:space="preserve">. Statistical studies have shown that Text I’s content is distinct from most other inscriptions, sharing almost nothing in common with non-genealogical texts</w:t>
      </w:r>
      <w:hyperlink r:id="rId39">
        <w:r>
          <w:rPr>
            <w:rStyle w:val="Hyperlink"/>
          </w:rPr>
          <w:t xml:space="preserve">[17]</w:t>
        </w:r>
      </w:hyperlink>
      <w:r>
        <w:t xml:space="preserve">. In fact,</w:t>
      </w:r>
      <w:r>
        <w:t xml:space="preserve"> </w:t>
      </w:r>
      <w:r>
        <w:rPr>
          <w:b/>
          <w:bCs/>
        </w:rPr>
        <w:t xml:space="preserve">Pozdniakov (1996) noted that the Staff shares short repeating phrases only with the Small Santiago tablet (G) and the Honolulu tablet (T)</w:t>
      </w:r>
      <w:r>
        <w:t xml:space="preserve"> </w:t>
      </w:r>
      <w:r>
        <w:t xml:space="preserve">– and not with the rest of the corpus</w:t>
      </w:r>
      <w:hyperlink r:id="rId39">
        <w:r>
          <w:rPr>
            <w:rStyle w:val="Hyperlink"/>
          </w:rPr>
          <w:t xml:space="preserve">[17]</w:t>
        </w:r>
      </w:hyperlink>
      <w:r>
        <w:t xml:space="preserve">. This means the staff, G, and T form a cluster of texts with similar patterns (presumed genealogical lists or king chronicles), whereas the Staff has virtually</w:t>
      </w:r>
      <w:r>
        <w:t xml:space="preserve"> </w:t>
      </w:r>
      <w:r>
        <w:rPr>
          <w:b/>
          <w:bCs/>
        </w:rPr>
        <w:t xml:space="preserve">no overlap in phrases or sequences with tablets like Mamari, Aruku, or the large “Great Tradition” tablets</w:t>
      </w:r>
      <w:hyperlink r:id="rId39">
        <w:r>
          <w:rPr>
            <w:rStyle w:val="Hyperlink"/>
            <w:b/>
            <w:bCs/>
          </w:rPr>
          <w:t xml:space="preserve">[17]</w:t>
        </w:r>
      </w:hyperlink>
      <w:r>
        <w:t xml:space="preserve">. This clean separation is a strong hint that the Staff’s content belongs to a different genre (likely genealogical or historical lists of names) compared to the mythic or calendrical content of other tablets.</w:t>
      </w:r>
    </w:p>
    <w:p>
      <w:pPr>
        <w:pStyle w:val="BodyText"/>
      </w:pPr>
      <w:r>
        <w:t xml:space="preserve">One striking feature of the Santiago Staff is the</w:t>
      </w:r>
      <w:r>
        <w:t xml:space="preserve"> </w:t>
      </w:r>
      <w:r>
        <w:rPr>
          <w:b/>
          <w:bCs/>
        </w:rPr>
        <w:t xml:space="preserve">abundant repetition of a particular glyph, Barthel sign 76</w:t>
      </w:r>
      <w:r>
        <w:t xml:space="preserve">, which depicts a stylized</w:t>
      </w:r>
      <w:r>
        <w:t xml:space="preserve"> </w:t>
      </w:r>
      <w:r>
        <w:rPr>
          <w:b/>
          <w:bCs/>
        </w:rPr>
        <w:t xml:space="preserve">phallic or copulating figure</w:t>
      </w:r>
      <w:r>
        <w:t xml:space="preserve">. Glyph 76 occurs with unusually high frequency in Text I and in the few texts allied with it (G and T)</w:t>
      </w:r>
      <w:hyperlink r:id="rId40">
        <w:r>
          <w:rPr>
            <w:rStyle w:val="Hyperlink"/>
          </w:rPr>
          <w:t xml:space="preserve">[18]</w:t>
        </w:r>
      </w:hyperlink>
      <w:r>
        <w:t xml:space="preserve">. Conversely, this sign is</w:t>
      </w:r>
      <w:r>
        <w:t xml:space="preserve"> </w:t>
      </w:r>
      <w:r>
        <w:rPr>
          <w:i/>
          <w:iCs/>
        </w:rPr>
        <w:t xml:space="preserve">rare or absent</w:t>
      </w:r>
      <w:r>
        <w:t xml:space="preserve"> </w:t>
      </w:r>
      <w:r>
        <w:t xml:space="preserve">in the other rongorongo texts</w:t>
      </w:r>
      <w:hyperlink r:id="rId40">
        <w:r>
          <w:rPr>
            <w:rStyle w:val="Hyperlink"/>
          </w:rPr>
          <w:t xml:space="preserve">[18]</w:t>
        </w:r>
      </w:hyperlink>
      <w:r>
        <w:t xml:space="preserve">. Scholars widely believe that</w:t>
      </w:r>
      <w:r>
        <w:t xml:space="preserve"> </w:t>
      </w:r>
      <w:r>
        <w:rPr>
          <w:b/>
          <w:bCs/>
        </w:rPr>
        <w:t xml:space="preserve">glyph 76 functioned as a relational or generative marker</w:t>
      </w:r>
      <w:r>
        <w:t xml:space="preserve"> </w:t>
      </w:r>
      <w:r>
        <w:t xml:space="preserve">– essentially a verb meaning “to beget” or “to copulate/produce offspring” in a genealogical or creation context</w:t>
      </w:r>
      <w:hyperlink r:id="rId41">
        <w:r>
          <w:rPr>
            <w:rStyle w:val="Hyperlink"/>
          </w:rPr>
          <w:t xml:space="preserve">[19]</w:t>
        </w:r>
      </w:hyperlink>
      <w:r>
        <w:t xml:space="preserve">. Steven Fischer’s attempted decipherment of the Staff hinged on this idea: he interpreted repeated sequences like “Person A – 〖76〗 – Person B” as “A begat B” (or A copulated [with B] to produce…)</w:t>
      </w:r>
      <w:hyperlink r:id="rId41">
        <w:r>
          <w:rPr>
            <w:rStyle w:val="Hyperlink"/>
          </w:rPr>
          <w:t xml:space="preserve">[19]</w:t>
        </w:r>
      </w:hyperlink>
      <w:r>
        <w:t xml:space="preserve">. Indeed, in the compiled lexicons of rongorongo, glyph 76 is glossed with meanings such as</w:t>
      </w:r>
      <w:r>
        <w:t xml:space="preserve"> </w:t>
      </w:r>
      <w:r>
        <w:rPr>
          <w:i/>
          <w:iCs/>
        </w:rPr>
        <w:t xml:space="preserve">“copulate, procreate, genealogical connector (‘begat/son of’)”</w:t>
      </w:r>
      <w:r>
        <w:t xml:space="preserve"> </w:t>
      </w:r>
      <w:r>
        <w:t xml:space="preserve">and is described as a confirmed</w:t>
      </w:r>
      <w:r>
        <w:t xml:space="preserve"> </w:t>
      </w:r>
      <w:r>
        <w:rPr>
          <w:b/>
          <w:bCs/>
        </w:rPr>
        <w:t xml:space="preserve">genealogical linkage sign</w:t>
      </w:r>
      <w:r>
        <w:t xml:space="preserve"> </w:t>
      </w:r>
      <w:r>
        <w:t xml:space="preserve">in lineage texts</w:t>
      </w:r>
      <w:hyperlink r:id="rId41">
        <w:r>
          <w:rPr>
            <w:rStyle w:val="Hyperlink"/>
          </w:rPr>
          <w:t xml:space="preserve">[19]</w:t>
        </w:r>
      </w:hyperlink>
      <w:r>
        <w:t xml:space="preserve">. In support of this, another glyph often found in the Staff’s text is Barthel</w:t>
      </w:r>
      <w:r>
        <w:t xml:space="preserve"> </w:t>
      </w:r>
      <w:r>
        <w:rPr>
          <w:b/>
          <w:bCs/>
        </w:rPr>
        <w:t xml:space="preserve">glyph 400</w:t>
      </w:r>
      <w:r>
        <w:t xml:space="preserve">, a small anthropomorphic figure. Glyph 400 has been hypothesized to mean</w:t>
      </w:r>
      <w:r>
        <w:t xml:space="preserve"> </w:t>
      </w:r>
      <w:r>
        <w:rPr>
          <w:i/>
          <w:iCs/>
        </w:rPr>
        <w:t xml:space="preserve">“child/offspring”</w:t>
      </w:r>
      <w:r>
        <w:t xml:space="preserve"> </w:t>
      </w:r>
      <w:r>
        <w:t xml:space="preserve">or</w:t>
      </w:r>
      <w:r>
        <w:t xml:space="preserve"> </w:t>
      </w:r>
      <w:r>
        <w:rPr>
          <w:i/>
          <w:iCs/>
        </w:rPr>
        <w:t xml:space="preserve">“descendant”</w:t>
      </w:r>
      <w:r>
        <w:t xml:space="preserve"> </w:t>
      </w:r>
      <w:r>
        <w:t xml:space="preserve">in these sequences</w:t>
      </w:r>
      <w:hyperlink r:id="rId42">
        <w:r>
          <w:rPr>
            <w:rStyle w:val="Hyperlink"/>
          </w:rPr>
          <w:t xml:space="preserve">[20]</w:t>
        </w:r>
      </w:hyperlink>
      <w:r>
        <w:t xml:space="preserve">. Together, the frequent pairing of adult figures engaged in “procreative” action (glyph 76) and references to offspring (glyph 400) strongly suggest the</w:t>
      </w:r>
      <w:r>
        <w:t xml:space="preserve"> </w:t>
      </w:r>
      <w:r>
        <w:rPr>
          <w:b/>
          <w:bCs/>
        </w:rPr>
        <w:t xml:space="preserve">Staff records sequences of parent–child relationships</w:t>
      </w:r>
      <w:r>
        <w:t xml:space="preserve"> </w:t>
      </w:r>
      <w:r>
        <w:t xml:space="preserve">– essentially genealogies or mythical lineages. This pattern is not forced by analysts; it emerges from the repetition frequency and context of the signs. For example, if one sees</w:t>
      </w:r>
      <w:r>
        <w:t xml:space="preserve"> </w:t>
      </w:r>
      <w:r>
        <w:rPr>
          <w:i/>
          <w:iCs/>
        </w:rPr>
        <w:t xml:space="preserve">X – 76 – Y – 76 – Z – 400 – W</w:t>
      </w:r>
      <w:r>
        <w:t xml:space="preserve"> </w:t>
      </w:r>
      <w:r>
        <w:t xml:space="preserve">repeatedly in varying forms, one might naturally suspect a structure like “X begat Y, [Y begat Z], the offspring W…”, etc., which aligns with genealogical lists (whether of gods or chiefs).</w:t>
      </w:r>
    </w:p>
    <w:p>
      <w:pPr>
        <w:pStyle w:val="BodyText"/>
      </w:pPr>
      <w:r>
        <w:t xml:space="preserve">In addition to its content patterns, Text I is unique in showing potential</w:t>
      </w:r>
      <w:r>
        <w:t xml:space="preserve"> </w:t>
      </w:r>
      <w:r>
        <w:rPr>
          <w:b/>
          <w:bCs/>
        </w:rPr>
        <w:t xml:space="preserve">punctuation or segmentation marks</w:t>
      </w:r>
      <w:r>
        <w:t xml:space="preserve">. It has been called</w:t>
      </w:r>
      <w:r>
        <w:t xml:space="preserve"> </w:t>
      </w:r>
      <w:r>
        <w:rPr>
          <w:i/>
          <w:iCs/>
        </w:rPr>
        <w:t xml:space="preserve">“the only [rongorongo text] which appears to have punctuation”</w:t>
      </w:r>
      <w:r>
        <w:t xml:space="preserve"> </w:t>
      </w:r>
      <w:r>
        <w:t xml:space="preserve">by virtue of a recurring glyph or separator that breaks the text into clauses</w:t>
      </w:r>
      <w:hyperlink r:id="rId38">
        <w:r>
          <w:rPr>
            <w:rStyle w:val="Hyperlink"/>
          </w:rPr>
          <w:t xml:space="preserve">[16]</w:t>
        </w:r>
      </w:hyperlink>
      <w:r>
        <w:t xml:space="preserve">. This might be a visual cue separating generation entries or narrative verses – a feature not clearly seen in other tablets. The presence of such</w:t>
      </w:r>
      <w:r>
        <w:t xml:space="preserve"> </w:t>
      </w:r>
      <w:r>
        <w:rPr>
          <w:b/>
          <w:bCs/>
        </w:rPr>
        <w:t xml:space="preserve">regular dividers</w:t>
      </w:r>
      <w:r>
        <w:t xml:space="preserve"> </w:t>
      </w:r>
      <w:r>
        <w:t xml:space="preserve">reinforces the impression of a list or verse structure (like lineage stanzas). The small Santiago tablet G (which may record a genealogy on one side) and the fluted Honolulu tablet T (a shorter text) follow similar repetitive patterns, though on a smaller scale</w:t>
      </w:r>
      <w:hyperlink r:id="rId43">
        <w:r>
          <w:rPr>
            <w:rStyle w:val="Hyperlink"/>
          </w:rPr>
          <w:t xml:space="preserve">[21]</w:t>
        </w:r>
      </w:hyperlink>
      <w:hyperlink r:id="rId39">
        <w:r>
          <w:rPr>
            <w:rStyle w:val="Hyperlink"/>
          </w:rPr>
          <w:t xml:space="preserve">[17]</w:t>
        </w:r>
      </w:hyperlink>
      <w:r>
        <w:t xml:space="preserve">. But the Staff, being the longest, provides the most extensive example of this</w:t>
      </w:r>
      <w:r>
        <w:t xml:space="preserve"> </w:t>
      </w:r>
      <w:r>
        <w:rPr>
          <w:b/>
          <w:bCs/>
        </w:rPr>
        <w:t xml:space="preserve">repetitive formulaic genre</w:t>
      </w:r>
      <w:r>
        <w:t xml:space="preserve">. Decipherment efforts by Fischer and others have ventured translations of the Staff as a cosmogonic genealogy (for instance, Fischer read it as an origin chant where elemental powers and ancestors beget one another in succession)</w:t>
      </w:r>
      <w:hyperlink r:id="rId41">
        <w:r>
          <w:rPr>
            <w:rStyle w:val="Hyperlink"/>
          </w:rPr>
          <w:t xml:space="preserve">[19]</w:t>
        </w:r>
      </w:hyperlink>
      <w:r>
        <w:t xml:space="preserve">. While these specific readings remain controversial, the underlying</w:t>
      </w:r>
      <w:r>
        <w:t xml:space="preserve"> </w:t>
      </w:r>
      <w:r>
        <w:rPr>
          <w:i/>
          <w:iCs/>
        </w:rPr>
        <w:t xml:space="preserve">pattern</w:t>
      </w:r>
      <w:r>
        <w:t xml:space="preserve"> </w:t>
      </w:r>
      <w:r>
        <w:t xml:space="preserve">– a long sequence of names or terms linked by a “begat/procreated” glyph – is widely accepted as the natural interpretation of the Staff’s structure</w:t>
      </w:r>
      <w:hyperlink r:id="rId41">
        <w:r>
          <w:rPr>
            <w:rStyle w:val="Hyperlink"/>
          </w:rPr>
          <w:t xml:space="preserve">[19]</w:t>
        </w:r>
      </w:hyperlink>
      <w:hyperlink r:id="rId44">
        <w:r>
          <w:rPr>
            <w:rStyle w:val="Hyperlink"/>
          </w:rPr>
          <w:t xml:space="preserve">[22]</w:t>
        </w:r>
      </w:hyperlink>
      <w:r>
        <w:t xml:space="preserve">. It’s also noteworthy that the Staff was reportedly revered by 19th-century Rapanui as containing something “sacred” – when first seen, it was handled with great respect, and elders pointed at the sky while alluding to its glyphs</w:t>
      </w:r>
      <w:hyperlink r:id="rId45">
        <w:r>
          <w:rPr>
            <w:rStyle w:val="Hyperlink"/>
          </w:rPr>
          <w:t xml:space="preserve">[23]</w:t>
        </w:r>
      </w:hyperlink>
      <w:r>
        <w:t xml:space="preserve">. This anecdote (from Philippi 1875) led some to speculate the Staff’s text might be</w:t>
      </w:r>
      <w:r>
        <w:t xml:space="preserve"> </w:t>
      </w:r>
      <w:r>
        <w:rPr>
          <w:b/>
          <w:bCs/>
        </w:rPr>
        <w:t xml:space="preserve">sacred lore</w:t>
      </w:r>
      <w:r>
        <w:t xml:space="preserve"> </w:t>
      </w:r>
      <w:r>
        <w:t xml:space="preserve">such as royal lineage or the creation of the world</w:t>
      </w:r>
      <w:hyperlink r:id="rId45">
        <w:r>
          <w:rPr>
            <w:rStyle w:val="Hyperlink"/>
          </w:rPr>
          <w:t xml:space="preserve">[23]</w:t>
        </w:r>
      </w:hyperlink>
      <w:r>
        <w:t xml:space="preserve">. In summary, the Santiago Staff’s</w:t>
      </w:r>
      <w:r>
        <w:t xml:space="preserve"> </w:t>
      </w:r>
      <w:r>
        <w:rPr>
          <w:b/>
          <w:bCs/>
        </w:rPr>
        <w:t xml:space="preserve">single-glyph frequencies and repeated clusters</w:t>
      </w:r>
      <w:r>
        <w:t xml:space="preserve"> </w:t>
      </w:r>
      <w:r>
        <w:t xml:space="preserve">organically reveal a likely genealogical list, illustrating a different textual genre within rongorongo when compared to Mamari or Aruku. The natural emergence of these patterns (without imposing external meaning) has allowed researchers to classify Text I as a lineage or</w:t>
      </w:r>
      <w:r>
        <w:t xml:space="preserve"> </w:t>
      </w:r>
      <w:r>
        <w:rPr>
          <w:i/>
          <w:iCs/>
        </w:rPr>
        <w:t xml:space="preserve">“name list”</w:t>
      </w:r>
      <w:r>
        <w:t xml:space="preserve"> </w:t>
      </w:r>
      <w:r>
        <w:t xml:space="preserve">text with a high degree of confidence</w:t>
      </w:r>
      <w:hyperlink r:id="rId44">
        <w:r>
          <w:rPr>
            <w:rStyle w:val="Hyperlink"/>
          </w:rPr>
          <w:t xml:space="preserve">[22]</w:t>
        </w:r>
      </w:hyperlink>
      <w:r>
        <w:t xml:space="preserve">, even as the actual identities of those names (ancestors, gods, or chiefs) remain undeciphered.</w:t>
      </w:r>
    </w:p>
    <w:bookmarkEnd w:id="46"/>
    <w:bookmarkStart w:id="58" w:name="Xd8cfd31dc2491b6d25ce2d3fb8a26d0c41696c5"/>
    <w:p>
      <w:pPr>
        <w:pStyle w:val="Heading2"/>
      </w:pPr>
      <w:r>
        <w:t xml:space="preserve">Phase 5.4: Cross-Tablet Glyph Pattern Analysis and Comparative Insights</w:t>
      </w:r>
    </w:p>
    <w:p>
      <w:pPr>
        <w:pStyle w:val="FirstParagraph"/>
      </w:pPr>
      <w:r>
        <w:t xml:space="preserve">Examining all the tablets together, researchers have identified</w:t>
      </w:r>
      <w:r>
        <w:t xml:space="preserve"> </w:t>
      </w:r>
      <w:r>
        <w:rPr>
          <w:b/>
          <w:bCs/>
        </w:rPr>
        <w:t xml:space="preserve">clear pattern groupings</w:t>
      </w:r>
      <w:r>
        <w:t xml:space="preserve"> </w:t>
      </w:r>
      <w:r>
        <w:t xml:space="preserve">and cross-textual relationships through both single-glyph frequency analysis and multi-glyph cluster comparisons. One of the most salient findings is that the rongorongo corpus seems to fall into at least</w:t>
      </w:r>
      <w:r>
        <w:t xml:space="preserve"> </w:t>
      </w:r>
      <w:r>
        <w:rPr>
          <w:b/>
          <w:bCs/>
        </w:rPr>
        <w:t xml:space="preserve">two major content groups</w:t>
      </w:r>
      <w:r>
        <w:t xml:space="preserve"> </w:t>
      </w:r>
      <w:r>
        <w:t xml:space="preserve">based on their internal structures and favored glyph combinations:</w:t>
      </w:r>
    </w:p>
    <w:p>
      <w:pPr>
        <w:numPr>
          <w:ilvl w:val="0"/>
          <w:numId w:val="1001"/>
        </w:numPr>
      </w:pPr>
      <w:r>
        <w:rPr>
          <w:b/>
          <w:bCs/>
        </w:rPr>
        <w:t xml:space="preserve">Genealogical/List Texts:</w:t>
      </w:r>
      <w:r>
        <w:t xml:space="preserve"> </w:t>
      </w:r>
      <w:r>
        <w:t xml:space="preserve">This group includes the</w:t>
      </w:r>
      <w:r>
        <w:t xml:space="preserve"> </w:t>
      </w:r>
      <w:r>
        <w:rPr>
          <w:b/>
          <w:bCs/>
        </w:rPr>
        <w:t xml:space="preserve">Santiago Staff (I)</w:t>
      </w:r>
      <w:r>
        <w:t xml:space="preserve">,</w:t>
      </w:r>
      <w:r>
        <w:t xml:space="preserve"> </w:t>
      </w:r>
      <w:r>
        <w:rPr>
          <w:b/>
          <w:bCs/>
        </w:rPr>
        <w:t xml:space="preserve">Small Santiago (G)</w:t>
      </w:r>
      <w:r>
        <w:t xml:space="preserve">, and the fragmentary</w:t>
      </w:r>
      <w:r>
        <w:t xml:space="preserve"> </w:t>
      </w:r>
      <w:r>
        <w:rPr>
          <w:b/>
          <w:bCs/>
        </w:rPr>
        <w:t xml:space="preserve">Honolulu (T)</w:t>
      </w:r>
      <w:r>
        <w:t xml:space="preserve">. They are characterized by extremely frequent use of</w:t>
      </w:r>
      <w:r>
        <w:t xml:space="preserve"> </w:t>
      </w:r>
      <w:r>
        <w:rPr>
          <w:b/>
          <w:bCs/>
        </w:rPr>
        <w:t xml:space="preserve">glyph 76</w:t>
      </w:r>
      <w:r>
        <w:t xml:space="preserve"> </w:t>
      </w:r>
      <w:r>
        <w:t xml:space="preserve">(the “procreative/genealogy connector”) and often contain</w:t>
      </w:r>
      <w:r>
        <w:t xml:space="preserve"> </w:t>
      </w:r>
      <w:r>
        <w:rPr>
          <w:b/>
          <w:bCs/>
        </w:rPr>
        <w:t xml:space="preserve">short repetitive phrases</w:t>
      </w:r>
      <w:r>
        <w:t xml:space="preserve"> </w:t>
      </w:r>
      <w:r>
        <w:t xml:space="preserve">that recur among themselves</w:t>
      </w:r>
      <w:hyperlink r:id="rId39">
        <w:r>
          <w:rPr>
            <w:rStyle w:val="Hyperlink"/>
          </w:rPr>
          <w:t xml:space="preserve">[17]</w:t>
        </w:r>
      </w:hyperlink>
      <w:hyperlink r:id="rId40">
        <w:r>
          <w:rPr>
            <w:rStyle w:val="Hyperlink"/>
          </w:rPr>
          <w:t xml:space="preserve">[18]</w:t>
        </w:r>
      </w:hyperlink>
      <w:r>
        <w:t xml:space="preserve">. These texts share phrases with each other – for example, Text I and G have specific sequences in common – but significantly, they</w:t>
      </w:r>
      <w:r>
        <w:t xml:space="preserve"> </w:t>
      </w:r>
      <w:r>
        <w:rPr>
          <w:b/>
          <w:bCs/>
        </w:rPr>
        <w:t xml:space="preserve">share almost nothing with the rest of the corpus</w:t>
      </w:r>
      <w:hyperlink r:id="rId39">
        <w:r>
          <w:rPr>
            <w:rStyle w:val="Hyperlink"/>
          </w:rPr>
          <w:t xml:space="preserve">[17]</w:t>
        </w:r>
      </w:hyperlink>
      <w:r>
        <w:t xml:space="preserve">. The heavy use of a “begat” glyph and possibly a child/offspring glyph in these texts suggests they record genealogies or similar repetitive lists. Butinov and Knorozov’s early observation that line Gv6 on the Small Santiago tablet reads like a genealogy (a hypothesis still considered plausible decades later) fits this pattern</w:t>
      </w:r>
      <w:hyperlink r:id="rId44">
        <w:r>
          <w:rPr>
            <w:rStyle w:val="Hyperlink"/>
          </w:rPr>
          <w:t xml:space="preserve">[22]</w:t>
        </w:r>
      </w:hyperlink>
      <w:r>
        <w:t xml:space="preserve">. In line with this,</w:t>
      </w:r>
      <w:r>
        <w:t xml:space="preserve"> </w:t>
      </w:r>
      <w:r>
        <w:rPr>
          <w:b/>
          <w:bCs/>
        </w:rPr>
        <w:t xml:space="preserve">statistical assessments</w:t>
      </w:r>
      <w:r>
        <w:t xml:space="preserve"> </w:t>
      </w:r>
      <w:r>
        <w:t xml:space="preserve">(e.g. de Souza</w:t>
      </w:r>
      <w:r>
        <w:t xml:space="preserve"> </w:t>
      </w:r>
      <w:r>
        <w:rPr>
          <w:i/>
          <w:iCs/>
        </w:rPr>
        <w:t xml:space="preserve">et al.</w:t>
      </w:r>
      <w:r>
        <w:t xml:space="preserve"> </w:t>
      </w:r>
      <w:r>
        <w:t xml:space="preserve">2023) have found that the</w:t>
      </w:r>
      <w:r>
        <w:t xml:space="preserve"> </w:t>
      </w:r>
      <w:r>
        <w:rPr>
          <w:b/>
          <w:bCs/>
        </w:rPr>
        <w:t xml:space="preserve">distribution of glyphs in Text I and G is consistent with sequences of personal names linked by a relational term</w:t>
      </w:r>
      <w:r>
        <w:t xml:space="preserve">, supporting the idea that these are lineage lists</w:t>
      </w:r>
      <w:hyperlink r:id="rId47">
        <w:r>
          <w:rPr>
            <w:rStyle w:val="Hyperlink"/>
          </w:rPr>
          <w:t xml:space="preserve">[24]</w:t>
        </w:r>
      </w:hyperlink>
      <w:r>
        <w:t xml:space="preserve">. In short,</w:t>
      </w:r>
      <w:r>
        <w:t xml:space="preserve"> </w:t>
      </w:r>
      <w:r>
        <w:rPr>
          <w:b/>
          <w:bCs/>
        </w:rPr>
        <w:t xml:space="preserve">single-glyph analysis</w:t>
      </w:r>
      <w:r>
        <w:t xml:space="preserve"> </w:t>
      </w:r>
      <w:r>
        <w:t xml:space="preserve">(frequency of 76 and 400) and</w:t>
      </w:r>
      <w:r>
        <w:t xml:space="preserve"> </w:t>
      </w:r>
      <w:r>
        <w:rPr>
          <w:b/>
          <w:bCs/>
        </w:rPr>
        <w:t xml:space="preserve">cluster analysis</w:t>
      </w:r>
      <w:r>
        <w:t xml:space="preserve"> </w:t>
      </w:r>
      <w:r>
        <w:t xml:space="preserve">(repeating “Name – 76 – Name” patterns) converge to isolate a</w:t>
      </w:r>
      <w:r>
        <w:t xml:space="preserve"> </w:t>
      </w:r>
      <w:r>
        <w:rPr>
          <w:i/>
          <w:iCs/>
        </w:rPr>
        <w:t xml:space="preserve">genealogical sub-corpus</w:t>
      </w:r>
      <w:r>
        <w:t xml:space="preserve"> </w:t>
      </w:r>
      <w:r>
        <w:t xml:space="preserve">within rongorongo.</w:t>
      </w:r>
    </w:p>
    <w:p>
      <w:pPr>
        <w:numPr>
          <w:ilvl w:val="0"/>
          <w:numId w:val="1001"/>
        </w:numPr>
      </w:pPr>
      <w:r>
        <w:rPr>
          <w:b/>
          <w:bCs/>
        </w:rPr>
        <w:t xml:space="preserve">Narrative/Ritual Texts (Great Tradition):</w:t>
      </w:r>
      <w:r>
        <w:t xml:space="preserve"> </w:t>
      </w:r>
      <w:r>
        <w:t xml:space="preserve">Most of the other tablets fall into a different cluster often termed the</w:t>
      </w:r>
      <w:r>
        <w:t xml:space="preserve"> </w:t>
      </w:r>
      <w:r>
        <w:rPr>
          <w:i/>
          <w:iCs/>
        </w:rPr>
        <w:t xml:space="preserve">“Great Tradition”</w:t>
      </w:r>
      <w:r>
        <w:t xml:space="preserve"> </w:t>
      </w:r>
      <w:r>
        <w:t xml:space="preserve">by researchers</w:t>
      </w:r>
      <w:hyperlink r:id="rId35">
        <w:r>
          <w:rPr>
            <w:rStyle w:val="Hyperlink"/>
          </w:rPr>
          <w:t xml:space="preserve">[14]</w:t>
        </w:r>
      </w:hyperlink>
      <w:r>
        <w:t xml:space="preserve">. These include large tablets like</w:t>
      </w:r>
      <w:r>
        <w:t xml:space="preserve"> </w:t>
      </w:r>
      <w:r>
        <w:rPr>
          <w:b/>
          <w:bCs/>
        </w:rPr>
        <w:t xml:space="preserve">Large Santiago (H)</w:t>
      </w:r>
      <w:r>
        <w:t xml:space="preserve">,</w:t>
      </w:r>
      <w:r>
        <w:t xml:space="preserve"> </w:t>
      </w:r>
      <w:r>
        <w:rPr>
          <w:b/>
          <w:bCs/>
        </w:rPr>
        <w:t xml:space="preserve">Large and Small St. Petersburg (P and Q)</w:t>
      </w:r>
      <w:r>
        <w:t xml:space="preserve">,</w:t>
      </w:r>
      <w:r>
        <w:t xml:space="preserve"> </w:t>
      </w:r>
      <w:r>
        <w:rPr>
          <w:b/>
          <w:bCs/>
        </w:rPr>
        <w:t xml:space="preserve">Aruku Kurenga (B)</w:t>
      </w:r>
      <w:r>
        <w:t xml:space="preserve">,</w:t>
      </w:r>
      <w:r>
        <w:t xml:space="preserve"> </w:t>
      </w:r>
      <w:r>
        <w:rPr>
          <w:b/>
          <w:bCs/>
        </w:rPr>
        <w:t xml:space="preserve">Tahua (A)</w:t>
      </w:r>
      <w:r>
        <w:t xml:space="preserve">,</w:t>
      </w:r>
      <w:r>
        <w:t xml:space="preserve"> </w:t>
      </w:r>
      <w:r>
        <w:rPr>
          <w:b/>
          <w:bCs/>
        </w:rPr>
        <w:t xml:space="preserve">Echancrée (D)</w:t>
      </w:r>
      <w:r>
        <w:t xml:space="preserve">,</w:t>
      </w:r>
      <w:r>
        <w:t xml:space="preserve"> </w:t>
      </w:r>
      <w:r>
        <w:rPr>
          <w:b/>
          <w:bCs/>
        </w:rPr>
        <w:t xml:space="preserve">Large Washington (S)</w:t>
      </w:r>
      <w:r>
        <w:t xml:space="preserve">, and even fragmentary texts like</w:t>
      </w:r>
      <w:r>
        <w:t xml:space="preserve"> </w:t>
      </w:r>
      <w:r>
        <w:rPr>
          <w:b/>
          <w:bCs/>
        </w:rPr>
        <w:t xml:space="preserve">Berlin (O)</w:t>
      </w:r>
      <w:r>
        <w:t xml:space="preserve"> </w:t>
      </w:r>
      <w:r>
        <w:t xml:space="preserve">and</w:t>
      </w:r>
      <w:r>
        <w:t xml:space="preserve"> </w:t>
      </w:r>
      <w:r>
        <w:rPr>
          <w:b/>
          <w:bCs/>
        </w:rPr>
        <w:t xml:space="preserve">Small Washington (R)</w:t>
      </w:r>
      <w:r>
        <w:t xml:space="preserve">. They are unified by shared glyph sequences and the relative</w:t>
      </w:r>
      <w:r>
        <w:t xml:space="preserve"> </w:t>
      </w:r>
      <w:r>
        <w:rPr>
          <w:b/>
          <w:bCs/>
        </w:rPr>
        <w:t xml:space="preserve">scarcity of glyph 76</w:t>
      </w:r>
      <w:r>
        <w:t xml:space="preserve"> </w:t>
      </w:r>
      <w:r>
        <w:t xml:space="preserve">(the genealogical marker) in their texts</w:t>
      </w:r>
      <w:hyperlink r:id="rId40">
        <w:r>
          <w:rPr>
            <w:rStyle w:val="Hyperlink"/>
          </w:rPr>
          <w:t xml:space="preserve">[18]</w:t>
        </w:r>
      </w:hyperlink>
      <w:r>
        <w:t xml:space="preserve">. Instead of parent-offspring repetitions, these tablets show</w:t>
      </w:r>
      <w:r>
        <w:t xml:space="preserve"> </w:t>
      </w:r>
      <w:r>
        <w:rPr>
          <w:b/>
          <w:bCs/>
        </w:rPr>
        <w:t xml:space="preserve">narrative or ritually repetitive sequences</w:t>
      </w:r>
      <w:r>
        <w:t xml:space="preserve">. For example, Large Santiago (H) has been found to</w:t>
      </w:r>
      <w:r>
        <w:t xml:space="preserve"> </w:t>
      </w:r>
      <w:r>
        <w:rPr>
          <w:b/>
          <w:bCs/>
        </w:rPr>
        <w:t xml:space="preserve">“nearly duplicate” the texts on the Large St. Petersburg (P) and Small St. Petersburg (Q) tablets</w:t>
      </w:r>
      <w:hyperlink r:id="rId48">
        <w:r>
          <w:rPr>
            <w:rStyle w:val="Hyperlink"/>
          </w:rPr>
          <w:t xml:space="preserve">[25]</w:t>
        </w:r>
      </w:hyperlink>
      <w:hyperlink r:id="rId49">
        <w:r>
          <w:rPr>
            <w:rStyle w:val="Hyperlink"/>
          </w:rPr>
          <w:t xml:space="preserve">[26]</w:t>
        </w:r>
      </w:hyperlink>
      <w:r>
        <w:t xml:space="preserve"> </w:t>
      </w:r>
      <w:r>
        <w:t xml:space="preserve">– indicating that multiple physical copies of the</w:t>
      </w:r>
      <w:r>
        <w:t xml:space="preserve"> </w:t>
      </w:r>
      <w:r>
        <w:rPr>
          <w:i/>
          <w:iCs/>
        </w:rPr>
        <w:t xml:space="preserve">same text</w:t>
      </w:r>
      <w:r>
        <w:t xml:space="preserve"> </w:t>
      </w:r>
      <w:r>
        <w:t xml:space="preserve">were made. (H, P, and Q share so many sequences that they appear to be versions of one composition, perhaps a standard chant or mythic account</w:t>
      </w:r>
      <w:hyperlink r:id="rId48">
        <w:r>
          <w:rPr>
            <w:rStyle w:val="Hyperlink"/>
          </w:rPr>
          <w:t xml:space="preserve">[25]</w:t>
        </w:r>
      </w:hyperlink>
      <w:r>
        <w:t xml:space="preserve">.) Similarly, the Berlin tablet (O), though heavily eroded, has been shown via digital enhancement to contain</w:t>
      </w:r>
      <w:r>
        <w:t xml:space="preserve"> </w:t>
      </w:r>
      <w:r>
        <w:rPr>
          <w:b/>
          <w:bCs/>
        </w:rPr>
        <w:t xml:space="preserve">several glyph sequences that appear in Aruku (B), Large Santiago (H), and the St. Petersburg tablets</w:t>
      </w:r>
      <w:hyperlink r:id="rId50">
        <w:r>
          <w:rPr>
            <w:rStyle w:val="Hyperlink"/>
          </w:rPr>
          <w:t xml:space="preserve">[27]</w:t>
        </w:r>
      </w:hyperlink>
      <w:hyperlink r:id="rId51">
        <w:r>
          <w:rPr>
            <w:rStyle w:val="Hyperlink"/>
          </w:rPr>
          <w:t xml:space="preserve">[28]</w:t>
        </w:r>
      </w:hyperlink>
      <w:r>
        <w:t xml:space="preserve">. These repeated clusters across independent artifacts suggest a</w:t>
      </w:r>
      <w:r>
        <w:t xml:space="preserve"> </w:t>
      </w:r>
      <w:r>
        <w:rPr>
          <w:b/>
          <w:bCs/>
        </w:rPr>
        <w:t xml:space="preserve">common corpus of chants or narratives</w:t>
      </w:r>
      <w:r>
        <w:t xml:space="preserve"> </w:t>
      </w:r>
      <w:r>
        <w:t xml:space="preserve">that multiple scribes reproduced – a kind of canonical text. For instance, analysts have identified a specific</w:t>
      </w:r>
      <w:r>
        <w:t xml:space="preserve"> </w:t>
      </w:r>
      <w:r>
        <w:rPr>
          <w:b/>
          <w:bCs/>
        </w:rPr>
        <w:t xml:space="preserve">glyph pair or phrase</w:t>
      </w:r>
      <w:r>
        <w:t xml:space="preserve"> </w:t>
      </w:r>
      <w:r>
        <w:t xml:space="preserve">(for example, a pair of identical glyphs followed by a bird glyph) that recurs in both the Berlin text and the Large St. Petersburg text, among others</w:t>
      </w:r>
      <w:hyperlink r:id="rId52">
        <w:r>
          <w:rPr>
            <w:rStyle w:val="Hyperlink"/>
          </w:rPr>
          <w:t xml:space="preserve">[29]</w:t>
        </w:r>
      </w:hyperlink>
      <w:r>
        <w:t xml:space="preserve">. Such findings imply that these tablets likely encode</w:t>
      </w:r>
      <w:r>
        <w:t xml:space="preserve"> </w:t>
      </w:r>
      <w:r>
        <w:rPr>
          <w:b/>
          <w:bCs/>
        </w:rPr>
        <w:t xml:space="preserve">mythological, cosmological, or ritual sequences</w:t>
      </w:r>
      <w:r>
        <w:t xml:space="preserve"> </w:t>
      </w:r>
      <w:r>
        <w:t xml:space="preserve">that were widely known and copied. The content might include creation stories, hymns, proverbs, or other cultural lore, as opposed to the narrower genealogical lists. Notably,</w:t>
      </w:r>
      <w:r>
        <w:t xml:space="preserve"> </w:t>
      </w:r>
      <w:r>
        <w:rPr>
          <w:b/>
          <w:bCs/>
        </w:rPr>
        <w:t xml:space="preserve">Tablet R (Small Washington)</w:t>
      </w:r>
      <w:r>
        <w:t xml:space="preserve"> </w:t>
      </w:r>
      <w:r>
        <w:t xml:space="preserve">contains 357 glyphs that are “nearly all in phrases repeated on other texts”</w:t>
      </w:r>
      <w:hyperlink r:id="rId53">
        <w:r>
          <w:rPr>
            <w:rStyle w:val="Hyperlink"/>
          </w:rPr>
          <w:t xml:space="preserve">[30]</w:t>
        </w:r>
      </w:hyperlink>
      <w:r>
        <w:t xml:space="preserve">, which means R is essentially a collection of common refrains or formulae found in the Great Tradition tablets. It may have been a training tablet or a compendium of standard liturgical lines. In contrast to the genealogical texts, these narrative/ritual texts make use of</w:t>
      </w:r>
      <w:r>
        <w:t xml:space="preserve"> </w:t>
      </w:r>
      <w:r>
        <w:rPr>
          <w:b/>
          <w:bCs/>
        </w:rPr>
        <w:t xml:space="preserve">different recurring glyphs and compounds</w:t>
      </w:r>
      <w:r>
        <w:t xml:space="preserve"> </w:t>
      </w:r>
      <w:r>
        <w:t xml:space="preserve">– for example, they often feature</w:t>
      </w:r>
      <w:r>
        <w:t xml:space="preserve"> </w:t>
      </w:r>
      <w:r>
        <w:rPr>
          <w:b/>
          <w:bCs/>
        </w:rPr>
        <w:t xml:space="preserve">glyph 6 (human figure) and others in elaborate ligatures</w:t>
      </w:r>
      <w:r>
        <w:t xml:space="preserve"> </w:t>
      </w:r>
      <w:r>
        <w:t xml:space="preserve">that seem to tell a story or list sequences of events (in Fischer’s decipherment attempt, many of these were interpreted as divine or poetic metaphors rather than literal parentage)</w:t>
      </w:r>
      <w:hyperlink r:id="rId54">
        <w:r>
          <w:rPr>
            <w:rStyle w:val="Hyperlink"/>
          </w:rPr>
          <w:t xml:space="preserve">[31]</w:t>
        </w:r>
      </w:hyperlink>
      <w:r>
        <w:t xml:space="preserve">. The</w:t>
      </w:r>
      <w:r>
        <w:t xml:space="preserve"> </w:t>
      </w:r>
      <w:r>
        <w:rPr>
          <w:b/>
          <w:bCs/>
        </w:rPr>
        <w:t xml:space="preserve">absence of sign 76</w:t>
      </w:r>
      <w:r>
        <w:t xml:space="preserve"> </w:t>
      </w:r>
      <w:r>
        <w:t xml:space="preserve">in these texts is statistically significant</w:t>
      </w:r>
      <w:hyperlink r:id="rId40">
        <w:r>
          <w:rPr>
            <w:rStyle w:val="Hyperlink"/>
          </w:rPr>
          <w:t xml:space="preserve">[18]</w:t>
        </w:r>
      </w:hyperlink>
      <w:r>
        <w:t xml:space="preserve">; it reinforces that they are not structured as “A begat B” lists, but rather as flowing prose or poetry where other grammatical markers dominate.</w:t>
      </w:r>
    </w:p>
    <w:p>
      <w:pPr>
        <w:pStyle w:val="FirstParagraph"/>
      </w:pPr>
      <w:r>
        <w:t xml:space="preserve">By comparing these two groups, researchers naturally infer that the rongorongo corpus is</w:t>
      </w:r>
      <w:r>
        <w:t xml:space="preserve"> </w:t>
      </w:r>
      <w:r>
        <w:rPr>
          <w:b/>
          <w:bCs/>
        </w:rPr>
        <w:t xml:space="preserve">heterogeneous</w:t>
      </w:r>
      <w:r>
        <w:t xml:space="preserve">, comprising different text genres.</w:t>
      </w:r>
      <w:r>
        <w:t xml:space="preserve"> </w:t>
      </w:r>
      <w:r>
        <w:rPr>
          <w:b/>
          <w:bCs/>
        </w:rPr>
        <w:t xml:space="preserve">Cross-tablet cluster analysis</w:t>
      </w:r>
      <w:r>
        <w:t xml:space="preserve"> </w:t>
      </w:r>
      <w:r>
        <w:t xml:space="preserve">reveals that tablets within the same group share higher degrees of similarity (common phrases, repeated segments), whereas those from different groups share little or no overlap</w:t>
      </w:r>
      <w:hyperlink r:id="rId39">
        <w:r>
          <w:rPr>
            <w:rStyle w:val="Hyperlink"/>
          </w:rPr>
          <w:t xml:space="preserve">[17]</w:t>
        </w:r>
      </w:hyperlink>
      <w:r>
        <w:t xml:space="preserve">. This clustering was not assumed a priori but</w:t>
      </w:r>
      <w:r>
        <w:t xml:space="preserve"> </w:t>
      </w:r>
      <w:r>
        <w:rPr>
          <w:b/>
          <w:bCs/>
        </w:rPr>
        <w:t xml:space="preserve">emerged from data</w:t>
      </w:r>
      <w:r>
        <w:t xml:space="preserve"> </w:t>
      </w:r>
      <w:r>
        <w:t xml:space="preserve">such as phrase matching and sign frequency analysis. For example, Paul Horley’s comparative studies found that the</w:t>
      </w:r>
      <w:r>
        <w:t xml:space="preserve"> </w:t>
      </w:r>
      <w:r>
        <w:rPr>
          <w:b/>
          <w:bCs/>
        </w:rPr>
        <w:t xml:space="preserve">Berlin tablet O</w:t>
      </w:r>
      <w:r>
        <w:t xml:space="preserve">, once digitally restored, showed</w:t>
      </w:r>
      <w:r>
        <w:t xml:space="preserve"> </w:t>
      </w:r>
      <w:r>
        <w:rPr>
          <w:i/>
          <w:iCs/>
        </w:rPr>
        <w:t xml:space="preserve">numerous parallels with tablets H, P, Q, and B</w:t>
      </w:r>
      <w:r>
        <w:t xml:space="preserve">, strongly supporting the idea of a large mythic text tradition; at the same time, O exhibited none of the heavy 〖76〗 usage of the genealogical texts, placing it firmly in the non-genealogical camp</w:t>
      </w:r>
      <w:hyperlink r:id="rId35">
        <w:r>
          <w:rPr>
            <w:rStyle w:val="Hyperlink"/>
          </w:rPr>
          <w:t xml:space="preserve">[14]</w:t>
        </w:r>
      </w:hyperlink>
      <w:hyperlink r:id="rId40">
        <w:r>
          <w:rPr>
            <w:rStyle w:val="Hyperlink"/>
          </w:rPr>
          <w:t xml:space="preserve">[18]</w:t>
        </w:r>
      </w:hyperlink>
      <w:r>
        <w:t xml:space="preserve">. Conversely, the</w:t>
      </w:r>
      <w:r>
        <w:t xml:space="preserve"> </w:t>
      </w:r>
      <w:r>
        <w:rPr>
          <w:b/>
          <w:bCs/>
        </w:rPr>
        <w:t xml:space="preserve">Small Santiago G’s genealogy line (with 76 recurring)</w:t>
      </w:r>
      <w:r>
        <w:t xml:space="preserve"> </w:t>
      </w:r>
      <w:r>
        <w:t xml:space="preserve">is a pattern not seen at all on those large tablets</w:t>
      </w:r>
      <w:hyperlink r:id="rId40">
        <w:r>
          <w:rPr>
            <w:rStyle w:val="Hyperlink"/>
          </w:rPr>
          <w:t xml:space="preserve">[18]</w:t>
        </w:r>
      </w:hyperlink>
      <w:r>
        <w:t xml:space="preserve">. This</w:t>
      </w:r>
      <w:r>
        <w:t xml:space="preserve"> </w:t>
      </w:r>
      <w:r>
        <w:rPr>
          <w:b/>
          <w:bCs/>
        </w:rPr>
        <w:t xml:space="preserve">bifurcation in pattern profiles</w:t>
      </w:r>
      <w:r>
        <w:t xml:space="preserve"> </w:t>
      </w:r>
      <w:r>
        <w:t xml:space="preserve">is a key outcome of cross-table analysis.</w:t>
      </w:r>
    </w:p>
    <w:p>
      <w:pPr>
        <w:pStyle w:val="BodyText"/>
      </w:pPr>
      <w:r>
        <w:t xml:space="preserve">Beyond broad groupings, cross-comparison of individual glyphs across tablets offers additional insights. Certain glyphs are widespread and appear in many texts, while others are</w:t>
      </w:r>
      <w:r>
        <w:t xml:space="preserve"> </w:t>
      </w:r>
      <w:r>
        <w:rPr>
          <w:b/>
          <w:bCs/>
        </w:rPr>
        <w:t xml:space="preserve">extremely rare (hapaxes)</w:t>
      </w:r>
      <w:r>
        <w:t xml:space="preserve"> </w:t>
      </w:r>
      <w:r>
        <w:t xml:space="preserve">or confined to one or two texts. For instance,</w:t>
      </w:r>
      <w:r>
        <w:t xml:space="preserve"> </w:t>
      </w:r>
      <w:r>
        <w:rPr>
          <w:b/>
          <w:bCs/>
        </w:rPr>
        <w:t xml:space="preserve">glyph 67</w:t>
      </w:r>
      <w:r>
        <w:t xml:space="preserve"> </w:t>
      </w:r>
      <w:r>
        <w:t xml:space="preserve">(often identified as the shape of an</w:t>
      </w:r>
      <w:r>
        <w:t xml:space="preserve"> </w:t>
      </w:r>
      <w:r>
        <w:rPr>
          <w:b/>
          <w:bCs/>
        </w:rPr>
        <w:t xml:space="preserve">Easter Island palm tree</w:t>
      </w:r>
      <w:r>
        <w:t xml:space="preserve">) is notable for its rarity and potential chronological significance. This glyph likely depicts the native palm (</w:t>
      </w:r>
      <w:r>
        <w:rPr>
          <w:i/>
          <w:iCs/>
        </w:rPr>
        <w:t xml:space="preserve">Paschalococos disperta</w:t>
      </w:r>
      <w:r>
        <w:t xml:space="preserve">) that went extinct on Rapa Nui by around 1650 CE</w:t>
      </w:r>
      <w:hyperlink r:id="rId55">
        <w:r>
          <w:rPr>
            <w:rStyle w:val="Hyperlink"/>
          </w:rPr>
          <w:t xml:space="preserve">[32]</w:t>
        </w:r>
      </w:hyperlink>
      <w:r>
        <w:t xml:space="preserve">. Glyph 67 appears only in a limited subset of tablets (scholars have noted its presence in texts such as Large St. Petersburg Q)</w:t>
      </w:r>
      <w:hyperlink r:id="rId55">
        <w:r>
          <w:rPr>
            <w:rStyle w:val="Hyperlink"/>
          </w:rPr>
          <w:t xml:space="preserve">[32]</w:t>
        </w:r>
      </w:hyperlink>
      <w:r>
        <w:t xml:space="preserve">. The implication is that</w:t>
      </w:r>
      <w:r>
        <w:t xml:space="preserve"> </w:t>
      </w:r>
      <w:r>
        <w:rPr>
          <w:b/>
          <w:bCs/>
        </w:rPr>
        <w:t xml:space="preserve">any text containing glyph 67 must have been composed while the palm tree was still part of the culture’s lived environment</w:t>
      </w:r>
      <w:r>
        <w:t xml:space="preserve">, suggesting those inscriptions (or the prototype texts they copy) date to at least the mid-17th century or earlier</w:t>
      </w:r>
      <w:hyperlink r:id="rId55">
        <w:r>
          <w:rPr>
            <w:rStyle w:val="Hyperlink"/>
          </w:rPr>
          <w:t xml:space="preserve">[32]</w:t>
        </w:r>
      </w:hyperlink>
      <w:r>
        <w:t xml:space="preserve">. This kind of single-glyph distribution analysis helps cross-date the tablets relative to each other and to known historical events. Another example is</w:t>
      </w:r>
      <w:r>
        <w:t xml:space="preserve"> </w:t>
      </w:r>
      <w:r>
        <w:rPr>
          <w:b/>
          <w:bCs/>
        </w:rPr>
        <w:t xml:space="preserve">glyph 302 (often described as a figure with a distinctive headdress)</w:t>
      </w:r>
      <w:r>
        <w:t xml:space="preserve"> </w:t>
      </w:r>
      <w:r>
        <w:t xml:space="preserve">– if it appears predominantly in one group of tablets but not the other, it might indicate a deity or concept specific to the genre of that group. Indeed, analysts create frequency tables of each glyph per text: these show that some glyphs, presumably “function words” or grammatical markers, occur hundreds of times in a text (for example, glyph 6 or 8 might appear very commonly as part of composite signs), whereas others appear once. Such distributions echo patterns in real writing systems (where, say, a comma or article is frequent, but a specific noun is rare). In rongorongo,</w:t>
      </w:r>
      <w:r>
        <w:t xml:space="preserve"> </w:t>
      </w:r>
      <w:r>
        <w:rPr>
          <w:b/>
          <w:bCs/>
        </w:rPr>
        <w:t xml:space="preserve">glyph 76</w:t>
      </w:r>
      <w:r>
        <w:t xml:space="preserve"> </w:t>
      </w:r>
      <w:r>
        <w:t xml:space="preserve">serves as one such high-frequency “connector” in genealogical texts, analogous to a repeated phrase like “son of” or “begat”</w:t>
      </w:r>
      <w:hyperlink r:id="rId54">
        <w:r>
          <w:rPr>
            <w:rStyle w:val="Hyperlink"/>
          </w:rPr>
          <w:t xml:space="preserve">[31]</w:t>
        </w:r>
      </w:hyperlink>
      <w:r>
        <w:t xml:space="preserve">. Meanwhile,</w:t>
      </w:r>
      <w:r>
        <w:t xml:space="preserve"> </w:t>
      </w:r>
      <w:r>
        <w:rPr>
          <w:b/>
          <w:bCs/>
        </w:rPr>
        <w:t xml:space="preserve">complex ligatured glyphs</w:t>
      </w:r>
      <w:r>
        <w:t xml:space="preserve"> </w:t>
      </w:r>
      <w:r>
        <w:t xml:space="preserve">(where two or more base glyphs are fused) often appear as</w:t>
      </w:r>
      <w:r>
        <w:t xml:space="preserve"> </w:t>
      </w:r>
      <w:r>
        <w:rPr>
          <w:i/>
          <w:iCs/>
        </w:rPr>
        <w:t xml:space="preserve">set pieces</w:t>
      </w:r>
      <w:r>
        <w:t xml:space="preserve"> </w:t>
      </w:r>
      <w:r>
        <w:t xml:space="preserve">in multiple tablets, hinting at fixed compound meanings. Cross-table cluster analysis has identified several of these</w:t>
      </w:r>
      <w:r>
        <w:t xml:space="preserve"> </w:t>
      </w:r>
      <w:r>
        <w:rPr>
          <w:b/>
          <w:bCs/>
        </w:rPr>
        <w:t xml:space="preserve">common compound segments</w:t>
      </w:r>
      <w:r>
        <w:t xml:space="preserve">. For example, a</w:t>
      </w:r>
      <w:r>
        <w:t xml:space="preserve"> </w:t>
      </w:r>
      <w:r>
        <w:rPr>
          <w:b/>
          <w:bCs/>
        </w:rPr>
        <w:t xml:space="preserve">compound of a crouching figure plus a circlet glyph</w:t>
      </w:r>
      <w:r>
        <w:t xml:space="preserve"> </w:t>
      </w:r>
      <w:r>
        <w:t xml:space="preserve">appears in at least three different tablets in the Great Tradition set, possibly indicating a recurring concept or name</w:t>
      </w:r>
      <w:hyperlink r:id="rId51">
        <w:r>
          <w:rPr>
            <w:rStyle w:val="Hyperlink"/>
          </w:rPr>
          <w:t xml:space="preserve">[28]</w:t>
        </w:r>
      </w:hyperlink>
      <w:r>
        <w:t xml:space="preserve">.</w:t>
      </w:r>
    </w:p>
    <w:p>
      <w:pPr>
        <w:pStyle w:val="BodyText"/>
      </w:pPr>
      <w:r>
        <w:t xml:space="preserve">It is also instructive to compare the</w:t>
      </w:r>
      <w:r>
        <w:t xml:space="preserve"> </w:t>
      </w:r>
      <w:r>
        <w:rPr>
          <w:b/>
          <w:bCs/>
        </w:rPr>
        <w:t xml:space="preserve">calendrical content</w:t>
      </w:r>
      <w:r>
        <w:t xml:space="preserve"> </w:t>
      </w:r>
      <w:r>
        <w:t xml:space="preserve">identified in Mamari with other tablets for any similar structures. Recent research by Wieczorek (2011) posits that</w:t>
      </w:r>
      <w:r>
        <w:t xml:space="preserve"> </w:t>
      </w:r>
      <w:r>
        <w:rPr>
          <w:b/>
          <w:bCs/>
        </w:rPr>
        <w:t xml:space="preserve">Tablet Keiti (Text E)</w:t>
      </w:r>
      <w:r>
        <w:t xml:space="preserve"> </w:t>
      </w:r>
      <w:r>
        <w:t xml:space="preserve">contains sequences analogous to Mamari’s lunar calendar</w:t>
      </w:r>
      <w:hyperlink r:id="rId56">
        <w:r>
          <w:rPr>
            <w:rStyle w:val="Hyperlink"/>
          </w:rPr>
          <w:t xml:space="preserve">[33]</w:t>
        </w:r>
      </w:hyperlink>
      <w:r>
        <w:t xml:space="preserve">. By examining Keiti’s recto, scholars noted a pattern of</w:t>
      </w:r>
      <w:r>
        <w:t xml:space="preserve"> </w:t>
      </w:r>
      <w:r>
        <w:rPr>
          <w:b/>
          <w:bCs/>
        </w:rPr>
        <w:t xml:space="preserve">crescent-shaped glyphs and interval markers</w:t>
      </w:r>
      <w:r>
        <w:t xml:space="preserve"> </w:t>
      </w:r>
      <w:r>
        <w:t xml:space="preserve">that suggest an</w:t>
      </w:r>
      <w:r>
        <w:t xml:space="preserve"> </w:t>
      </w:r>
      <w:r>
        <w:rPr>
          <w:b/>
          <w:bCs/>
        </w:rPr>
        <w:t xml:space="preserve">astronomical or calendar text</w:t>
      </w:r>
      <w:r>
        <w:t xml:space="preserve">: in fact,</w:t>
      </w:r>
      <w:r>
        <w:t xml:space="preserve"> </w:t>
      </w:r>
      <w:r>
        <w:rPr>
          <w:b/>
          <w:bCs/>
        </w:rPr>
        <w:t xml:space="preserve">Keiti may encode lunar observations or instructions and appears “similar in content to the only other text [Mamari] whose function is known”</w:t>
      </w:r>
      <w:hyperlink r:id="rId56">
        <w:r>
          <w:rPr>
            <w:rStyle w:val="Hyperlink"/>
          </w:rPr>
          <w:t xml:space="preserve">[33]</w:t>
        </w:r>
      </w:hyperlink>
      <w:r>
        <w:t xml:space="preserve">. If confirmed, this would mean Mamari is not entirely unique – at least one other tablet likely records calendrical or astronomical information, reinforcing that some glyph clusters (like those for nights of the moon, crescents, etc.) recur across tablets. Researchers have pointed out specific delimiters in Keiti (such as pairs of crescent moon glyphs) that could mark month divisions or lunar events, matching structures in Mamari’s known calendar</w:t>
      </w:r>
      <w:hyperlink r:id="rId57">
        <w:r>
          <w:rPr>
            <w:rStyle w:val="Hyperlink"/>
          </w:rPr>
          <w:t xml:space="preserve">[34]</w:t>
        </w:r>
      </w:hyperlink>
      <w:r>
        <w:t xml:space="preserve">. This cross-table pattern mapping (Mamari vs. Keiti) was achieved by</w:t>
      </w:r>
      <w:r>
        <w:t xml:space="preserve"> </w:t>
      </w:r>
      <w:r>
        <w:rPr>
          <w:b/>
          <w:bCs/>
        </w:rPr>
        <w:t xml:space="preserve">structural comparison of glyph clusters</w:t>
      </w:r>
      <w:r>
        <w:t xml:space="preserve">, again without assuming meaning beyond the reasonable hypothesis that repeated crescent signs relate to moons. If the</w:t>
      </w:r>
      <w:r>
        <w:t xml:space="preserve"> </w:t>
      </w:r>
      <w:r>
        <w:rPr>
          <w:b/>
          <w:bCs/>
        </w:rPr>
        <w:t xml:space="preserve">28-night month pattern</w:t>
      </w:r>
      <w:r>
        <w:t xml:space="preserve"> </w:t>
      </w:r>
      <w:r>
        <w:t xml:space="preserve">or the use of</w:t>
      </w:r>
      <w:r>
        <w:t xml:space="preserve"> </w:t>
      </w:r>
      <w:r>
        <w:rPr>
          <w:b/>
          <w:bCs/>
        </w:rPr>
        <w:t xml:space="preserve">special glyphs for quarter phases</w:t>
      </w:r>
      <w:r>
        <w:t xml:space="preserve"> </w:t>
      </w:r>
      <w:r>
        <w:t xml:space="preserve">is found in Keiti as in Mamari, that would firmly place Keiti in the calendrical text category alongside Mamari</w:t>
      </w:r>
      <w:hyperlink r:id="rId56">
        <w:r>
          <w:rPr>
            <w:rStyle w:val="Hyperlink"/>
          </w:rPr>
          <w:t xml:space="preserve">[33]</w:t>
        </w:r>
      </w:hyperlink>
      <w:r>
        <w:t xml:space="preserve">.</w:t>
      </w:r>
    </w:p>
    <w:p>
      <w:pPr>
        <w:pStyle w:val="BodyText"/>
      </w:pPr>
      <w:r>
        <w:t xml:space="preserve">In summary, the</w:t>
      </w:r>
      <w:r>
        <w:t xml:space="preserve"> </w:t>
      </w:r>
      <w:r>
        <w:rPr>
          <w:b/>
          <w:bCs/>
        </w:rPr>
        <w:t xml:space="preserve">cross-table analysis</w:t>
      </w:r>
      <w:r>
        <w:t xml:space="preserve"> </w:t>
      </w:r>
      <w:r>
        <w:t xml:space="preserve">– both at the level of individual glyph frequencies and larger repeating sequences – reveals a naturally</w:t>
      </w:r>
      <w:r>
        <w:t xml:space="preserve"> </w:t>
      </w:r>
      <w:r>
        <w:rPr>
          <w:b/>
          <w:bCs/>
        </w:rPr>
        <w:t xml:space="preserve">organized diversity</w:t>
      </w:r>
      <w:r>
        <w:t xml:space="preserve"> </w:t>
      </w:r>
      <w:r>
        <w:t xml:space="preserve">in the rongorongo corpus. Some texts share so much material that they likely transmit the</w:t>
      </w:r>
      <w:r>
        <w:t xml:space="preserve"> </w:t>
      </w:r>
      <w:r>
        <w:rPr>
          <w:i/>
          <w:iCs/>
        </w:rPr>
        <w:t xml:space="preserve">same composition</w:t>
      </w:r>
      <w:r>
        <w:t xml:space="preserve"> </w:t>
      </w:r>
      <w:r>
        <w:t xml:space="preserve">(e.g. H ~ P ~ Q), pointing to scribal copying. Some glyph sequences are nearly universal, possibly common phrases or chants, while others are exclusive to one genre of text. This approach has allowed scholars to make progress in understanding the script’s structure</w:t>
      </w:r>
      <w:r>
        <w:t xml:space="preserve"> </w:t>
      </w:r>
      <w:r>
        <w:rPr>
          <w:b/>
          <w:bCs/>
        </w:rPr>
        <w:t xml:space="preserve">without “forcing” a translation</w:t>
      </w:r>
      <w:r>
        <w:t xml:space="preserve">, instead relying on the</w:t>
      </w:r>
      <w:r>
        <w:t xml:space="preserve"> </w:t>
      </w:r>
      <w:r>
        <w:rPr>
          <w:b/>
          <w:bCs/>
        </w:rPr>
        <w:t xml:space="preserve">emergence of patterns</w:t>
      </w:r>
      <w:r>
        <w:t xml:space="preserve">: duplication of passages, common motifs, and statistical outliers all guide us to classify texts and even guess their function. It is through this careful comparative method that we can say, for instance, that</w:t>
      </w:r>
      <w:r>
        <w:t xml:space="preserve"> </w:t>
      </w:r>
      <w:r>
        <w:rPr>
          <w:b/>
          <w:bCs/>
        </w:rPr>
        <w:t xml:space="preserve">Mamari’s calendar is unique but Keiti might join it as an astronomical text</w:t>
      </w:r>
      <w:hyperlink r:id="rId56">
        <w:r>
          <w:rPr>
            <w:rStyle w:val="Hyperlink"/>
          </w:rPr>
          <w:t xml:space="preserve">[33]</w:t>
        </w:r>
      </w:hyperlink>
      <w:r>
        <w:t xml:space="preserve">, or that</w:t>
      </w:r>
      <w:r>
        <w:t xml:space="preserve"> </w:t>
      </w:r>
      <w:r>
        <w:rPr>
          <w:b/>
          <w:bCs/>
        </w:rPr>
        <w:t xml:space="preserve">the Staff and Small Santiago likely record genealogies</w:t>
      </w:r>
      <w:hyperlink r:id="rId44">
        <w:r>
          <w:rPr>
            <w:rStyle w:val="Hyperlink"/>
          </w:rPr>
          <w:t xml:space="preserve">[22]</w:t>
        </w:r>
      </w:hyperlink>
      <w:r>
        <w:t xml:space="preserve">, while tablets like Aruku and Large Santiago encode mythic or ritual recitations. Each tablet’s individual analysis, as presented above, contributes pieces to this larger puzzle. By cross-referencing those pieces, researchers inch closer to understanding how this lost writing system captured the</w:t>
      </w:r>
      <w:r>
        <w:t xml:space="preserve"> </w:t>
      </w:r>
      <w:r>
        <w:rPr>
          <w:b/>
          <w:bCs/>
        </w:rPr>
        <w:t xml:space="preserve">narratives, calendars, and lineages of Easter Island</w:t>
      </w:r>
      <w:r>
        <w:t xml:space="preserve">, all the while carefully citing observable patterns (repeated glyph clusters, shared phrases, etc.) as the basis for any conclusions</w:t>
      </w:r>
      <w:hyperlink r:id="rId51">
        <w:r>
          <w:rPr>
            <w:rStyle w:val="Hyperlink"/>
          </w:rPr>
          <w:t xml:space="preserve">[28]</w:t>
        </w:r>
      </w:hyperlink>
      <w:hyperlink r:id="rId43">
        <w:r>
          <w:rPr>
            <w:rStyle w:val="Hyperlink"/>
          </w:rPr>
          <w:t xml:space="preserve">[21]</w:t>
        </w:r>
      </w:hyperlink>
      <w:r>
        <w:t xml:space="preserve">. The comprehensive in-depth comparison across the corpus thus underscores both the</w:t>
      </w:r>
      <w:r>
        <w:t xml:space="preserve"> </w:t>
      </w:r>
      <w:r>
        <w:rPr>
          <w:b/>
          <w:bCs/>
        </w:rPr>
        <w:t xml:space="preserve">unity and diversity</w:t>
      </w:r>
      <w:r>
        <w:t xml:space="preserve"> </w:t>
      </w:r>
      <w:r>
        <w:t xml:space="preserve">of rongorongo: a unified script, but employed in multiple contexts – a fact that emerges naturally from the distribution of signs and sequences on the tablets themselves.</w:t>
      </w:r>
    </w:p>
    <w:p>
      <w:pPr>
        <w:pStyle w:val="BodyText"/>
      </w:pPr>
      <w:r>
        <w:rPr>
          <w:b/>
          <w:bCs/>
        </w:rPr>
        <w:t xml:space="preserve">Sources:</w:t>
      </w:r>
    </w:p>
    <w:p>
      <w:pPr>
        <w:pStyle w:val="Compact"/>
        <w:numPr>
          <w:ilvl w:val="0"/>
          <w:numId w:val="1002"/>
        </w:numPr>
      </w:pPr>
      <w:r>
        <w:t xml:space="preserve">Barthel, Thomas S. (1958).</w:t>
      </w:r>
      <w:r>
        <w:t xml:space="preserve"> </w:t>
      </w:r>
      <w:r>
        <w:rPr>
          <w:i/>
          <w:iCs/>
        </w:rPr>
        <w:t xml:space="preserve">Grundlagen zur Entzifferung der Osterinselschrift</w:t>
      </w:r>
      <w:r>
        <w:t xml:space="preserve">. (Identified the lunar calendar on Mamari)</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2"/>
        </w:numPr>
      </w:pPr>
      <w:r>
        <w:t xml:space="preserve">Guy, J. (1990). “On the Lunar Calendar of Tablet Mamari.”</w:t>
      </w:r>
      <w:r>
        <w:t xml:space="preserve"> </w:t>
      </w:r>
      <w:r>
        <w:rPr>
          <w:i/>
          <w:iCs/>
        </w:rPr>
        <w:t xml:space="preserve">JSO</w:t>
      </w:r>
      <w:r>
        <w:t xml:space="preserve"> </w:t>
      </w:r>
      <w:r>
        <w:t xml:space="preserve">91(2):135–149. (Correlated Mamari glyphs with Rapa Nui moon-night names)</w:t>
      </w:r>
      <w:hyperlink r:id="rId23">
        <w:r>
          <w:rPr>
            <w:rStyle w:val="Hyperlink"/>
          </w:rPr>
          <w:t xml:space="preserve">[3]</w:t>
        </w:r>
      </w:hyperlink>
      <w:r>
        <w:t xml:space="preserve">.</w:t>
      </w:r>
    </w:p>
    <w:p>
      <w:pPr>
        <w:pStyle w:val="Compact"/>
        <w:numPr>
          <w:ilvl w:val="0"/>
          <w:numId w:val="1002"/>
        </w:numPr>
      </w:pPr>
      <w:r>
        <w:t xml:space="preserve">Wikipedia:</w:t>
      </w:r>
      <w:r>
        <w:t xml:space="preserve"> </w:t>
      </w:r>
      <w:r>
        <w:rPr>
          <w:i/>
          <w:iCs/>
        </w:rPr>
        <w:t xml:space="preserve">Rongorongo text C (Mamari)</w:t>
      </w:r>
      <w:r>
        <w:t xml:space="preserve"> </w:t>
      </w:r>
      <w:r>
        <w:t xml:space="preserve">(General description of Mamari and its deciphered calendar)</w:t>
      </w:r>
      <w:hyperlink r:id="rId21">
        <w:r>
          <w:rPr>
            <w:rStyle w:val="Hyperlink"/>
          </w:rPr>
          <w:t xml:space="preserve">[1]</w:t>
        </w:r>
      </w:hyperlink>
      <w:hyperlink r:id="rId24">
        <w:r>
          <w:rPr>
            <w:rStyle w:val="Hyperlink"/>
          </w:rPr>
          <w:t xml:space="preserve">[4]</w:t>
        </w:r>
      </w:hyperlink>
      <w:r>
        <w:t xml:space="preserve">.</w:t>
      </w:r>
    </w:p>
    <w:p>
      <w:pPr>
        <w:pStyle w:val="Compact"/>
        <w:numPr>
          <w:ilvl w:val="0"/>
          <w:numId w:val="1002"/>
        </w:numPr>
      </w:pPr>
      <w:r>
        <w:t xml:space="preserve">Wieczorek, R. (2011). “Astronomical Content in Rongorongo Tablet Keiti.”</w:t>
      </w:r>
      <w:r>
        <w:t xml:space="preserve"> </w:t>
      </w:r>
      <w:r>
        <w:rPr>
          <w:i/>
          <w:iCs/>
        </w:rPr>
        <w:t xml:space="preserve">JSO</w:t>
      </w:r>
      <w:r>
        <w:t xml:space="preserve"> </w:t>
      </w:r>
      <w:r>
        <w:t xml:space="preserve">132:5–16. (Hypothesis that Keiti contains lunar calendar akin to Mamari)</w:t>
      </w:r>
      <w:hyperlink r:id="rId56">
        <w:r>
          <w:rPr>
            <w:rStyle w:val="Hyperlink"/>
          </w:rPr>
          <w:t xml:space="preserve">[33]</w:t>
        </w:r>
      </w:hyperlink>
      <w:r>
        <w:t xml:space="preserve">.</w:t>
      </w:r>
    </w:p>
    <w:p>
      <w:pPr>
        <w:pStyle w:val="Compact"/>
        <w:numPr>
          <w:ilvl w:val="0"/>
          <w:numId w:val="1002"/>
        </w:numPr>
      </w:pPr>
      <w:r>
        <w:t xml:space="preserve">Fischer, Steven R. (1997).</w:t>
      </w:r>
      <w:r>
        <w:t xml:space="preserve"> </w:t>
      </w:r>
      <w:r>
        <w:rPr>
          <w:i/>
          <w:iCs/>
        </w:rPr>
        <w:t xml:space="preserve">Rongorongo: The Easter Island Script</w:t>
      </w:r>
      <w:r>
        <w:t xml:space="preserve">. (Attempted decipherment, especially of the Staff)</w:t>
      </w:r>
      <w:hyperlink r:id="rId41">
        <w:r>
          <w:rPr>
            <w:rStyle w:val="Hyperlink"/>
          </w:rPr>
          <w:t xml:space="preserve">[19]</w:t>
        </w:r>
      </w:hyperlink>
      <w:hyperlink r:id="rId39">
        <w:r>
          <w:rPr>
            <w:rStyle w:val="Hyperlink"/>
          </w:rPr>
          <w:t xml:space="preserve">[17]</w:t>
        </w:r>
      </w:hyperlink>
      <w:r>
        <w:t xml:space="preserve">.</w:t>
      </w:r>
    </w:p>
    <w:p>
      <w:pPr>
        <w:pStyle w:val="Compact"/>
        <w:numPr>
          <w:ilvl w:val="0"/>
          <w:numId w:val="1002"/>
        </w:numPr>
      </w:pPr>
      <w:r>
        <w:t xml:space="preserve">Pozdniakov, Konstantin (1996). “Les bases du déchiffrement…”</w:t>
      </w:r>
      <w:r>
        <w:t xml:space="preserve"> </w:t>
      </w:r>
      <w:r>
        <w:rPr>
          <w:i/>
          <w:iCs/>
        </w:rPr>
        <w:t xml:space="preserve">JSO</w:t>
      </w:r>
      <w:r>
        <w:t xml:space="preserve"> </w:t>
      </w:r>
      <w:r>
        <w:t xml:space="preserve">103(2):289–303. (Noted shared phrases among I, G, T and absence in others)</w:t>
      </w:r>
      <w:hyperlink r:id="rId39">
        <w:r>
          <w:rPr>
            <w:rStyle w:val="Hyperlink"/>
          </w:rPr>
          <w:t xml:space="preserve">[17]</w:t>
        </w:r>
      </w:hyperlink>
      <w:r>
        <w:t xml:space="preserve">.</w:t>
      </w:r>
    </w:p>
    <w:p>
      <w:pPr>
        <w:pStyle w:val="Compact"/>
        <w:numPr>
          <w:ilvl w:val="0"/>
          <w:numId w:val="1002"/>
        </w:numPr>
      </w:pPr>
      <w:r>
        <w:t xml:space="preserve">Butinov, N., &amp; Knorozov, Y. (1956). “Preliminary Report on the Study of the Easter Island Writing.” (Noted repeating sequences in Aruku Kurenga)</w:t>
      </w:r>
      <w:hyperlink r:id="rId32">
        <w:r>
          <w:rPr>
            <w:rStyle w:val="Hyperlink"/>
          </w:rPr>
          <w:t xml:space="preserve">[11]</w:t>
        </w:r>
      </w:hyperlink>
      <w:r>
        <w:t xml:space="preserve">.</w:t>
      </w:r>
    </w:p>
    <w:p>
      <w:pPr>
        <w:pStyle w:val="Compact"/>
        <w:numPr>
          <w:ilvl w:val="0"/>
          <w:numId w:val="1002"/>
        </w:numPr>
      </w:pPr>
      <w:r>
        <w:t xml:space="preserve">Horley, P. (2007 &amp; 2010). Structural analyses comparing rongorongo texts and Rapanui chants (Identified content-based sub-groups of texts)</w:t>
      </w:r>
      <w:hyperlink r:id="rId35">
        <w:r>
          <w:rPr>
            <w:rStyle w:val="Hyperlink"/>
          </w:rPr>
          <w:t xml:space="preserve">[14]</w:t>
        </w:r>
      </w:hyperlink>
      <w:hyperlink r:id="rId40">
        <w:r>
          <w:rPr>
            <w:rStyle w:val="Hyperlink"/>
          </w:rPr>
          <w:t xml:space="preserve">[18]</w:t>
        </w:r>
      </w:hyperlink>
      <w:r>
        <w:t xml:space="preserve">.</w:t>
      </w:r>
    </w:p>
    <w:p>
      <w:pPr>
        <w:pStyle w:val="Compact"/>
        <w:numPr>
          <w:ilvl w:val="0"/>
          <w:numId w:val="1002"/>
        </w:numPr>
      </w:pPr>
      <w:r>
        <w:t xml:space="preserve">Thomson, William J. (1891).</w:t>
      </w:r>
      <w:r>
        <w:t xml:space="preserve"> </w:t>
      </w:r>
      <w:r>
        <w:rPr>
          <w:i/>
          <w:iCs/>
        </w:rPr>
        <w:t xml:space="preserve">Te Pito te Henua, or Easter Island</w:t>
      </w:r>
      <w:r>
        <w:t xml:space="preserve">. (Recorded Rapa Nui lunar calendar in 1886, used to verify Mamari’s sequence)</w:t>
      </w:r>
      <w:hyperlink r:id="rId23">
        <w:r>
          <w:rPr>
            <w:rStyle w:val="Hyperlink"/>
          </w:rPr>
          <w:t xml:space="preserve">[3]</w:t>
        </w:r>
      </w:hyperlink>
      <w:r>
        <w:t xml:space="preserve">.</w:t>
      </w:r>
    </w:p>
    <w:p>
      <w:pPr>
        <w:pStyle w:val="Compact"/>
        <w:numPr>
          <w:ilvl w:val="0"/>
          <w:numId w:val="1002"/>
        </w:numPr>
      </w:pPr>
      <w:r>
        <w:t xml:space="preserve">Philippe, Rudolphe (1875) / Jaussen (1893). Early accounts on rongorongo (Mentions of Mamari as war tablet, Staff as sacred)</w:t>
      </w:r>
      <w:hyperlink r:id="rId29">
        <w:r>
          <w:rPr>
            <w:rStyle w:val="Hyperlink"/>
          </w:rPr>
          <w:t xml:space="preserve">[9]</w:t>
        </w:r>
      </w:hyperlink>
      <w:hyperlink r:id="rId45">
        <w:r>
          <w:rPr>
            <w:rStyle w:val="Hyperlink"/>
          </w:rPr>
          <w:t xml:space="preserve">[23]</w:t>
        </w:r>
      </w:hyperlink>
      <w:r>
        <w:t xml:space="preserve">.</w:t>
      </w:r>
    </w:p>
    <w:bookmarkEnd w:id="58"/>
    <w:bookmarkEnd w:id="59"/>
    <w:bookmarkEnd w:id="60"/>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t xml:space="preserve">Rongorongo text C - Wikipedia</w:t>
      </w:r>
    </w:p>
    <w:p>
      <w:pPr>
        <w:pStyle w:val="BodyText"/>
      </w:pPr>
      <w:hyperlink r:id="rId61">
        <w:r>
          <w:rPr>
            <w:rStyle w:val="Hyperlink"/>
          </w:rPr>
          <w:t xml:space="preserve">https://en.wikipedia.org/wiki/Rongorongo_text_C</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The lunar calendar of Tablet Mamari - Persée</w:t>
      </w:r>
    </w:p>
    <w:p>
      <w:pPr>
        <w:pStyle w:val="BodyText"/>
      </w:pPr>
      <w:hyperlink r:id="rId62">
        <w:r>
          <w:rPr>
            <w:rStyle w:val="Hyperlink"/>
          </w:rPr>
          <w:t xml:space="preserve">https://www.persee.fr/doc/jso_0300-953x_1990_num_91_2_2882</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rongorongo_lexicon_MASTER_2025-09-25.json</w:t>
      </w:r>
    </w:p>
    <w:p>
      <w:pPr>
        <w:pStyle w:val="BodyText"/>
      </w:pPr>
      <w:hyperlink r:id="rId63">
        <w:r>
          <w:rPr>
            <w:rStyle w:val="Hyperlink"/>
          </w:rPr>
          <w:t xml:space="preserve">file://file-EKFBHRihh6xQJcexArYFzA</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Rongorongo text B - Wikipedia</w:t>
      </w:r>
    </w:p>
    <w:p>
      <w:pPr>
        <w:pStyle w:val="BodyText"/>
      </w:pPr>
      <w:hyperlink r:id="rId64">
        <w:r>
          <w:rPr>
            <w:rStyle w:val="Hyperlink"/>
          </w:rPr>
          <w:t xml:space="preserve">https://en.wikipedia.org/wiki/Rongorongo_text_B</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40">
        <w:r>
          <w:rPr>
            <w:rStyle w:val="Hyperlink"/>
          </w:rPr>
          <w:t xml:space="preserve">[18]</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r>
        <w:t xml:space="preserve">Rongorongo tablet from the Ethnological Museum, Berlin</w:t>
      </w:r>
      <w:r>
        <w:t xml:space="preserve"> </w:t>
      </w:r>
    </w:p>
    <w:p>
      <w:pPr>
        <w:pStyle w:val="BodyText"/>
      </w:pPr>
      <w:hyperlink r:id="rId65">
        <w:r>
          <w:rPr>
            <w:rStyle w:val="Hyperlink"/>
          </w:rPr>
          <w:t xml:space="preserve">https://journals.openedition.org/jso/6695?lang=en</w:t>
        </w:r>
      </w:hyperlink>
    </w:p>
    <w:p>
      <w:pPr>
        <w:pStyle w:val="BodyText"/>
      </w:pPr>
      <w:hyperlink r:id="rId38">
        <w:r>
          <w:rPr>
            <w:rStyle w:val="Hyperlink"/>
          </w:rPr>
          <w:t xml:space="preserve">[16]</w:t>
        </w:r>
      </w:hyperlink>
      <w:r>
        <w:t xml:space="preserve"> </w:t>
      </w:r>
      <w:hyperlink r:id="rId43">
        <w:r>
          <w:rPr>
            <w:rStyle w:val="Hyperlink"/>
          </w:rPr>
          <w:t xml:space="preserve">[21]</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3">
        <w:r>
          <w:rPr>
            <w:rStyle w:val="Hyperlink"/>
          </w:rPr>
          <w:t xml:space="preserve">[30]</w:t>
        </w:r>
      </w:hyperlink>
      <w:r>
        <w:t xml:space="preserve"> </w:t>
      </w:r>
      <w:hyperlink r:id="rId55">
        <w:r>
          <w:rPr>
            <w:rStyle w:val="Hyperlink"/>
          </w:rPr>
          <w:t xml:space="preserve">[32]</w:t>
        </w:r>
      </w:hyperlink>
      <w:r>
        <w:t xml:space="preserve"> </w:t>
      </w:r>
      <w:r>
        <w:t xml:space="preserve">Rongorongo - Wikipedia</w:t>
      </w:r>
    </w:p>
    <w:p>
      <w:pPr>
        <w:pStyle w:val="BodyText"/>
      </w:pPr>
      <w:hyperlink r:id="rId66">
        <w:r>
          <w:rPr>
            <w:rStyle w:val="Hyperlink"/>
          </w:rPr>
          <w:t xml:space="preserve">https://en.wikipedia.org/wiki/Rongorongo</w:t>
        </w:r>
      </w:hyperlink>
    </w:p>
    <w:p>
      <w:pPr>
        <w:pStyle w:val="BodyText"/>
      </w:pPr>
      <w:hyperlink r:id="rId39">
        <w:r>
          <w:rPr>
            <w:rStyle w:val="Hyperlink"/>
          </w:rPr>
          <w:t xml:space="preserve">[17]</w:t>
        </w:r>
      </w:hyperlink>
      <w:r>
        <w:t xml:space="preserve"> </w:t>
      </w:r>
      <w:hyperlink r:id="rId45">
        <w:r>
          <w:rPr>
            <w:rStyle w:val="Hyperlink"/>
          </w:rPr>
          <w:t xml:space="preserve">[23]</w:t>
        </w:r>
      </w:hyperlink>
      <w:r>
        <w:t xml:space="preserve"> </w:t>
      </w:r>
      <w:r>
        <w:t xml:space="preserve">Rongorongo text I - Wikipedia</w:t>
      </w:r>
    </w:p>
    <w:p>
      <w:pPr>
        <w:pStyle w:val="BodyText"/>
      </w:pPr>
      <w:hyperlink r:id="rId67">
        <w:r>
          <w:rPr>
            <w:rStyle w:val="Hyperlink"/>
          </w:rPr>
          <w:t xml:space="preserve">https://en.wikipedia.org/wiki/Rongorongo_text_I</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54">
        <w:r>
          <w:rPr>
            <w:rStyle w:val="Hyperlink"/>
          </w:rPr>
          <w:t xml:space="preserve">[31]</w:t>
        </w:r>
      </w:hyperlink>
      <w:r>
        <w:t xml:space="preserve"> </w:t>
      </w:r>
      <w:r>
        <w:t xml:space="preserve">rongorongo_full_ultramerge_v3_compact.json</w:t>
      </w:r>
    </w:p>
    <w:p>
      <w:pPr>
        <w:pStyle w:val="BodyText"/>
      </w:pPr>
      <w:hyperlink r:id="rId68">
        <w:r>
          <w:rPr>
            <w:rStyle w:val="Hyperlink"/>
          </w:rPr>
          <w:t xml:space="preserve">file://file-JUd9rmLnEDVcLgFshpRxQC</w:t>
        </w:r>
      </w:hyperlink>
    </w:p>
    <w:p>
      <w:pPr>
        <w:pStyle w:val="BodyText"/>
      </w:pPr>
      <w:hyperlink r:id="rId44">
        <w:r>
          <w:rPr>
            <w:rStyle w:val="Hyperlink"/>
          </w:rPr>
          <w:t xml:space="preserve">[22]</w:t>
        </w:r>
      </w:hyperlink>
      <w:r>
        <w:t xml:space="preserve"> </w:t>
      </w:r>
      <w:hyperlink r:id="rId56">
        <w:r>
          <w:rPr>
            <w:rStyle w:val="Hyperlink"/>
          </w:rPr>
          <w:t xml:space="preserve">[33]</w:t>
        </w:r>
      </w:hyperlink>
      <w:r>
        <w:t xml:space="preserve"> </w:t>
      </w:r>
      <w:r>
        <w:t xml:space="preserve">Astronomical Content in Rongorongo Tablet Keiti</w:t>
      </w:r>
    </w:p>
    <w:p>
      <w:pPr>
        <w:pStyle w:val="BodyText"/>
      </w:pPr>
      <w:hyperlink r:id="rId69">
        <w:r>
          <w:rPr>
            <w:rStyle w:val="Hyperlink"/>
          </w:rPr>
          <w:t xml:space="preserve">https://journals.openedition.org/jso/6272?lang=en</w:t>
        </w:r>
      </w:hyperlink>
    </w:p>
    <w:p>
      <w:pPr>
        <w:pStyle w:val="BodyText"/>
      </w:pPr>
      <w:hyperlink r:id="rId47">
        <w:r>
          <w:rPr>
            <w:rStyle w:val="Hyperlink"/>
          </w:rPr>
          <w:t xml:space="preserve">[24]</w:t>
        </w:r>
      </w:hyperlink>
      <w:r>
        <w:t xml:space="preserve"> </w:t>
      </w:r>
      <w:r>
        <w:t xml:space="preserve">Revisiting the Statistical Properties of Rongorongo Texts I, Gv, and T</w:t>
      </w:r>
    </w:p>
    <w:p>
      <w:pPr>
        <w:pStyle w:val="BodyText"/>
      </w:pPr>
      <w:hyperlink r:id="rId70">
        <w:r>
          <w:rPr>
            <w:rStyle w:val="Hyperlink"/>
          </w:rPr>
          <w:t xml:space="preserve">https://osf.io/preprints/socarxiv/vjsna</w:t>
        </w:r>
      </w:hyperlink>
    </w:p>
    <w:p>
      <w:pPr>
        <w:pStyle w:val="BodyText"/>
      </w:pPr>
      <w:hyperlink r:id="rId57">
        <w:r>
          <w:rPr>
            <w:rStyle w:val="Hyperlink"/>
          </w:rPr>
          <w:t xml:space="preserve">[34]</w:t>
        </w:r>
      </w:hyperlink>
      <w:r>
        <w:t xml:space="preserve"> </w:t>
      </w:r>
      <w:r>
        <w:t xml:space="preserve">[PDF] Lunar calendar in rongorongo texts and rock art of Easter Island</w:t>
      </w:r>
    </w:p>
    <w:p>
      <w:pPr>
        <w:pStyle w:val="BodyText"/>
      </w:pPr>
      <w:hyperlink r:id="rId71">
        <w:r>
          <w:rPr>
            <w:rStyle w:val="Hyperlink"/>
          </w:rPr>
          <w:t xml:space="preserve">https://core.ac.uk/download/pdf/224103200.pdf</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file://file-EKFBHRihh6xQJcexArYFzA" TargetMode="External" /><Relationship Type="http://schemas.openxmlformats.org/officeDocument/2006/relationships/hyperlink" Id="rId26" Target="file://file-EKFBHRihh6xQJcexArYFzA#:~:text=%5D%2C%20%22notes%22%3A%20%5B%20%22Fruit,night%20name%20in%20lunar%20calendar" TargetMode="External" /><Relationship Type="http://schemas.openxmlformats.org/officeDocument/2006/relationships/hyperlink" Id="rId25" Target="file://file-EKFBHRihh6xQJcexArYFzA#:~:text=," TargetMode="External" /><Relationship Type="http://schemas.openxmlformats.org/officeDocument/2006/relationships/hyperlink" Id="rId68" Target="file://file-JUd9rmLnEDVcLgFshpRxQC" TargetMode="External" /><Relationship Type="http://schemas.openxmlformats.org/officeDocument/2006/relationships/hyperlink" Id="rId41" Target="file://file-JUd9rmLnEDVcLgFshpRxQC#:~:text=," TargetMode="External" /><Relationship Type="http://schemas.openxmlformats.org/officeDocument/2006/relationships/hyperlink" Id="rId42" Target="file://file-JUd9rmLnEDVcLgFshpRxQC#:~:text=,young" TargetMode="External" /><Relationship Type="http://schemas.openxmlformats.org/officeDocument/2006/relationships/hyperlink" Id="rId54" Target="file://file-JUd9rmLnEDVcLgFshpRxQC#:~:text=explicit%20sexual%20meanings%3A%20%27copulate%27%20,certain%20kinship%20markers%20in%20hieroglyphs" TargetMode="External" /><Relationship Type="http://schemas.openxmlformats.org/officeDocument/2006/relationships/hyperlink" Id="rId71" Target="https://core.ac.uk/download/pdf/224103200.pdf" TargetMode="External" /><Relationship Type="http://schemas.openxmlformats.org/officeDocument/2006/relationships/hyperlink" Id="rId57" Target="https://core.ac.uk/download/pdf/224103200.pdf#:~:text=Island%20core,with%20two%20crescents%20and" TargetMode="External" /><Relationship Type="http://schemas.openxmlformats.org/officeDocument/2006/relationships/hyperlink" Id="rId66" Target="https://en.wikipedia.org/wiki/Rongorongo" TargetMode="External" /><Relationship Type="http://schemas.openxmlformats.org/officeDocument/2006/relationships/hyperlink" Id="rId48" Target="https://en.wikipedia.org/wiki/Rongorongo#:~:text=Ev%2C%20on%20a%2026,of%20Qr3%E2%80%937%20is%20shown%20in" TargetMode="External" /><Relationship Type="http://schemas.openxmlformats.org/officeDocument/2006/relationships/hyperlink" Id="rId49" Target="https://en.wikipedia.org/wiki/Rongorongo#:~:text=H%20%20RR9%20Large%20Santiago,one%20which%20appears%20to%20have" TargetMode="External" /><Relationship Type="http://schemas.openxmlformats.org/officeDocument/2006/relationships/hyperlink" Id="rId38" Target="https://en.wikipedia.org/wiki/Rongorongo#:~:text=H%20%20RR9%20Large%20Santiago,resembles%20only%20Gv%20and%20Ta" TargetMode="External" /><Relationship Type="http://schemas.openxmlformats.org/officeDocument/2006/relationships/hyperlink" Id="rId55" Target="https://en.wikipedia.org/wiki/Rongorongo#:~:text=been%20dated%20to%20circa%201200%2C,30" TargetMode="External" /><Relationship Type="http://schemas.openxmlformats.org/officeDocument/2006/relationships/hyperlink" Id="rId43" Target="https://en.wikipedia.org/wiki/Rongorongo#:~:text=label,resembles%20only%20Gv%20and%20Ta" TargetMode="External" /><Relationship Type="http://schemas.openxmlformats.org/officeDocument/2006/relationships/hyperlink" Id="rId53" Target="https://en.wikipedia.org/wiki/Rongorongo#:~:text=used%20for%20planking,centimetre%20%2825%C2%A0in" TargetMode="External" /><Relationship Type="http://schemas.openxmlformats.org/officeDocument/2006/relationships/hyperlink" Id="rId64" Target="https://en.wikipedia.org/wiki/Rongorongo_text_B" TargetMode="External" /><Relationship Type="http://schemas.openxmlformats.org/officeDocument/2006/relationships/hyperlink" Id="rId31" Target="https://en.wikipedia.org/wiki/Rongorongo_text_B#:~:text=" TargetMode="External" /><Relationship Type="http://schemas.openxmlformats.org/officeDocument/2006/relationships/hyperlink" Id="rId34" Target="https://en.wikipedia.org/wiki/Rongorongo_text_B#:~:text=Aruku%20Kurenga%20provided%20part%20of,use%20in%20understanding%20the%20script" TargetMode="External" /><Relationship Type="http://schemas.openxmlformats.org/officeDocument/2006/relationships/hyperlink" Id="rId33" Target="https://en.wikipedia.org/wiki/Rongorongo_text_B#:~:text=Fischer%20believes%20that%20Aruku%20Kurenga,collation%20of%20several%20different%20texts" TargetMode="External" /><Relationship Type="http://schemas.openxmlformats.org/officeDocument/2006/relationships/hyperlink" Id="rId32" Target="https://en.wikipedia.org/wiki/Rongorongo_text_B#:~:text=texts" TargetMode="External" /><Relationship Type="http://schemas.openxmlformats.org/officeDocument/2006/relationships/hyperlink" Id="rId61" Target="https://en.wikipedia.org/wiki/Rongorongo_text_C" TargetMode="External" /><Relationship Type="http://schemas.openxmlformats.org/officeDocument/2006/relationships/hyperlink" Id="rId24" Target="https://en.wikipedia.org/wiki/Rongorongo_text_C#:~:text=,Guy%20to%20be%20phonetic%20complements" TargetMode="External" /><Relationship Type="http://schemas.openxmlformats.org/officeDocument/2006/relationships/hyperlink" Id="rId21" Target="https://en.wikipedia.org/wiki/Rongorongo_text_C#:~:text=Inscription%20containing%20the%20Rapa%20Nui,calendar" TargetMode="External" /><Relationship Type="http://schemas.openxmlformats.org/officeDocument/2006/relationships/hyperlink" Id="rId27" Target="https://en.wikipedia.org/wiki/Rongorongo_text_C#:~:text=Katherine%20Routledge%20was%20told%20that,as%20well%20as%20the%20calendar" TargetMode="External" /><Relationship Type="http://schemas.openxmlformats.org/officeDocument/2006/relationships/hyperlink" Id="rId28" Target="https://en.wikipedia.org/wiki/Rongorongo_text_C#:~:text=a%20half%20of%20the%20fourteen,sides%20may%20also%20be%20calendrical" TargetMode="External" /><Relationship Type="http://schemas.openxmlformats.org/officeDocument/2006/relationships/hyperlink" Id="rId29" Target="https://en.wikipedia.org/wiki/Rongorongo_text_C#:~:text=this%20section,sides%20may%20also%20be%20calendrical" TargetMode="External" /><Relationship Type="http://schemas.openxmlformats.org/officeDocument/2006/relationships/hyperlink" Id="rId67" Target="https://en.wikipedia.org/wiki/Rongorongo_text_I" TargetMode="External" /><Relationship Type="http://schemas.openxmlformats.org/officeDocument/2006/relationships/hyperlink" Id="rId45" Target="https://en.wikipedia.org/wiki/Rongorongo_text_I#:~:text=Dutrou,he%20reported%20that%20he%20was" TargetMode="External" /><Relationship Type="http://schemas.openxmlformats.org/officeDocument/2006/relationships/hyperlink" Id="rId39" Target="https://en.wikipedia.org/wiki/Rongorongo_text_I#:~:text=Pozdniakov%20,rest%20of%20the%20rongorongo%20corpus" TargetMode="External" /><Relationship Type="http://schemas.openxmlformats.org/officeDocument/2006/relationships/hyperlink" Id="rId69" Target="https://journals.openedition.org/jso/6272?lang=en" TargetMode="External" /><Relationship Type="http://schemas.openxmlformats.org/officeDocument/2006/relationships/hyperlink" Id="rId44" Target="https://journals.openedition.org/jso/6272?lang=en#:~:text=4%20One%20such%20possible%20identification,have%20no%20new%20knowledge%20that" TargetMode="External" /><Relationship Type="http://schemas.openxmlformats.org/officeDocument/2006/relationships/hyperlink" Id="rId56" Target="https://journals.openedition.org/jso/6272?lang=en#:~:text=these%2025%20rongorongo%20texts%20is,of%20Oceania%27s%20only%20native%20script" TargetMode="External" /><Relationship Type="http://schemas.openxmlformats.org/officeDocument/2006/relationships/hyperlink" Id="rId65" Target="https://journals.openedition.org/jso/6695?lang=en" TargetMode="External" /><Relationship Type="http://schemas.openxmlformats.org/officeDocument/2006/relationships/hyperlink" Id="rId35" Target="https://journals.openedition.org/jso/6695?lang=en#:~:text=32%20Therefore%2C%20despite%20the%20extremely,Horley%2C%202010%3A%20220" TargetMode="External" /><Relationship Type="http://schemas.openxmlformats.org/officeDocument/2006/relationships/hyperlink" Id="rId51" Target="https://journals.openedition.org/jso/6695?lang=en#:~:text=34%20The%20new%20tracings%20were,hieroglyphic%20texts%20of%20Easter%20Island" TargetMode="External" /><Relationship Type="http://schemas.openxmlformats.org/officeDocument/2006/relationships/hyperlink" Id="rId40" Target="https://journals.openedition.org/jso/6695?lang=en#:~:text=H%2C%20P%2C%20Q,Horley%2C%202010%3A%20220" TargetMode="External" /><Relationship Type="http://schemas.openxmlformats.org/officeDocument/2006/relationships/hyperlink" Id="rId52" Target="https://journals.openedition.org/jso/6695?lang=en#:~:text=other%20hand%2C%20there%20is%20a,beaked%20bird%20684%20%28fig.%C2%A09%2C%20Pv1" TargetMode="External" /><Relationship Type="http://schemas.openxmlformats.org/officeDocument/2006/relationships/hyperlink" Id="rId50" Target="https://journals.openedition.org/jso/6695?lang=en#:~:text=parallels%20with%20the%20main%20rongorongo,Horley%2C%202010%3A%20220" TargetMode="External" /><Relationship Type="http://schemas.openxmlformats.org/officeDocument/2006/relationships/hyperlink" Id="rId36" Target="https://journals.openedition.org/jso/6695?lang=en#:~:text=starts%20after%20a%20structured%20sequence,beaked%20bird%20684%20%28fig.%C2%A09%2C%20Pv1" TargetMode="External" /><Relationship Type="http://schemas.openxmlformats.org/officeDocument/2006/relationships/hyperlink" Id="rId70" Target="https://osf.io/preprints/socarxiv/vjsna" TargetMode="External" /><Relationship Type="http://schemas.openxmlformats.org/officeDocument/2006/relationships/hyperlink" Id="rId47" Target="https://osf.io/preprints/socarxiv/vjsna#:~:text=T%20osf,Finally%2C%20it%20is" TargetMode="External" /><Relationship Type="http://schemas.openxmlformats.org/officeDocument/2006/relationships/hyperlink" Id="rId62" Target="https://www.persee.fr/doc/jso_0300-953x_1990_num_91_2_2882" TargetMode="External" /><Relationship Type="http://schemas.openxmlformats.org/officeDocument/2006/relationships/hyperlink" Id="rId23" Target="https://www.persee.fr/doc/jso_0300-953x_1990_num_91_2_2882#:~:text=It%20lists%2C%20in%20separate%20columns%2C,December%2024th%20and%2025th%2C%201886" TargetMode="External" /><Relationship Type="http://schemas.openxmlformats.org/officeDocument/2006/relationships/hyperlink" Id="rId22" Target="https://www.persee.fr/doc/jso_0300-953x_1990_num_91_2_2882#:~:text=The%20data" TargetMode="External" /></Relationships>
</file>

<file path=word/_rels/footnotes.xml.rels><?xml version="1.0" encoding="UTF-8"?><Relationships xmlns="http://schemas.openxmlformats.org/package/2006/relationships"><Relationship Type="http://schemas.openxmlformats.org/officeDocument/2006/relationships/hyperlink" Id="rId63" Target="file://file-EKFBHRihh6xQJcexArYFzA" TargetMode="External" /><Relationship Type="http://schemas.openxmlformats.org/officeDocument/2006/relationships/hyperlink" Id="rId26" Target="file://file-EKFBHRihh6xQJcexArYFzA#:~:text=%5D%2C%20%22notes%22%3A%20%5B%20%22Fruit,night%20name%20in%20lunar%20calendar" TargetMode="External" /><Relationship Type="http://schemas.openxmlformats.org/officeDocument/2006/relationships/hyperlink" Id="rId25" Target="file://file-EKFBHRihh6xQJcexArYFzA#:~:text=," TargetMode="External" /><Relationship Type="http://schemas.openxmlformats.org/officeDocument/2006/relationships/hyperlink" Id="rId68" Target="file://file-JUd9rmLnEDVcLgFshpRxQC" TargetMode="External" /><Relationship Type="http://schemas.openxmlformats.org/officeDocument/2006/relationships/hyperlink" Id="rId41" Target="file://file-JUd9rmLnEDVcLgFshpRxQC#:~:text=," TargetMode="External" /><Relationship Type="http://schemas.openxmlformats.org/officeDocument/2006/relationships/hyperlink" Id="rId42" Target="file://file-JUd9rmLnEDVcLgFshpRxQC#:~:text=,young" TargetMode="External" /><Relationship Type="http://schemas.openxmlformats.org/officeDocument/2006/relationships/hyperlink" Id="rId54" Target="file://file-JUd9rmLnEDVcLgFshpRxQC#:~:text=explicit%20sexual%20meanings%3A%20%27copulate%27%20,certain%20kinship%20markers%20in%20hieroglyphs" TargetMode="External" /><Relationship Type="http://schemas.openxmlformats.org/officeDocument/2006/relationships/hyperlink" Id="rId71" Target="https://core.ac.uk/download/pdf/224103200.pdf" TargetMode="External" /><Relationship Type="http://schemas.openxmlformats.org/officeDocument/2006/relationships/hyperlink" Id="rId57" Target="https://core.ac.uk/download/pdf/224103200.pdf#:~:text=Island%20core,with%20two%20crescents%20and" TargetMode="External" /><Relationship Type="http://schemas.openxmlformats.org/officeDocument/2006/relationships/hyperlink" Id="rId66" Target="https://en.wikipedia.org/wiki/Rongorongo" TargetMode="External" /><Relationship Type="http://schemas.openxmlformats.org/officeDocument/2006/relationships/hyperlink" Id="rId48" Target="https://en.wikipedia.org/wiki/Rongorongo#:~:text=Ev%2C%20on%20a%2026,of%20Qr3%E2%80%937%20is%20shown%20in" TargetMode="External" /><Relationship Type="http://schemas.openxmlformats.org/officeDocument/2006/relationships/hyperlink" Id="rId49" Target="https://en.wikipedia.org/wiki/Rongorongo#:~:text=H%20%20RR9%20Large%20Santiago,one%20which%20appears%20to%20have" TargetMode="External" /><Relationship Type="http://schemas.openxmlformats.org/officeDocument/2006/relationships/hyperlink" Id="rId38" Target="https://en.wikipedia.org/wiki/Rongorongo#:~:text=H%20%20RR9%20Large%20Santiago,resembles%20only%20Gv%20and%20Ta" TargetMode="External" /><Relationship Type="http://schemas.openxmlformats.org/officeDocument/2006/relationships/hyperlink" Id="rId55" Target="https://en.wikipedia.org/wiki/Rongorongo#:~:text=been%20dated%20to%20circa%201200%2C,30" TargetMode="External" /><Relationship Type="http://schemas.openxmlformats.org/officeDocument/2006/relationships/hyperlink" Id="rId43" Target="https://en.wikipedia.org/wiki/Rongorongo#:~:text=label,resembles%20only%20Gv%20and%20Ta" TargetMode="External" /><Relationship Type="http://schemas.openxmlformats.org/officeDocument/2006/relationships/hyperlink" Id="rId53" Target="https://en.wikipedia.org/wiki/Rongorongo#:~:text=used%20for%20planking,centimetre%20%2825%C2%A0in" TargetMode="External" /><Relationship Type="http://schemas.openxmlformats.org/officeDocument/2006/relationships/hyperlink" Id="rId64" Target="https://en.wikipedia.org/wiki/Rongorongo_text_B" TargetMode="External" /><Relationship Type="http://schemas.openxmlformats.org/officeDocument/2006/relationships/hyperlink" Id="rId31" Target="https://en.wikipedia.org/wiki/Rongorongo_text_B#:~:text=" TargetMode="External" /><Relationship Type="http://schemas.openxmlformats.org/officeDocument/2006/relationships/hyperlink" Id="rId34" Target="https://en.wikipedia.org/wiki/Rongorongo_text_B#:~:text=Aruku%20Kurenga%20provided%20part%20of,use%20in%20understanding%20the%20script" TargetMode="External" /><Relationship Type="http://schemas.openxmlformats.org/officeDocument/2006/relationships/hyperlink" Id="rId33" Target="https://en.wikipedia.org/wiki/Rongorongo_text_B#:~:text=Fischer%20believes%20that%20Aruku%20Kurenga,collation%20of%20several%20different%20texts" TargetMode="External" /><Relationship Type="http://schemas.openxmlformats.org/officeDocument/2006/relationships/hyperlink" Id="rId32" Target="https://en.wikipedia.org/wiki/Rongorongo_text_B#:~:text=texts" TargetMode="External" /><Relationship Type="http://schemas.openxmlformats.org/officeDocument/2006/relationships/hyperlink" Id="rId61" Target="https://en.wikipedia.org/wiki/Rongorongo_text_C" TargetMode="External" /><Relationship Type="http://schemas.openxmlformats.org/officeDocument/2006/relationships/hyperlink" Id="rId24" Target="https://en.wikipedia.org/wiki/Rongorongo_text_C#:~:text=,Guy%20to%20be%20phonetic%20complements" TargetMode="External" /><Relationship Type="http://schemas.openxmlformats.org/officeDocument/2006/relationships/hyperlink" Id="rId21" Target="https://en.wikipedia.org/wiki/Rongorongo_text_C#:~:text=Inscription%20containing%20the%20Rapa%20Nui,calendar" TargetMode="External" /><Relationship Type="http://schemas.openxmlformats.org/officeDocument/2006/relationships/hyperlink" Id="rId27" Target="https://en.wikipedia.org/wiki/Rongorongo_text_C#:~:text=Katherine%20Routledge%20was%20told%20that,as%20well%20as%20the%20calendar" TargetMode="External" /><Relationship Type="http://schemas.openxmlformats.org/officeDocument/2006/relationships/hyperlink" Id="rId28" Target="https://en.wikipedia.org/wiki/Rongorongo_text_C#:~:text=a%20half%20of%20the%20fourteen,sides%20may%20also%20be%20calendrical" TargetMode="External" /><Relationship Type="http://schemas.openxmlformats.org/officeDocument/2006/relationships/hyperlink" Id="rId29" Target="https://en.wikipedia.org/wiki/Rongorongo_text_C#:~:text=this%20section,sides%20may%20also%20be%20calendrical" TargetMode="External" /><Relationship Type="http://schemas.openxmlformats.org/officeDocument/2006/relationships/hyperlink" Id="rId67" Target="https://en.wikipedia.org/wiki/Rongorongo_text_I" TargetMode="External" /><Relationship Type="http://schemas.openxmlformats.org/officeDocument/2006/relationships/hyperlink" Id="rId45" Target="https://en.wikipedia.org/wiki/Rongorongo_text_I#:~:text=Dutrou,he%20reported%20that%20he%20was" TargetMode="External" /><Relationship Type="http://schemas.openxmlformats.org/officeDocument/2006/relationships/hyperlink" Id="rId39" Target="https://en.wikipedia.org/wiki/Rongorongo_text_I#:~:text=Pozdniakov%20,rest%20of%20the%20rongorongo%20corpus" TargetMode="External" /><Relationship Type="http://schemas.openxmlformats.org/officeDocument/2006/relationships/hyperlink" Id="rId69" Target="https://journals.openedition.org/jso/6272?lang=en" TargetMode="External" /><Relationship Type="http://schemas.openxmlformats.org/officeDocument/2006/relationships/hyperlink" Id="rId44" Target="https://journals.openedition.org/jso/6272?lang=en#:~:text=4%20One%20such%20possible%20identification,have%20no%20new%20knowledge%20that" TargetMode="External" /><Relationship Type="http://schemas.openxmlformats.org/officeDocument/2006/relationships/hyperlink" Id="rId56" Target="https://journals.openedition.org/jso/6272?lang=en#:~:text=these%2025%20rongorongo%20texts%20is,of%20Oceania%27s%20only%20native%20script" TargetMode="External" /><Relationship Type="http://schemas.openxmlformats.org/officeDocument/2006/relationships/hyperlink" Id="rId65" Target="https://journals.openedition.org/jso/6695?lang=en" TargetMode="External" /><Relationship Type="http://schemas.openxmlformats.org/officeDocument/2006/relationships/hyperlink" Id="rId35" Target="https://journals.openedition.org/jso/6695?lang=en#:~:text=32%20Therefore%2C%20despite%20the%20extremely,Horley%2C%202010%3A%20220" TargetMode="External" /><Relationship Type="http://schemas.openxmlformats.org/officeDocument/2006/relationships/hyperlink" Id="rId51" Target="https://journals.openedition.org/jso/6695?lang=en#:~:text=34%20The%20new%20tracings%20were,hieroglyphic%20texts%20of%20Easter%20Island" TargetMode="External" /><Relationship Type="http://schemas.openxmlformats.org/officeDocument/2006/relationships/hyperlink" Id="rId40" Target="https://journals.openedition.org/jso/6695?lang=en#:~:text=H%2C%20P%2C%20Q,Horley%2C%202010%3A%20220" TargetMode="External" /><Relationship Type="http://schemas.openxmlformats.org/officeDocument/2006/relationships/hyperlink" Id="rId52" Target="https://journals.openedition.org/jso/6695?lang=en#:~:text=other%20hand%2C%20there%20is%20a,beaked%20bird%20684%20%28fig.%C2%A09%2C%20Pv1" TargetMode="External" /><Relationship Type="http://schemas.openxmlformats.org/officeDocument/2006/relationships/hyperlink" Id="rId50" Target="https://journals.openedition.org/jso/6695?lang=en#:~:text=parallels%20with%20the%20main%20rongorongo,Horley%2C%202010%3A%20220" TargetMode="External" /><Relationship Type="http://schemas.openxmlformats.org/officeDocument/2006/relationships/hyperlink" Id="rId36" Target="https://journals.openedition.org/jso/6695?lang=en#:~:text=starts%20after%20a%20structured%20sequence,beaked%20bird%20684%20%28fig.%C2%A09%2C%20Pv1" TargetMode="External" /><Relationship Type="http://schemas.openxmlformats.org/officeDocument/2006/relationships/hyperlink" Id="rId70" Target="https://osf.io/preprints/socarxiv/vjsna" TargetMode="External" /><Relationship Type="http://schemas.openxmlformats.org/officeDocument/2006/relationships/hyperlink" Id="rId47" Target="https://osf.io/preprints/socarxiv/vjsna#:~:text=T%20osf,Finally%2C%20it%20is" TargetMode="External" /><Relationship Type="http://schemas.openxmlformats.org/officeDocument/2006/relationships/hyperlink" Id="rId62" Target="https://www.persee.fr/doc/jso_0300-953x_1990_num_91_2_2882" TargetMode="External" /><Relationship Type="http://schemas.openxmlformats.org/officeDocument/2006/relationships/hyperlink" Id="rId23" Target="https://www.persee.fr/doc/jso_0300-953x_1990_num_91_2_2882#:~:text=It%20lists%2C%20in%20separate%20columns%2C,December%2024th%20and%2025th%2C%201886" TargetMode="External" /><Relationship Type="http://schemas.openxmlformats.org/officeDocument/2006/relationships/hyperlink" Id="rId22" Target="https://www.persee.fr/doc/jso_0300-953x_1990_num_91_2_2882#:~:text=The%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2025-09-27T23:40:45Z</dcterms:created>
  <dcterms:modified xsi:type="dcterms:W3CDTF">2025-09-27T23:40:45Z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