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X3131c974d420ab465d8c1581dca6d6ae90d795f"/>
    <w:p>
      <w:pPr>
        <w:pStyle w:val="Heading1"/>
      </w:pPr>
      <w:r>
        <w:t xml:space="preserve">Phase 5.6: Deep Analysis of Tablet B (Aruku Kurenga)</w:t>
      </w:r>
    </w:p>
    <w:bookmarkStart w:id="28" w:name="archaeological-background"/>
    <w:p>
      <w:pPr>
        <w:pStyle w:val="Heading2"/>
      </w:pPr>
      <w:r>
        <w:t xml:space="preserve">Archaeological Background</w:t>
      </w:r>
    </w:p>
    <w:p>
      <w:pPr>
        <w:pStyle w:val="FirstParagraph"/>
      </w:pPr>
      <w:r>
        <w:rPr>
          <w:i/>
          <w:iCs/>
        </w:rPr>
        <w:t xml:space="preserve">One side of Tablet B (Aruku Kurenga), showing several lines of rongorongo glyphs incised into the wood.</w:t>
      </w:r>
      <w:r>
        <w:t xml:space="preserve"> </w:t>
      </w:r>
      <w:r>
        <w:t xml:space="preserve">The</w:t>
      </w:r>
      <w:r>
        <w:t xml:space="preserve"> </w:t>
      </w:r>
      <w:r>
        <w:rPr>
          <w:i/>
          <w:iCs/>
        </w:rPr>
        <w:t xml:space="preserve">Aruku Kurenga</w:t>
      </w:r>
      <w:r>
        <w:t xml:space="preserve"> </w:t>
      </w:r>
      <w:r>
        <w:t xml:space="preserve">tablet, designated Text B, is one of the best-preserved and most finely carved rongorongo inscriptions from Rapa Nui (Easter Island)</w:t>
      </w:r>
      <w:hyperlink r:id="rId21">
        <w:r>
          <w:rPr>
            <w:rStyle w:val="Hyperlink"/>
          </w:rPr>
          <w:t xml:space="preserve">[1]</w:t>
        </w:r>
      </w:hyperlink>
      <w:hyperlink r:id="rId22">
        <w:r>
          <w:rPr>
            <w:rStyle w:val="Hyperlink"/>
          </w:rPr>
          <w:t xml:space="preserve">[2]</w:t>
        </w:r>
      </w:hyperlink>
      <w:r>
        <w:t xml:space="preserve">. This oblong wooden tablet measures roughly 41 × 15 × 2.5 cm and is made of Pacific rosewood (</w:t>
      </w:r>
      <w:r>
        <w:rPr>
          <w:i/>
          <w:iCs/>
        </w:rPr>
        <w:t xml:space="preserve">Thespesia populnea</w:t>
      </w:r>
      <w:r>
        <w:t xml:space="preserve">), likely driftwood based on its warped shape</w:t>
      </w:r>
      <w:hyperlink r:id="rId21">
        <w:r>
          <w:rPr>
            <w:rStyle w:val="Hyperlink"/>
          </w:rPr>
          <w:t xml:space="preserve">[1]</w:t>
        </w:r>
      </w:hyperlink>
      <w:r>
        <w:t xml:space="preserve">. The tablet’s surface is fluted with parallel lines of glyphs on each side (10 lines on the recto, 12 on the verso), containing approximately 1,200–1,300 individual glyphs in total</w:t>
      </w:r>
      <w:hyperlink r:id="rId23">
        <w:r>
          <w:rPr>
            <w:rStyle w:val="Hyperlink"/>
          </w:rPr>
          <w:t xml:space="preserve">[3]</w:t>
        </w:r>
      </w:hyperlink>
      <w:hyperlink r:id="rId24">
        <w:r>
          <w:rPr>
            <w:rStyle w:val="Hyperlink"/>
          </w:rPr>
          <w:t xml:space="preserve">[4]</w:t>
        </w:r>
      </w:hyperlink>
      <w:r>
        <w:t xml:space="preserve">. Small perforations in the wood (one at center, two near one end) suggest it may have been hung or bound with cord in antiquity</w:t>
      </w:r>
      <w:hyperlink r:id="rId21">
        <w:r>
          <w:rPr>
            <w:rStyle w:val="Hyperlink"/>
          </w:rPr>
          <w:t xml:space="preserve">[1]</w:t>
        </w:r>
      </w:hyperlink>
      <w:r>
        <w:t xml:space="preserve">. Ethnographer Alfred Métraux praised Aruku Kurenga as</w:t>
      </w:r>
      <w:r>
        <w:t xml:space="preserve"> </w:t>
      </w:r>
      <w:r>
        <w:rPr>
          <w:i/>
          <w:iCs/>
        </w:rPr>
        <w:t xml:space="preserve">“one of the finest rongorongo tablets”</w:t>
      </w:r>
      <w:r>
        <w:t xml:space="preserve">, noting the masterful, confident incising and harmonious blend of stylized and naturalistic elements</w:t>
      </w:r>
      <w:hyperlink r:id="rId22">
        <w:r>
          <w:rPr>
            <w:rStyle w:val="Hyperlink"/>
          </w:rPr>
          <w:t xml:space="preserve">[2]</w:t>
        </w:r>
      </w:hyperlink>
      <w:r>
        <w:t xml:space="preserve">.</w:t>
      </w:r>
    </w:p>
    <w:p>
      <w:pPr>
        <w:pStyle w:val="BodyText"/>
      </w:pPr>
      <w:r>
        <w:t xml:space="preserve">The provenance of Tablet B is well documented. It was</w:t>
      </w:r>
      <w:r>
        <w:t xml:space="preserve"> </w:t>
      </w:r>
      <w:r>
        <w:rPr>
          <w:b/>
          <w:bCs/>
        </w:rPr>
        <w:t xml:space="preserve">collected on Easter Island in 1870</w:t>
      </w:r>
      <w:r>
        <w:t xml:space="preserve"> </w:t>
      </w:r>
      <w:r>
        <w:t xml:space="preserve">by Fathers Hippolyte Roussel and Théodore Zumbohm as part of Bishop Jaussen’s efforts to acquire rongorongo texts</w:t>
      </w:r>
      <w:hyperlink r:id="rId25">
        <w:r>
          <w:rPr>
            <w:rStyle w:val="Hyperlink"/>
          </w:rPr>
          <w:t xml:space="preserve">[5]</w:t>
        </w:r>
      </w:hyperlink>
      <w:r>
        <w:t xml:space="preserve">. They sent the artifact to Bishop Florentin Jaussen in Tahiti, who in turn forwarded it to the Congregation of the Sacred Hearts in Paris by the late 1880s</w:t>
      </w:r>
      <w:hyperlink r:id="rId25">
        <w:r>
          <w:rPr>
            <w:rStyle w:val="Hyperlink"/>
          </w:rPr>
          <w:t xml:space="preserve">[5]</w:t>
        </w:r>
      </w:hyperlink>
      <w:r>
        <w:t xml:space="preserve">. The tablet eventually entered the Catholic order’s museum (first in Braine-le-Comte, Belgium, later in Rome), where it resides today</w:t>
      </w:r>
      <w:hyperlink r:id="rId25">
        <w:r>
          <w:rPr>
            <w:rStyle w:val="Hyperlink"/>
          </w:rPr>
          <w:t xml:space="preserve">[5]</w:t>
        </w:r>
      </w:hyperlink>
      <w:r>
        <w:t xml:space="preserve">. In the 1870s Jaussen attempted to decipher rongorongo by having his informant, Metoro Tau‘a Ure, “read” the tablets aloud. Metoro did recite phrases while tracing Aruku Kurenga’s lines (contributing to the so-called</w:t>
      </w:r>
      <w:r>
        <w:t xml:space="preserve"> </w:t>
      </w:r>
      <w:r>
        <w:rPr>
          <w:i/>
          <w:iCs/>
        </w:rPr>
        <w:t xml:space="preserve">Jaussen List</w:t>
      </w:r>
      <w:r>
        <w:t xml:space="preserve"> </w:t>
      </w:r>
      <w:r>
        <w:t xml:space="preserve">of glyph meanings), but his chant-like readings did not yield a direct translation of the text</w:t>
      </w:r>
      <w:hyperlink r:id="rId26">
        <w:r>
          <w:rPr>
            <w:rStyle w:val="Hyperlink"/>
          </w:rPr>
          <w:t xml:space="preserve">[6]</w:t>
        </w:r>
      </w:hyperlink>
      <w:r>
        <w:t xml:space="preserve">. Nonetheless, those oral interpretations later provided clues linking certain glyphs to Rapa Nui mythic names and concepts (for example, Metoro identified one glyph with the name of a deceased scout, as discussed below)</w:t>
      </w:r>
      <w:hyperlink r:id="rId27">
        <w:r>
          <w:rPr>
            <w:rStyle w:val="Hyperlink"/>
          </w:rPr>
          <w:t xml:space="preserve">[7]</w:t>
        </w:r>
      </w:hyperlink>
      <w:r>
        <w:t xml:space="preserve">.</w:t>
      </w:r>
    </w:p>
    <w:p>
      <w:pPr>
        <w:pStyle w:val="BodyText"/>
      </w:pPr>
      <w:r>
        <w:t xml:space="preserve">In summary, Aruku Kurenga is a</w:t>
      </w:r>
      <w:r>
        <w:t xml:space="preserve"> </w:t>
      </w:r>
      <w:r>
        <w:rPr>
          <w:b/>
          <w:bCs/>
        </w:rPr>
        <w:t xml:space="preserve">large, intact rongorongo tablet</w:t>
      </w:r>
      <w:r>
        <w:t xml:space="preserve"> </w:t>
      </w:r>
      <w:r>
        <w:t xml:space="preserve">with clear incisions and minimal damage. Its discovery by Catholic missionaries and preservation in museum collections ensured that the text remains fully legible. The tablet’s excellent condition and secure context make it an ideal subject for deep analysis. Importantly, Aruku Kurenga’s content has been linked to</w:t>
      </w:r>
      <w:r>
        <w:t xml:space="preserve"> </w:t>
      </w:r>
      <w:r>
        <w:rPr>
          <w:b/>
          <w:bCs/>
        </w:rPr>
        <w:t xml:space="preserve">historical-mythic narratives of Rapa Nui’s settlement</w:t>
      </w:r>
      <w:r>
        <w:t xml:space="preserve">, providing a rich backdrop for decipherment efforts.</w:t>
      </w:r>
    </w:p>
    <w:bookmarkEnd w:id="28"/>
    <w:bookmarkStart w:id="43" w:name="glyph-analysis-of-tablet-b"/>
    <w:p>
      <w:pPr>
        <w:pStyle w:val="Heading2"/>
      </w:pPr>
      <w:r>
        <w:t xml:space="preserve">Glyph Analysis of Tablet B</w:t>
      </w:r>
    </w:p>
    <w:p>
      <w:pPr>
        <w:pStyle w:val="FirstParagraph"/>
      </w:pPr>
      <w:r>
        <w:rPr>
          <w:b/>
          <w:bCs/>
        </w:rPr>
        <w:t xml:space="preserve">Text Layout and Structure:</w:t>
      </w:r>
      <w:r>
        <w:t xml:space="preserve"> </w:t>
      </w:r>
      <w:r>
        <w:t xml:space="preserve">Aruku Kurenga is inscribed in the rongorongo script’s reverse-boustrophedon format, read from bottom-left upward, line by line</w:t>
      </w:r>
      <w:hyperlink r:id="rId26">
        <w:r>
          <w:rPr>
            <w:rStyle w:val="Hyperlink"/>
          </w:rPr>
          <w:t xml:space="preserve">[8]</w:t>
        </w:r>
      </w:hyperlink>
      <w:r>
        <w:t xml:space="preserve">. There are 22 lines of text (split 10 on the recto, 12 on the verso) for a total of roughly twelve hundred glyphs</w:t>
      </w:r>
      <w:hyperlink r:id="rId23">
        <w:r>
          <w:rPr>
            <w:rStyle w:val="Hyperlink"/>
          </w:rPr>
          <w:t xml:space="preserve">[3]</w:t>
        </w:r>
      </w:hyperlink>
      <w:r>
        <w:t xml:space="preserve">. Scholars have noted that the text is not uniform throughout but appears divided into</w:t>
      </w:r>
      <w:r>
        <w:t xml:space="preserve"> </w:t>
      </w:r>
      <w:r>
        <w:rPr>
          <w:b/>
          <w:bCs/>
        </w:rPr>
        <w:t xml:space="preserve">three major sections</w:t>
      </w:r>
      <w:r>
        <w:t xml:space="preserve"> </w:t>
      </w:r>
      <w:r>
        <w:t xml:space="preserve">with similar content. Indeed,</w:t>
      </w:r>
      <w:r>
        <w:t xml:space="preserve"> </w:t>
      </w:r>
      <w:r>
        <w:rPr>
          <w:i/>
          <w:iCs/>
        </w:rPr>
        <w:t xml:space="preserve">Butinov and Knorozov (1956)</w:t>
      </w:r>
      <w:r>
        <w:t xml:space="preserve"> </w:t>
      </w:r>
      <w:r>
        <w:t xml:space="preserve">observed</w:t>
      </w:r>
      <w:r>
        <w:t xml:space="preserve"> </w:t>
      </w:r>
      <w:r>
        <w:rPr>
          <w:i/>
          <w:iCs/>
        </w:rPr>
        <w:t xml:space="preserve">“three repeating sequences of text”</w:t>
      </w:r>
      <w:r>
        <w:t xml:space="preserve"> </w:t>
      </w:r>
      <w:r>
        <w:t xml:space="preserve">on Tablet B, concluding that</w:t>
      </w:r>
      <w:r>
        <w:t xml:space="preserve"> </w:t>
      </w:r>
      <w:r>
        <w:rPr>
          <w:i/>
          <w:iCs/>
        </w:rPr>
        <w:t xml:space="preserve">“evidently, this is one and the same text, given in three variants”</w:t>
      </w:r>
      <w:hyperlink r:id="rId29">
        <w:r>
          <w:rPr>
            <w:rStyle w:val="Hyperlink"/>
          </w:rPr>
          <w:t xml:space="preserve">[9]</w:t>
        </w:r>
      </w:hyperlink>
      <w:r>
        <w:t xml:space="preserve">. These sections are delineated by a</w:t>
      </w:r>
      <w:r>
        <w:t xml:space="preserve"> </w:t>
      </w:r>
      <w:r>
        <w:rPr>
          <w:b/>
          <w:bCs/>
        </w:rPr>
        <w:t xml:space="preserve">section marker glyph (No. 32)</w:t>
      </w:r>
      <w:r>
        <w:t xml:space="preserve"> </w:t>
      </w:r>
      <w:r>
        <w:t xml:space="preserve">that acts like a paragraph break or chapter heading</w:t>
      </w:r>
      <w:hyperlink r:id="rId30">
        <w:r>
          <w:rPr>
            <w:rStyle w:val="Hyperlink"/>
          </w:rPr>
          <w:t xml:space="preserve">[10]</w:t>
        </w:r>
      </w:hyperlink>
      <w:r>
        <w:t xml:space="preserve">. On Aruku Kurenga, glyph 32 is consistently used at the start of each new sequence (“voyage”) – there are three occurrences, corresponding to three voyages or expeditions encoded in the text</w:t>
      </w:r>
      <w:hyperlink r:id="rId30">
        <w:r>
          <w:rPr>
            <w:rStyle w:val="Hyperlink"/>
          </w:rPr>
          <w:t xml:space="preserve">[10]</w:t>
        </w:r>
      </w:hyperlink>
      <w:hyperlink r:id="rId29">
        <w:r>
          <w:rPr>
            <w:rStyle w:val="Hyperlink"/>
          </w:rPr>
          <w:t xml:space="preserve">[9]</w:t>
        </w:r>
      </w:hyperlink>
      <w:r>
        <w:t xml:space="preserve">. This structural punctuation is highly reliable (proposed with</w:t>
      </w:r>
      <w:r>
        <w:t xml:space="preserve"> </w:t>
      </w:r>
      <w:r>
        <w:rPr>
          <w:i/>
          <w:iCs/>
        </w:rPr>
        <w:t xml:space="preserve">high confidence</w:t>
      </w:r>
      <w:r>
        <w:t xml:space="preserve"> </w:t>
      </w:r>
      <w:r>
        <w:t xml:space="preserve">in our model) in indicating segmentation</w:t>
      </w:r>
      <w:hyperlink r:id="rId31">
        <w:r>
          <w:rPr>
            <w:rStyle w:val="Hyperlink"/>
          </w:rPr>
          <w:t xml:space="preserve">[11]</w:t>
        </w:r>
      </w:hyperlink>
      <w:hyperlink r:id="rId32">
        <w:r>
          <w:rPr>
            <w:rStyle w:val="Hyperlink"/>
          </w:rPr>
          <w:t xml:space="preserve">[12]</w:t>
        </w:r>
      </w:hyperlink>
      <w:r>
        <w:t xml:space="preserve">. Within each section, smaller breaks or pauses are indicated by</w:t>
      </w:r>
      <w:r>
        <w:t xml:space="preserve"> </w:t>
      </w:r>
      <w:r>
        <w:rPr>
          <w:b/>
          <w:bCs/>
        </w:rPr>
        <w:t xml:space="preserve">clause delimiter glyph 62</w:t>
      </w:r>
      <w:r>
        <w:t xml:space="preserve">, a small circular or star-like sign functioning as a phrase separator</w:t>
      </w:r>
      <w:hyperlink r:id="rId33">
        <w:r>
          <w:rPr>
            <w:rStyle w:val="Hyperlink"/>
          </w:rPr>
          <w:t xml:space="preserve">[13]</w:t>
        </w:r>
      </w:hyperlink>
      <w:r>
        <w:t xml:space="preserve">. Glyph 62 appears at multiple clause boundaries on Tablet B (dozens of times in total), helping to map out shorter phrase units such as place names or formulaic epithets</w:t>
      </w:r>
      <w:hyperlink r:id="rId34">
        <w:r>
          <w:rPr>
            <w:rStyle w:val="Hyperlink"/>
          </w:rPr>
          <w:t xml:space="preserve">[14]</w:t>
        </w:r>
      </w:hyperlink>
      <w:hyperlink r:id="rId33">
        <w:r>
          <w:rPr>
            <w:rStyle w:val="Hyperlink"/>
          </w:rPr>
          <w:t xml:space="preserve">[13]</w:t>
        </w:r>
      </w:hyperlink>
      <w:r>
        <w:t xml:space="preserve">. Together, glyphs</w:t>
      </w:r>
      <w:r>
        <w:t xml:space="preserve"> </w:t>
      </w:r>
      <w:r>
        <w:rPr>
          <w:i/>
          <w:iCs/>
        </w:rPr>
        <w:t xml:space="preserve">32</w:t>
      </w:r>
      <w:r>
        <w:t xml:space="preserve"> </w:t>
      </w:r>
      <w:r>
        <w:t xml:space="preserve">and</w:t>
      </w:r>
      <w:r>
        <w:t xml:space="preserve"> </w:t>
      </w:r>
      <w:r>
        <w:rPr>
          <w:i/>
          <w:iCs/>
        </w:rPr>
        <w:t xml:space="preserve">62</w:t>
      </w:r>
      <w:r>
        <w:t xml:space="preserve"> </w:t>
      </w:r>
      <w:r>
        <w:t xml:space="preserve">form a system of punctuation: 32 marks major section breaks (each corresponding to a voyage narrative), while 62 marks minor breaks between phrases or list items (e.g. between successive locales or actions in a voyage). Notably, Aruku Kurenga does</w:t>
      </w:r>
      <w:r>
        <w:t xml:space="preserve"> </w:t>
      </w:r>
      <w:r>
        <w:rPr>
          <w:b/>
          <w:bCs/>
        </w:rPr>
        <w:t xml:space="preserve">not</w:t>
      </w:r>
      <w:r>
        <w:t xml:space="preserve"> </w:t>
      </w:r>
      <w:r>
        <w:t xml:space="preserve">feature the vertical line separator (coded as glyph</w:t>
      </w:r>
      <w:r>
        <w:t xml:space="preserve"> </w:t>
      </w:r>
      <w:r>
        <w:rPr>
          <w:i/>
          <w:iCs/>
        </w:rPr>
        <w:t xml:space="preserve">999</w:t>
      </w:r>
      <w:r>
        <w:t xml:space="preserve">) that is carved on the Santiago Staff; those physical dividers are absent on Tablet B</w:t>
      </w:r>
      <w:hyperlink r:id="rId35">
        <w:r>
          <w:rPr>
            <w:rStyle w:val="Hyperlink"/>
          </w:rPr>
          <w:t xml:space="preserve">[15]</w:t>
        </w:r>
      </w:hyperlink>
      <w:r>
        <w:t xml:space="preserve">, so all segmentation is indicated by the scripted punctuation glyphs instead.</w:t>
      </w:r>
    </w:p>
    <w:p>
      <w:pPr>
        <w:pStyle w:val="BodyText"/>
      </w:pPr>
      <w:r>
        <w:rPr>
          <w:b/>
          <w:bCs/>
        </w:rPr>
        <w:t xml:space="preserve">Frequency of Individual Glyphs:</w:t>
      </w:r>
      <w:r>
        <w:t xml:space="preserve"> </w:t>
      </w:r>
      <w:r>
        <w:t xml:space="preserve">Analyzing single-glyph frequencies on Tablet B reveals a distinctive profile consistent with its narrative content (migratory voyages and genealogical lists). Common</w:t>
      </w:r>
      <w:r>
        <w:t xml:space="preserve"> </w:t>
      </w:r>
      <w:r>
        <w:rPr>
          <w:b/>
          <w:bCs/>
        </w:rPr>
        <w:t xml:space="preserve">high-frequency glyphs</w:t>
      </w:r>
      <w:r>
        <w:t xml:space="preserve"> </w:t>
      </w:r>
      <w:r>
        <w:t xml:space="preserve">include the basic human figure</w:t>
      </w:r>
      <w:r>
        <w:t xml:space="preserve"> </w:t>
      </w:r>
      <w:r>
        <w:rPr>
          <w:b/>
          <w:bCs/>
        </w:rPr>
        <w:t xml:space="preserve">glyph 1</w:t>
      </w:r>
      <w:r>
        <w:t xml:space="preserve"> </w:t>
      </w:r>
      <w:r>
        <w:t xml:space="preserve">(meaning “person/human”), which appears very often in lineage contexts</w:t>
      </w:r>
      <w:hyperlink r:id="rId36">
        <w:r>
          <w:rPr>
            <w:rStyle w:val="Hyperlink"/>
          </w:rPr>
          <w:t xml:space="preserve">[16]</w:t>
        </w:r>
      </w:hyperlink>
      <w:r>
        <w:t xml:space="preserve">, and the</w:t>
      </w:r>
      <w:r>
        <w:t xml:space="preserve"> </w:t>
      </w:r>
      <w:r>
        <w:rPr>
          <w:b/>
          <w:bCs/>
        </w:rPr>
        <w:t xml:space="preserve">sun/star glyph 8</w:t>
      </w:r>
      <w:r>
        <w:t xml:space="preserve"> </w:t>
      </w:r>
      <w:r>
        <w:t xml:space="preserve">(a radiating symbol for celestial bodies) which is also ubiquitous</w:t>
      </w:r>
      <w:hyperlink r:id="rId37">
        <w:r>
          <w:rPr>
            <w:rStyle w:val="Hyperlink"/>
          </w:rPr>
          <w:t xml:space="preserve">[17]</w:t>
        </w:r>
      </w:hyperlink>
      <w:r>
        <w:t xml:space="preserve">. Glyph</w:t>
      </w:r>
      <w:r>
        <w:t xml:space="preserve"> </w:t>
      </w:r>
      <w:r>
        <w:rPr>
          <w:i/>
          <w:iCs/>
        </w:rPr>
        <w:t xml:space="preserve">1</w:t>
      </w:r>
      <w:r>
        <w:t xml:space="preserve"> </w:t>
      </w:r>
      <w:r>
        <w:t xml:space="preserve">occurs over a hundred times across the corpus and is attested on Aruku Kurenga in genealogical listings</w:t>
      </w:r>
      <w:hyperlink r:id="rId32">
        <w:r>
          <w:rPr>
            <w:rStyle w:val="Hyperlink"/>
          </w:rPr>
          <w:t xml:space="preserve">[18]</w:t>
        </w:r>
      </w:hyperlink>
      <w:r>
        <w:t xml:space="preserve">. The</w:t>
      </w:r>
      <w:r>
        <w:t xml:space="preserve"> </w:t>
      </w:r>
      <w:r>
        <w:rPr>
          <w:b/>
          <w:bCs/>
        </w:rPr>
        <w:t xml:space="preserve">section marker glyph 32</w:t>
      </w:r>
      <w:r>
        <w:t xml:space="preserve"> </w:t>
      </w:r>
      <w:r>
        <w:t xml:space="preserve">itself is fairly frequent when considering the whole corpus (appearing 89 times, largely on B and the Staff)</w:t>
      </w:r>
      <w:hyperlink r:id="rId34">
        <w:r>
          <w:rPr>
            <w:rStyle w:val="Hyperlink"/>
          </w:rPr>
          <w:t xml:space="preserve">[19]</w:t>
        </w:r>
      </w:hyperlink>
      <w:r>
        <w:t xml:space="preserve">, though on Tablet B specifically it appears three times as noted. The</w:t>
      </w:r>
      <w:r>
        <w:t xml:space="preserve"> </w:t>
      </w:r>
      <w:r>
        <w:rPr>
          <w:b/>
          <w:bCs/>
        </w:rPr>
        <w:t xml:space="preserve">genealogical connector glyph 76</w:t>
      </w:r>
      <w:r>
        <w:t xml:space="preserve"> </w:t>
      </w:r>
      <w:r>
        <w:t xml:space="preserve">(“begat; procreation link”) is another recurrent sign – it appears dozens of times on Aruku Kurenga, often in chains, reflecting extensive lineage sequences</w:t>
      </w:r>
      <w:hyperlink r:id="rId32">
        <w:r>
          <w:rPr>
            <w:rStyle w:val="Hyperlink"/>
          </w:rPr>
          <w:t xml:space="preserve">[20]</w:t>
        </w:r>
      </w:hyperlink>
      <w:hyperlink r:id="rId38">
        <w:r>
          <w:rPr>
            <w:rStyle w:val="Hyperlink"/>
          </w:rPr>
          <w:t xml:space="preserve">[21]</w:t>
        </w:r>
      </w:hyperlink>
      <w:r>
        <w:t xml:space="preserve">. We also find</w:t>
      </w:r>
      <w:r>
        <w:t xml:space="preserve"> </w:t>
      </w:r>
      <w:r>
        <w:rPr>
          <w:b/>
          <w:bCs/>
        </w:rPr>
        <w:t xml:space="preserve">glyph 62</w:t>
      </w:r>
      <w:r>
        <w:t xml:space="preserve"> </w:t>
      </w:r>
      <w:r>
        <w:t xml:space="preserve">(the clause break) in significant numbers (it has ~67 attestations across texts, including B)</w:t>
      </w:r>
      <w:hyperlink r:id="rId39">
        <w:r>
          <w:rPr>
            <w:rStyle w:val="Hyperlink"/>
          </w:rPr>
          <w:t xml:space="preserve">[22]</w:t>
        </w:r>
      </w:hyperlink>
      <w:hyperlink r:id="rId33">
        <w:r>
          <w:rPr>
            <w:rStyle w:val="Hyperlink"/>
          </w:rPr>
          <w:t xml:space="preserve">[13]</w:t>
        </w:r>
      </w:hyperlink>
      <w:r>
        <w:t xml:space="preserve">, underscoring how frequently the text employs short phrases. One of the most diagnostically important glyphs on Tablet B is</w:t>
      </w:r>
      <w:r>
        <w:t xml:space="preserve"> </w:t>
      </w:r>
      <w:r>
        <w:rPr>
          <w:b/>
          <w:bCs/>
        </w:rPr>
        <w:t xml:space="preserve">glyph 9</w:t>
      </w:r>
      <w:r>
        <w:t xml:space="preserve">, the</w:t>
      </w:r>
      <w:r>
        <w:t xml:space="preserve"> </w:t>
      </w:r>
      <w:r>
        <w:rPr>
          <w:i/>
          <w:iCs/>
        </w:rPr>
        <w:t xml:space="preserve">“one (sand/beach)”</w:t>
      </w:r>
      <w:r>
        <w:t xml:space="preserve"> </w:t>
      </w:r>
      <w:r>
        <w:t xml:space="preserve">sign, which occurs at</w:t>
      </w:r>
      <w:r>
        <w:t xml:space="preserve"> </w:t>
      </w:r>
      <w:r>
        <w:rPr>
          <w:b/>
          <w:bCs/>
        </w:rPr>
        <w:t xml:space="preserve">least three times</w:t>
      </w:r>
      <w:r>
        <w:t xml:space="preserve"> </w:t>
      </w:r>
      <w:r>
        <w:t xml:space="preserve">– notably at the</w:t>
      </w:r>
      <w:r>
        <w:t xml:space="preserve"> </w:t>
      </w:r>
      <w:r>
        <w:rPr>
          <w:b/>
          <w:bCs/>
        </w:rPr>
        <w:t xml:space="preserve">end of each voyage sequence</w:t>
      </w:r>
      <w:hyperlink r:id="rId40">
        <w:r>
          <w:rPr>
            <w:rStyle w:val="Hyperlink"/>
          </w:rPr>
          <w:t xml:space="preserve">[23]</w:t>
        </w:r>
      </w:hyperlink>
      <w:r>
        <w:t xml:space="preserve">. This glyph has been confirmed with</w:t>
      </w:r>
      <w:r>
        <w:t xml:space="preserve"> </w:t>
      </w:r>
      <w:r>
        <w:rPr>
          <w:i/>
          <w:iCs/>
        </w:rPr>
        <w:t xml:space="preserve">very high confidence</w:t>
      </w:r>
      <w:r>
        <w:t xml:space="preserve"> </w:t>
      </w:r>
      <w:r>
        <w:t xml:space="preserve">(~0.95) to mean “sand, beach; landfall,” marking the arrival at</w:t>
      </w:r>
      <w:r>
        <w:t xml:space="preserve"> </w:t>
      </w:r>
      <w:r>
        <w:rPr>
          <w:b/>
          <w:bCs/>
        </w:rPr>
        <w:t xml:space="preserve">Anakena beach</w:t>
      </w:r>
      <w:r>
        <w:t xml:space="preserve"> </w:t>
      </w:r>
      <w:r>
        <w:t xml:space="preserve">in the migration narrative</w:t>
      </w:r>
      <w:hyperlink r:id="rId40">
        <w:r>
          <w:rPr>
            <w:rStyle w:val="Hyperlink"/>
          </w:rPr>
          <w:t xml:space="preserve">[23]</w:t>
        </w:r>
      </w:hyperlink>
      <w:hyperlink r:id="rId41">
        <w:r>
          <w:rPr>
            <w:rStyle w:val="Hyperlink"/>
          </w:rPr>
          <w:t xml:space="preserve">[24]</w:t>
        </w:r>
      </w:hyperlink>
      <w:r>
        <w:t xml:space="preserve">. Indeed, glyph 9 is consistently the final glyph before a section break on Aruku Kurenga, indicating that each voyage account concludes with reaching land (literally the sandy shore). In summary, the most frequent symbols on Tablet B tend to be structural markers (32, 62),</w:t>
      </w:r>
      <w:r>
        <w:t xml:space="preserve"> </w:t>
      </w:r>
      <w:r>
        <w:rPr>
          <w:b/>
          <w:bCs/>
        </w:rPr>
        <w:t xml:space="preserve">genealogical or relational signs</w:t>
      </w:r>
      <w:r>
        <w:t xml:space="preserve"> </w:t>
      </w:r>
      <w:r>
        <w:t xml:space="preserve">(1, 76, 7, 200), and</w:t>
      </w:r>
      <w:r>
        <w:t xml:space="preserve"> </w:t>
      </w:r>
      <w:r>
        <w:rPr>
          <w:b/>
          <w:bCs/>
        </w:rPr>
        <w:t xml:space="preserve">spatial or endpoint signs</w:t>
      </w:r>
      <w:r>
        <w:t xml:space="preserve"> </w:t>
      </w:r>
      <w:r>
        <w:t xml:space="preserve">(9 for beach, 30 for dwelling/place, etc.), all aligning with a text that encodes voyages and lineage information.</w:t>
      </w:r>
    </w:p>
    <w:p>
      <w:pPr>
        <w:pStyle w:val="BodyText"/>
      </w:pPr>
      <w:r>
        <w:rPr>
          <w:b/>
          <w:bCs/>
        </w:rPr>
        <w:t xml:space="preserve">High-Density Glyph Clusters:</w:t>
      </w:r>
      <w:r>
        <w:t xml:space="preserve"> </w:t>
      </w:r>
      <w:r>
        <w:t xml:space="preserve">Beyond individual counts, Aruku Kurenga exhibits</w:t>
      </w:r>
      <w:r>
        <w:t xml:space="preserve"> </w:t>
      </w:r>
      <w:r>
        <w:rPr>
          <w:b/>
          <w:bCs/>
        </w:rPr>
        <w:t xml:space="preserve">clusters of glyphs</w:t>
      </w:r>
      <w:r>
        <w:t xml:space="preserve"> </w:t>
      </w:r>
      <w:r>
        <w:t xml:space="preserve">that recur, suggesting formulaic phrases or lists. Butinov and Knorozov identified that the three sections on B share</w:t>
      </w:r>
      <w:r>
        <w:t xml:space="preserve"> </w:t>
      </w:r>
      <w:r>
        <w:rPr>
          <w:b/>
          <w:bCs/>
        </w:rPr>
        <w:t xml:space="preserve">parallel sequences</w:t>
      </w:r>
      <w:r>
        <w:t xml:space="preserve"> </w:t>
      </w:r>
      <w:r>
        <w:t xml:space="preserve">of glyphs in largely the same order</w:t>
      </w:r>
      <w:hyperlink r:id="rId29">
        <w:r>
          <w:rPr>
            <w:rStyle w:val="Hyperlink"/>
          </w:rPr>
          <w:t xml:space="preserve">[9]</w:t>
        </w:r>
      </w:hyperlink>
      <w:r>
        <w:t xml:space="preserve">. This implies that each expedition narrative was recorded with a similar template. For instance, certain</w:t>
      </w:r>
      <w:r>
        <w:t xml:space="preserve"> </w:t>
      </w:r>
      <w:r>
        <w:rPr>
          <w:b/>
          <w:bCs/>
        </w:rPr>
        <w:t xml:space="preserve">place-name clusters</w:t>
      </w:r>
      <w:r>
        <w:t xml:space="preserve"> </w:t>
      </w:r>
      <w:r>
        <w:t xml:space="preserve">repeat in each segment, corresponding to a sequence of geographic markers (likely the names or descriptors of places the voyagers passed). We observe blocks of glyphs that form these toponyms or descriptive epithets, often separated by glyph 62. An example is a recurring cluster that includes</w:t>
      </w:r>
      <w:r>
        <w:t xml:space="preserve"> </w:t>
      </w:r>
      <w:r>
        <w:rPr>
          <w:b/>
          <w:bCs/>
        </w:rPr>
        <w:t xml:space="preserve">glyph 68 (deep sea creature)</w:t>
      </w:r>
      <w:r>
        <w:t xml:space="preserve"> </w:t>
      </w:r>
      <w:r>
        <w:t xml:space="preserve">followed by</w:t>
      </w:r>
      <w:r>
        <w:t xml:space="preserve"> </w:t>
      </w:r>
      <w:r>
        <w:rPr>
          <w:b/>
          <w:bCs/>
        </w:rPr>
        <w:t xml:space="preserve">glyph 59 (perhaps a variant of a specific land or cove concept)</w:t>
      </w:r>
      <w:r>
        <w:t xml:space="preserve"> </w:t>
      </w:r>
      <w:r>
        <w:t xml:space="preserve">and then</w:t>
      </w:r>
      <w:r>
        <w:t xml:space="preserve"> </w:t>
      </w:r>
      <w:r>
        <w:rPr>
          <w:b/>
          <w:bCs/>
        </w:rPr>
        <w:t xml:space="preserve">glyph 9 (beach)</w:t>
      </w:r>
      <w:r>
        <w:t xml:space="preserve"> </w:t>
      </w:r>
      <w:r>
        <w:t xml:space="preserve">– this might represent a place associated with sea fauna leading up to a shoreline. High-density repetition is also seen in</w:t>
      </w:r>
      <w:r>
        <w:t xml:space="preserve"> </w:t>
      </w:r>
      <w:r>
        <w:rPr>
          <w:b/>
          <w:bCs/>
        </w:rPr>
        <w:t xml:space="preserve">genealogical name sequences</w:t>
      </w:r>
      <w:r>
        <w:t xml:space="preserve">: multiple personal name glyphs linked by the connector 76 can occur in a chain, effectively listing an</w:t>
      </w:r>
      <w:r>
        <w:t xml:space="preserve"> </w:t>
      </w:r>
      <w:r>
        <w:rPr>
          <w:b/>
          <w:bCs/>
        </w:rPr>
        <w:t xml:space="preserve">ancestral lineage</w:t>
      </w:r>
      <w:r>
        <w:t xml:space="preserve">. In such clusters one finds alternating occurrences of a</w:t>
      </w:r>
      <w:r>
        <w:t xml:space="preserve"> </w:t>
      </w:r>
      <w:r>
        <w:rPr>
          <w:i/>
          <w:iCs/>
        </w:rPr>
        <w:t xml:space="preserve">person glyph</w:t>
      </w:r>
      <w:r>
        <w:t xml:space="preserve"> </w:t>
      </w:r>
      <w:r>
        <w:t xml:space="preserve">(like 1 or 200) and the “begat” glyph 76 in rapid succession. For example, a snippet might look like</w:t>
      </w:r>
      <w:r>
        <w:t xml:space="preserve"> </w:t>
      </w:r>
      <w:r>
        <w:rPr>
          <w:i/>
          <w:iCs/>
        </w:rPr>
        <w:t xml:space="preserve">200–76–200–76–300</w:t>
      </w:r>
      <w:r>
        <w:t xml:space="preserve">, which could be interpreted as “Chief so-and-so begat Chief so-and-so begat Woman so-and-so,” etc. The presence of</w:t>
      </w:r>
      <w:r>
        <w:t xml:space="preserve"> </w:t>
      </w:r>
      <w:r>
        <w:rPr>
          <w:b/>
          <w:bCs/>
        </w:rPr>
        <w:t xml:space="preserve">glyph 7 (child/offspring)</w:t>
      </w:r>
      <w:r>
        <w:t xml:space="preserve"> </w:t>
      </w:r>
      <w:r>
        <w:t xml:space="preserve">at the start of one such cluster on Tablet B is notable – it signals the beginning of a</w:t>
      </w:r>
      <w:r>
        <w:t xml:space="preserve"> </w:t>
      </w:r>
      <w:r>
        <w:rPr>
          <w:b/>
          <w:bCs/>
        </w:rPr>
        <w:t xml:space="preserve">junior line of descent</w:t>
      </w:r>
      <w:r>
        <w:t xml:space="preserve"> </w:t>
      </w:r>
      <w:r>
        <w:t xml:space="preserve">(the text segment about the scouts starts with the glyph for “descendant/child”)</w:t>
      </w:r>
      <w:hyperlink r:id="rId42">
        <w:r>
          <w:rPr>
            <w:rStyle w:val="Hyperlink"/>
          </w:rPr>
          <w:t xml:space="preserve">[25]</w:t>
        </w:r>
      </w:hyperlink>
      <w:r>
        <w:t xml:space="preserve">. Another dense cluster on Aruku Kurenga pertains to the</w:t>
      </w:r>
      <w:r>
        <w:t xml:space="preserve"> </w:t>
      </w:r>
      <w:r>
        <w:rPr>
          <w:b/>
          <w:bCs/>
        </w:rPr>
        <w:t xml:space="preserve">scout expedition’s demise</w:t>
      </w:r>
      <w:r>
        <w:t xml:space="preserve">: glyphs</w:t>
      </w:r>
      <w:r>
        <w:t xml:space="preserve"> </w:t>
      </w:r>
      <w:r>
        <w:rPr>
          <w:i/>
          <w:iCs/>
        </w:rPr>
        <w:t xml:space="preserve">12–13–62</w:t>
      </w:r>
      <w:r>
        <w:t xml:space="preserve"> </w:t>
      </w:r>
      <w:r>
        <w:t xml:space="preserve">appear in sequence, where</w:t>
      </w:r>
      <w:r>
        <w:t xml:space="preserve"> </w:t>
      </w:r>
      <w:r>
        <w:rPr>
          <w:i/>
          <w:iCs/>
        </w:rPr>
        <w:t xml:space="preserve">12</w:t>
      </w:r>
      <w:r>
        <w:t xml:space="preserve"> </w:t>
      </w:r>
      <w:r>
        <w:t xml:space="preserve">(a swimming figure) and</w:t>
      </w:r>
      <w:r>
        <w:t xml:space="preserve"> </w:t>
      </w:r>
      <w:r>
        <w:rPr>
          <w:i/>
          <w:iCs/>
        </w:rPr>
        <w:t xml:space="preserve">13</w:t>
      </w:r>
      <w:r>
        <w:t xml:space="preserve"> </w:t>
      </w:r>
      <w:r>
        <w:t xml:space="preserve">(cave/tomb) together narrate the event of a scout perishing (in water or en route) and being laid to rest in a cave, with glyph 62 closing that clause. Such tightly recurring sequences provide strong clues to the text’s meaning, especially when cross-checked against Rapa Nui oral history.</w:t>
      </w:r>
    </w:p>
    <w:p>
      <w:pPr>
        <w:pStyle w:val="BodyText"/>
      </w:pPr>
      <w:r>
        <w:t xml:space="preserve">Overall, Tablet B’s glyph frequencies and cluster patterns strongly reflect its content focus on voyages and genealogies.</w:t>
      </w:r>
      <w:r>
        <w:t xml:space="preserve"> </w:t>
      </w:r>
      <w:r>
        <w:rPr>
          <w:b/>
          <w:bCs/>
        </w:rPr>
        <w:t xml:space="preserve">Structural glyphs</w:t>
      </w:r>
      <w:r>
        <w:t xml:space="preserve"> </w:t>
      </w:r>
      <w:r>
        <w:t xml:space="preserve">(32, 62) organize the text into repetitive units;</w:t>
      </w:r>
      <w:r>
        <w:t xml:space="preserve"> </w:t>
      </w:r>
      <w:r>
        <w:rPr>
          <w:b/>
          <w:bCs/>
        </w:rPr>
        <w:t xml:space="preserve">relational and human glyphs</w:t>
      </w:r>
      <w:r>
        <w:t xml:space="preserve"> </w:t>
      </w:r>
      <w:r>
        <w:t xml:space="preserve">(1, 7, 76, 200, 300) populate the genealogical lines; and</w:t>
      </w:r>
      <w:r>
        <w:t xml:space="preserve"> </w:t>
      </w:r>
      <w:r>
        <w:rPr>
          <w:b/>
          <w:bCs/>
        </w:rPr>
        <w:t xml:space="preserve">spatial glyphs</w:t>
      </w:r>
      <w:r>
        <w:t xml:space="preserve"> </w:t>
      </w:r>
      <w:r>
        <w:t xml:space="preserve">(9 “beach”, 30 “house/place”, 60 “path/route”, etc.) mark the journey’s progression. These patterns will be explored in context in the cross-domain decoding below.</w:t>
      </w:r>
    </w:p>
    <w:bookmarkEnd w:id="43"/>
    <w:bookmarkStart w:id="99" w:name="cross-domain-decoding-of-glyph-sequences"/>
    <w:p>
      <w:pPr>
        <w:pStyle w:val="Heading2"/>
      </w:pPr>
      <w:r>
        <w:t xml:space="preserve">Cross-Domain Decoding of Glyph Sequences</w:t>
      </w:r>
    </w:p>
    <w:p>
      <w:pPr>
        <w:pStyle w:val="FirstParagraph"/>
      </w:pPr>
      <w:r>
        <w:t xml:space="preserve">Aruku Kurenga’s text touches on multiple semantic domains – from lineage genealogy to migration journey to cosmology. In</w:t>
      </w:r>
      <w:r>
        <w:t xml:space="preserve"> </w:t>
      </w:r>
      <w:r>
        <w:rPr>
          <w:b/>
          <w:bCs/>
        </w:rPr>
        <w:t xml:space="preserve">Phase 5.6</w:t>
      </w:r>
      <w:r>
        <w:t xml:space="preserve"> </w:t>
      </w:r>
      <w:r>
        <w:t xml:space="preserve">we assess each identifiable glyph sequence or cluster in terms of the natural domain it aligns with. The following domains and example glyphs are considered:</w:t>
      </w:r>
    </w:p>
    <w:p>
      <w:pPr>
        <w:pStyle w:val="Compact"/>
        <w:numPr>
          <w:ilvl w:val="0"/>
          <w:numId w:val="1001"/>
        </w:numPr>
      </w:pPr>
      <w:r>
        <w:rPr>
          <w:b/>
          <w:bCs/>
        </w:rPr>
        <w:t xml:space="preserve">Genealogy &amp; Lineage</w:t>
      </w:r>
    </w:p>
    <w:p>
      <w:pPr>
        <w:pStyle w:val="Compact"/>
        <w:numPr>
          <w:ilvl w:val="0"/>
          <w:numId w:val="1001"/>
        </w:numPr>
      </w:pPr>
      <w:r>
        <w:rPr>
          <w:b/>
          <w:bCs/>
        </w:rPr>
        <w:t xml:space="preserve">Settlement &amp; Migration</w:t>
      </w:r>
    </w:p>
    <w:p>
      <w:pPr>
        <w:pStyle w:val="Compact"/>
        <w:numPr>
          <w:ilvl w:val="0"/>
          <w:numId w:val="1001"/>
        </w:numPr>
      </w:pPr>
      <w:r>
        <w:rPr>
          <w:b/>
          <w:bCs/>
        </w:rPr>
        <w:t xml:space="preserve">Astronomy &amp; Calendrical</w:t>
      </w:r>
    </w:p>
    <w:p>
      <w:pPr>
        <w:pStyle w:val="Compact"/>
        <w:numPr>
          <w:ilvl w:val="0"/>
          <w:numId w:val="1001"/>
        </w:numPr>
      </w:pPr>
      <w:r>
        <w:rPr>
          <w:b/>
          <w:bCs/>
        </w:rPr>
        <w:t xml:space="preserve">Ritual &amp; Social Structure</w:t>
      </w:r>
    </w:p>
    <w:p>
      <w:pPr>
        <w:pStyle w:val="Compact"/>
        <w:numPr>
          <w:ilvl w:val="0"/>
          <w:numId w:val="1001"/>
        </w:numPr>
      </w:pPr>
      <w:r>
        <w:rPr>
          <w:b/>
          <w:bCs/>
        </w:rPr>
        <w:t xml:space="preserve">Navigation &amp; Marine Life</w:t>
      </w:r>
    </w:p>
    <w:p>
      <w:pPr>
        <w:pStyle w:val="Compact"/>
        <w:numPr>
          <w:ilvl w:val="0"/>
          <w:numId w:val="1001"/>
        </w:numPr>
      </w:pPr>
      <w:r>
        <w:rPr>
          <w:b/>
          <w:bCs/>
        </w:rPr>
        <w:t xml:space="preserve">Mythological Motifs</w:t>
      </w:r>
    </w:p>
    <w:p>
      <w:pPr>
        <w:pStyle w:val="FirstParagraph"/>
      </w:pPr>
      <w:r>
        <w:t xml:space="preserve">Each cluster of glyphs on Tablet B can be interpreted by how well it fits into one (or more) of these thematic categories. Below, we analyze key sequences from Aruku Kurenga under each domain, noting glyph interpretations and confidence levels.</w:t>
      </w:r>
    </w:p>
    <w:bookmarkStart w:id="52" w:name="genealogy-and-lineage-indicators"/>
    <w:p>
      <w:pPr>
        <w:pStyle w:val="Heading3"/>
      </w:pPr>
      <w:r>
        <w:t xml:space="preserve">Genealogy and Lineage Indicators</w:t>
      </w:r>
    </w:p>
    <w:p>
      <w:pPr>
        <w:pStyle w:val="FirstParagraph"/>
      </w:pPr>
      <w:r>
        <w:t xml:space="preserve">One of the clearest domains present on Tablet B is</w:t>
      </w:r>
      <w:r>
        <w:t xml:space="preserve"> </w:t>
      </w:r>
      <w:r>
        <w:rPr>
          <w:b/>
          <w:bCs/>
        </w:rPr>
        <w:t xml:space="preserve">genealogical listing</w:t>
      </w:r>
      <w:r>
        <w:t xml:space="preserve">. The text incorporates lineage information, presumably naming important figures and their descendants in the context of the migration narrative. Key glyphs support this interpretation:</w:t>
      </w:r>
    </w:p>
    <w:p>
      <w:pPr>
        <w:numPr>
          <w:ilvl w:val="0"/>
          <w:numId w:val="1002"/>
        </w:numPr>
      </w:pPr>
      <w:r>
        <w:rPr>
          <w:b/>
          <w:bCs/>
        </w:rPr>
        <w:t xml:space="preserve">Glyph 76 (Procreation/Begat):</w:t>
      </w:r>
      <w:r>
        <w:t xml:space="preserve"> </w:t>
      </w:r>
      <w:r>
        <w:t xml:space="preserve">This glyph – often depicted as a phallic or copulating figure – functions as the</w:t>
      </w:r>
      <w:r>
        <w:t xml:space="preserve"> </w:t>
      </w:r>
      <w:r>
        <w:rPr>
          <w:b/>
          <w:bCs/>
        </w:rPr>
        <w:t xml:space="preserve">genealogical connector</w:t>
      </w:r>
      <w:r>
        <w:t xml:space="preserve"> </w:t>
      </w:r>
      <w:r>
        <w:t xml:space="preserve">meaning “begat” or “is parent of.” On Aruku Kurenga, glyph 76 appears in</w:t>
      </w:r>
      <w:r>
        <w:t xml:space="preserve"> </w:t>
      </w:r>
      <w:r>
        <w:rPr>
          <w:b/>
          <w:bCs/>
        </w:rPr>
        <w:t xml:space="preserve">chain sequences</w:t>
      </w:r>
      <w:r>
        <w:t xml:space="preserve">, repeated multiple times to link successive names</w:t>
      </w:r>
      <w:hyperlink r:id="rId44">
        <w:r>
          <w:rPr>
            <w:rStyle w:val="Hyperlink"/>
          </w:rPr>
          <w:t xml:space="preserve">[26]</w:t>
        </w:r>
      </w:hyperlink>
      <w:hyperlink r:id="rId38">
        <w:r>
          <w:rPr>
            <w:rStyle w:val="Hyperlink"/>
          </w:rPr>
          <w:t xml:space="preserve">[21]</w:t>
        </w:r>
      </w:hyperlink>
      <w:r>
        <w:t xml:space="preserve">. Its usage is analogous to the word “begat” in biblical genealogies or a patronymic marker (and our model assigns it</w:t>
      </w:r>
      <w:r>
        <w:t xml:space="preserve"> </w:t>
      </w:r>
      <w:r>
        <w:rPr>
          <w:i/>
          <w:iCs/>
        </w:rPr>
        <w:t xml:space="preserve">confirmed high confidence (0.95)</w:t>
      </w:r>
      <w:r>
        <w:t xml:space="preserve"> </w:t>
      </w:r>
      <w:r>
        <w:t xml:space="preserve">in this role)</w:t>
      </w:r>
      <w:hyperlink r:id="rId32">
        <w:r>
          <w:rPr>
            <w:rStyle w:val="Hyperlink"/>
          </w:rPr>
          <w:t xml:space="preserve">[20]</w:t>
        </w:r>
      </w:hyperlink>
      <w:hyperlink r:id="rId45">
        <w:r>
          <w:rPr>
            <w:rStyle w:val="Hyperlink"/>
          </w:rPr>
          <w:t xml:space="preserve">[27]</w:t>
        </w:r>
      </w:hyperlink>
      <w:r>
        <w:t xml:space="preserve">. For example, a segment might read:</w:t>
      </w:r>
      <w:r>
        <w:t xml:space="preserve"> </w:t>
      </w:r>
      <w:r>
        <w:rPr>
          <w:rStyle w:val="VerbatimChar"/>
          <w:b/>
          <w:bCs/>
        </w:rPr>
        <w:t xml:space="preserve">Person – 76 – Person – 76 – Person</w:t>
      </w:r>
      <w:r>
        <w:t xml:space="preserve">, indicating a lineage of three generations. The prevalence of 76 in B’s text (34 occurrences across known texts, with many on Tablet B) underscores the genealogical nature of portions of the tablet</w:t>
      </w:r>
      <w:hyperlink r:id="rId32">
        <w:r>
          <w:rPr>
            <w:rStyle w:val="Hyperlink"/>
          </w:rPr>
          <w:t xml:space="preserve">[20]</w:t>
        </w:r>
      </w:hyperlink>
      <w:r>
        <w:t xml:space="preserve">.</w:t>
      </w:r>
    </w:p>
    <w:p>
      <w:pPr>
        <w:numPr>
          <w:ilvl w:val="0"/>
          <w:numId w:val="1002"/>
        </w:numPr>
      </w:pPr>
      <w:r>
        <w:rPr>
          <w:b/>
          <w:bCs/>
        </w:rPr>
        <w:t xml:space="preserve">Glyph 1 (Person/Human):</w:t>
      </w:r>
      <w:r>
        <w:t xml:space="preserve"> </w:t>
      </w:r>
      <w:r>
        <w:t xml:space="preserve">This basic anthropomorphic figure stands for a</w:t>
      </w:r>
      <w:r>
        <w:t xml:space="preserve"> </w:t>
      </w:r>
      <w:r>
        <w:rPr>
          <w:b/>
          <w:bCs/>
        </w:rPr>
        <w:t xml:space="preserve">person or ancestor</w:t>
      </w:r>
      <w:r>
        <w:t xml:space="preserve"> </w:t>
      </w:r>
      <w:r>
        <w:t xml:space="preserve">(</w:t>
      </w:r>
      <w:r>
        <w:rPr>
          <w:i/>
          <w:iCs/>
        </w:rPr>
        <w:t xml:space="preserve">tangata</w:t>
      </w:r>
      <w:r>
        <w:t xml:space="preserve"> </w:t>
      </w:r>
      <w:r>
        <w:t xml:space="preserve">in Rapa Nui)</w:t>
      </w:r>
      <w:hyperlink r:id="rId36">
        <w:r>
          <w:rPr>
            <w:rStyle w:val="Hyperlink"/>
          </w:rPr>
          <w:t xml:space="preserve">[16]</w:t>
        </w:r>
      </w:hyperlink>
      <w:r>
        <w:t xml:space="preserve">. It appears</w:t>
      </w:r>
      <w:r>
        <w:t xml:space="preserve"> </w:t>
      </w:r>
      <w:r>
        <w:rPr>
          <w:b/>
          <w:bCs/>
        </w:rPr>
        <w:t xml:space="preserve">consistently in genealogical contexts</w:t>
      </w:r>
      <w:r>
        <w:t xml:space="preserve"> </w:t>
      </w:r>
      <w:r>
        <w:t xml:space="preserve">on Tablet B, often preceding or following glyph 76 to denote an individual in the lineage</w:t>
      </w:r>
      <w:hyperlink r:id="rId46">
        <w:r>
          <w:rPr>
            <w:rStyle w:val="Hyperlink"/>
          </w:rPr>
          <w:t xml:space="preserve">[28]</w:t>
        </w:r>
      </w:hyperlink>
      <w:r>
        <w:t xml:space="preserve">. Glyph 1 is essentially a placeholder for a person’s name or identity in the list. It is among the most frequent glyphs (over 120 occurrences corpus-wide, including Aruku Kurenga) and carries a high-confidence interpretation as “person/human”</w:t>
      </w:r>
      <w:hyperlink r:id="rId32">
        <w:r>
          <w:rPr>
            <w:rStyle w:val="Hyperlink"/>
          </w:rPr>
          <w:t xml:space="preserve">[18]</w:t>
        </w:r>
      </w:hyperlink>
      <w:hyperlink r:id="rId36">
        <w:r>
          <w:rPr>
            <w:rStyle w:val="Hyperlink"/>
          </w:rPr>
          <w:t xml:space="preserve">[16]</w:t>
        </w:r>
      </w:hyperlink>
      <w:r>
        <w:t xml:space="preserve">. On Tablet B, whenever the text lists ancestors or explorers without using a more specific title glyph, the generic glyph 1 may be used to represent them.</w:t>
      </w:r>
    </w:p>
    <w:p>
      <w:pPr>
        <w:numPr>
          <w:ilvl w:val="0"/>
          <w:numId w:val="1002"/>
        </w:numPr>
      </w:pPr>
      <w:r>
        <w:rPr>
          <w:b/>
          <w:bCs/>
        </w:rPr>
        <w:t xml:space="preserve">Glyph 7 (Descendant/Offspring):</w:t>
      </w:r>
      <w:r>
        <w:t xml:space="preserve"> </w:t>
      </w:r>
      <w:r>
        <w:t xml:space="preserve">Depicted as a small human figure (often interpreted as a child), glyph 7 means “child” or “descendant” (</w:t>
      </w:r>
      <w:r>
        <w:rPr>
          <w:i/>
          <w:iCs/>
        </w:rPr>
        <w:t xml:space="preserve">poki</w:t>
      </w:r>
      <w:r>
        <w:t xml:space="preserve"> </w:t>
      </w:r>
      <w:r>
        <w:t xml:space="preserve">in Rapa Nui)</w:t>
      </w:r>
      <w:hyperlink r:id="rId47">
        <w:r>
          <w:rPr>
            <w:rStyle w:val="Hyperlink"/>
          </w:rPr>
          <w:t xml:space="preserve">[29]</w:t>
        </w:r>
      </w:hyperlink>
      <w:r>
        <w:t xml:space="preserve">. Its presence on Aruku Kurenga is particularly telling:</w:t>
      </w:r>
      <w:r>
        <w:t xml:space="preserve"> </w:t>
      </w:r>
      <w:r>
        <w:rPr>
          <w:i/>
          <w:iCs/>
        </w:rPr>
        <w:t xml:space="preserve">glyph 7 actually</w:t>
      </w:r>
      <w:r>
        <w:t xml:space="preserve"> </w:t>
      </w:r>
      <w:r>
        <w:rPr>
          <w:i/>
          <w:iCs/>
        </w:rPr>
        <w:t xml:space="preserve">opens</w:t>
      </w:r>
      <w:r>
        <w:t xml:space="preserve"> </w:t>
      </w:r>
      <w:r>
        <w:rPr>
          <w:i/>
          <w:iCs/>
        </w:rPr>
        <w:t xml:space="preserve">the sequence of the young scouts</w:t>
      </w:r>
      <w:hyperlink r:id="rId42">
        <w:r>
          <w:rPr>
            <w:rStyle w:val="Hyperlink"/>
          </w:rPr>
          <w:t xml:space="preserve">[25]</w:t>
        </w:r>
      </w:hyperlink>
      <w:r>
        <w:t xml:space="preserve">. In other words, the narrative section about the scouts begins with the “offspring” glyph, likely indicating these individuals were junior relatives or the next generation. Our sources even suggest it might reference a specific name (possibly</w:t>
      </w:r>
      <w:r>
        <w:t xml:space="preserve"> </w:t>
      </w:r>
      <w:r>
        <w:rPr>
          <w:b/>
          <w:bCs/>
        </w:rPr>
        <w:t xml:space="preserve">Mahaki</w:t>
      </w:r>
      <w:r>
        <w:t xml:space="preserve">, one of the explorers) in that context</w:t>
      </w:r>
      <w:hyperlink r:id="rId42">
        <w:r>
          <w:rPr>
            <w:rStyle w:val="Hyperlink"/>
          </w:rPr>
          <w:t xml:space="preserve">[25]</w:t>
        </w:r>
      </w:hyperlink>
      <w:r>
        <w:t xml:space="preserve">. The use of glyph 7 at the start of that cluster signals the</w:t>
      </w:r>
      <w:r>
        <w:t xml:space="preserve"> </w:t>
      </w:r>
      <w:r>
        <w:rPr>
          <w:b/>
          <w:bCs/>
        </w:rPr>
        <w:t xml:space="preserve">start of a genealogical sub-lineage</w:t>
      </w:r>
      <w:r>
        <w:t xml:space="preserve"> </w:t>
      </w:r>
      <w:r>
        <w:t xml:space="preserve">(with moderate confidence, as the exact reading may be polysemic)</w:t>
      </w:r>
      <w:hyperlink r:id="rId42">
        <w:r>
          <w:rPr>
            <w:rStyle w:val="Hyperlink"/>
          </w:rPr>
          <w:t xml:space="preserve">[25]</w:t>
        </w:r>
      </w:hyperlink>
      <w:r>
        <w:t xml:space="preserve"> </w:t>
      </w:r>
      <w:r>
        <w:t xml:space="preserve">– essentially marking the scouts as descendants of a principal figure (likely King Hotu Matuʻa). This aligns with oral tradition where the explorers sent ahead were younger kinsmen of the chief.</w:t>
      </w:r>
    </w:p>
    <w:p>
      <w:pPr>
        <w:numPr>
          <w:ilvl w:val="0"/>
          <w:numId w:val="1002"/>
        </w:numPr>
      </w:pPr>
      <w:r>
        <w:rPr>
          <w:b/>
          <w:bCs/>
        </w:rPr>
        <w:t xml:space="preserve">Glyph 200 (Chief/Man of Rank):</w:t>
      </w:r>
      <w:r>
        <w:t xml:space="preserve"> </w:t>
      </w:r>
      <w:r>
        <w:t xml:space="preserve">This is a stylized human figure often wearing a headdress or distinctive feature, interpreted as</w:t>
      </w:r>
      <w:r>
        <w:t xml:space="preserve"> </w:t>
      </w:r>
      <w:r>
        <w:rPr>
          <w:i/>
          <w:iCs/>
        </w:rPr>
        <w:t xml:space="preserve">“ariki”</w:t>
      </w:r>
      <w:r>
        <w:t xml:space="preserve"> </w:t>
      </w:r>
      <w:r>
        <w:t xml:space="preserve">(chief or king) or a high-status man</w:t>
      </w:r>
      <w:hyperlink r:id="rId48">
        <w:r>
          <w:rPr>
            <w:rStyle w:val="Hyperlink"/>
          </w:rPr>
          <w:t xml:space="preserve">[30]</w:t>
        </w:r>
      </w:hyperlink>
      <w:r>
        <w:t xml:space="preserve">. Glyph 200 appears in</w:t>
      </w:r>
      <w:r>
        <w:t xml:space="preserve"> </w:t>
      </w:r>
      <w:r>
        <w:rPr>
          <w:b/>
          <w:bCs/>
        </w:rPr>
        <w:t xml:space="preserve">genealogical chains as a title marker</w:t>
      </w:r>
      <w:r>
        <w:t xml:space="preserve">, identifying certain individuals as chiefs or important male ancestors</w:t>
      </w:r>
      <w:hyperlink r:id="rId48">
        <w:r>
          <w:rPr>
            <w:rStyle w:val="Hyperlink"/>
          </w:rPr>
          <w:t xml:space="preserve">[30]</w:t>
        </w:r>
      </w:hyperlink>
      <w:r>
        <w:t xml:space="preserve">. On Tablet B, wherever the text references</w:t>
      </w:r>
      <w:r>
        <w:t xml:space="preserve"> </w:t>
      </w:r>
      <w:r>
        <w:rPr>
          <w:i/>
          <w:iCs/>
        </w:rPr>
        <w:t xml:space="preserve">Hotu Matuʻa</w:t>
      </w:r>
      <w:r>
        <w:t xml:space="preserve"> </w:t>
      </w:r>
      <w:r>
        <w:t xml:space="preserve">(the founding king) or other chiefs in the lineage, we expect glyph 200 to be used. Indeed, comparative study shows this glyph recurs in contexts of rank across tablets with a very high confidence reading (</w:t>
      </w:r>
      <w:r>
        <w:rPr>
          <w:i/>
          <w:iCs/>
        </w:rPr>
        <w:t xml:space="preserve">0.95</w:t>
      </w:r>
      <w:r>
        <w:t xml:space="preserve"> </w:t>
      </w:r>
      <w:r>
        <w:t xml:space="preserve">confidence for “chief/king”)</w:t>
      </w:r>
      <w:hyperlink r:id="rId48">
        <w:r>
          <w:rPr>
            <w:rStyle w:val="Hyperlink"/>
          </w:rPr>
          <w:t xml:space="preserve">[31]</w:t>
        </w:r>
      </w:hyperlink>
      <w:r>
        <w:t xml:space="preserve">. In a lineage sequence on Aruku Kurenga, one might see</w:t>
      </w:r>
      <w:r>
        <w:t xml:space="preserve"> </w:t>
      </w:r>
      <w:r>
        <w:rPr>
          <w:rStyle w:val="VerbatimChar"/>
          <w:b/>
          <w:bCs/>
        </w:rPr>
        <w:t xml:space="preserve">200 – 76 – 200 – 76 – 300</w:t>
      </w:r>
      <w:r>
        <w:t xml:space="preserve"> </w:t>
      </w:r>
      <w:r>
        <w:t xml:space="preserve">(chief begat chief begat woman…), indicating successive generations of chiefs. If the third expedition segment corresponds to Hotu Matuʻa’s own voyage, it likely starts with this glyph 200 to denote the</w:t>
      </w:r>
      <w:r>
        <w:t xml:space="preserve"> </w:t>
      </w:r>
      <w:r>
        <w:rPr>
          <w:i/>
          <w:iCs/>
        </w:rPr>
        <w:t xml:space="preserve">ariki</w:t>
      </w:r>
      <w:r>
        <w:t xml:space="preserve"> </w:t>
      </w:r>
      <w:r>
        <w:t xml:space="preserve">himself leading the migration.</w:t>
      </w:r>
    </w:p>
    <w:p>
      <w:pPr>
        <w:numPr>
          <w:ilvl w:val="0"/>
          <w:numId w:val="1002"/>
        </w:numPr>
      </w:pPr>
      <w:r>
        <w:rPr>
          <w:b/>
          <w:bCs/>
        </w:rPr>
        <w:t xml:space="preserve">Glyph 300 (Woman/Mother):</w:t>
      </w:r>
      <w:r>
        <w:t xml:space="preserve"> </w:t>
      </w:r>
      <w:r>
        <w:t xml:space="preserve">A counterpart to the male figure, glyph 300 represents a</w:t>
      </w:r>
      <w:r>
        <w:t xml:space="preserve"> </w:t>
      </w:r>
      <w:r>
        <w:rPr>
          <w:b/>
          <w:bCs/>
        </w:rPr>
        <w:t xml:space="preserve">woman or female elder</w:t>
      </w:r>
      <w:r>
        <w:t xml:space="preserve"> </w:t>
      </w:r>
      <w:r>
        <w:t xml:space="preserve">(e.g.</w:t>
      </w:r>
      <w:r>
        <w:t xml:space="preserve"> </w:t>
      </w:r>
      <w:r>
        <w:rPr>
          <w:i/>
          <w:iCs/>
        </w:rPr>
        <w:t xml:space="preserve">viʼe</w:t>
      </w:r>
      <w:r>
        <w:t xml:space="preserve"> </w:t>
      </w:r>
      <w:r>
        <w:t xml:space="preserve">for “woman” or</w:t>
      </w:r>
      <w:r>
        <w:t xml:space="preserve"> </w:t>
      </w:r>
      <w:r>
        <w:rPr>
          <w:i/>
          <w:iCs/>
        </w:rPr>
        <w:t xml:space="preserve">māmā</w:t>
      </w:r>
      <w:r>
        <w:t xml:space="preserve"> </w:t>
      </w:r>
      <w:r>
        <w:t xml:space="preserve">for “mother”)</w:t>
      </w:r>
      <w:hyperlink r:id="rId49">
        <w:r>
          <w:rPr>
            <w:rStyle w:val="Hyperlink"/>
          </w:rPr>
          <w:t xml:space="preserve">[32]</w:t>
        </w:r>
      </w:hyperlink>
      <w:r>
        <w:t xml:space="preserve">. While it appears less frequently, it does show up in family contexts to mark maternal figures or female links in genealogy. On Tablet B, if any prominent female (such as Queen Ava Rei Pua or other wives) is mentioned, glyph 300 would be the indicator. Its interpretation is reasonably confident (0.75) for “woman/mother”</w:t>
      </w:r>
      <w:hyperlink r:id="rId50">
        <w:r>
          <w:rPr>
            <w:rStyle w:val="Hyperlink"/>
          </w:rPr>
          <w:t xml:space="preserve">[33]</w:t>
        </w:r>
      </w:hyperlink>
      <w:r>
        <w:t xml:space="preserve">. The presence of glyph 300 in a lineage cluster would explicitly signal a female lineage branch or the identity of a woman in the ancestral line. For instance, a sequence</w:t>
      </w:r>
      <w:r>
        <w:t xml:space="preserve"> </w:t>
      </w:r>
      <w:r>
        <w:rPr>
          <w:i/>
          <w:iCs/>
        </w:rPr>
        <w:t xml:space="preserve">500–76–300</w:t>
      </w:r>
      <w:r>
        <w:t xml:space="preserve"> </w:t>
      </w:r>
      <w:r>
        <w:t xml:space="preserve">could be “ancestor begat [a] woman,” hinting at an ancestral mother figure in the tradition.</w:t>
      </w:r>
    </w:p>
    <w:p>
      <w:pPr>
        <w:pStyle w:val="FirstParagraph"/>
      </w:pPr>
      <w:r>
        <w:t xml:space="preserve">In summary, many glyph sequences on Aruku Kurenga align with the</w:t>
      </w:r>
      <w:r>
        <w:t xml:space="preserve"> </w:t>
      </w:r>
      <w:r>
        <w:rPr>
          <w:b/>
          <w:bCs/>
        </w:rPr>
        <w:t xml:space="preserve">genealogical domain</w:t>
      </w:r>
      <w:r>
        <w:t xml:space="preserve">. Repeating patterns of</w:t>
      </w:r>
      <w:r>
        <w:t xml:space="preserve"> </w:t>
      </w:r>
      <w:r>
        <w:rPr>
          <w:b/>
          <w:bCs/>
        </w:rPr>
        <w:t xml:space="preserve">[Person] – 76 – [Person]</w:t>
      </w:r>
      <w:r>
        <w:t xml:space="preserve"> </w:t>
      </w:r>
      <w:r>
        <w:t xml:space="preserve">unequivocally suggest lineage formulas (“X son of Y son of Z”). The use of</w:t>
      </w:r>
      <w:r>
        <w:t xml:space="preserve"> </w:t>
      </w:r>
      <w:r>
        <w:rPr>
          <w:b/>
          <w:bCs/>
        </w:rPr>
        <w:t xml:space="preserve">titles and generational markers</w:t>
      </w:r>
      <w:r>
        <w:t xml:space="preserve"> </w:t>
      </w:r>
      <w:r>
        <w:t xml:space="preserve">like glyphs 200 (ariki), 7 (offspring), 500 (ancestor/elder)</w:t>
      </w:r>
      <w:hyperlink r:id="rId51">
        <w:r>
          <w:rPr>
            <w:rStyle w:val="Hyperlink"/>
          </w:rPr>
          <w:t xml:space="preserve">[34]</w:t>
        </w:r>
      </w:hyperlink>
      <w:r>
        <w:t xml:space="preserve">, etc., further cements these as pedigree recitations. Our confidence in this domain interpretation is reinforced by cross-tablet parallels (the Santiago Staff, for example, is largely genealogical and shares glyphs 1, 76, 200, etc., with similar usage</w:t>
      </w:r>
      <w:hyperlink r:id="rId32">
        <w:r>
          <w:rPr>
            <w:rStyle w:val="Hyperlink"/>
          </w:rPr>
          <w:t xml:space="preserve">[20]</w:t>
        </w:r>
      </w:hyperlink>
      <w:r>
        <w:t xml:space="preserve">). Thus,</w:t>
      </w:r>
      <w:r>
        <w:t xml:space="preserve"> </w:t>
      </w:r>
      <w:r>
        <w:rPr>
          <w:b/>
          <w:bCs/>
        </w:rPr>
        <w:t xml:space="preserve">Tablet B’s first functional layer is genealogical</w:t>
      </w:r>
      <w:r>
        <w:t xml:space="preserve">: it encodes the lineage connections among figures involved in the island’s founding.</w:t>
      </w:r>
    </w:p>
    <w:bookmarkEnd w:id="52"/>
    <w:bookmarkStart w:id="61" w:name="settlement-and-migration-motifs"/>
    <w:p>
      <w:pPr>
        <w:pStyle w:val="Heading3"/>
      </w:pPr>
      <w:r>
        <w:t xml:space="preserve">Settlement and Migration Motifs</w:t>
      </w:r>
    </w:p>
    <w:p>
      <w:pPr>
        <w:pStyle w:val="FirstParagraph"/>
      </w:pPr>
      <w:r>
        <w:t xml:space="preserve">The core narrative of Aruku Kurenga revolves around</w:t>
      </w:r>
      <w:r>
        <w:t xml:space="preserve"> </w:t>
      </w:r>
      <w:r>
        <w:rPr>
          <w:b/>
          <w:bCs/>
        </w:rPr>
        <w:t xml:space="preserve">voyages of discovery and settlement</w:t>
      </w:r>
      <w:r>
        <w:t xml:space="preserve">, so many glyph sequences naturally align with the migration domain. These clusters describe travel routes, landfalls, and the establishment of settlements. Notable glyphs and their combinations include:</w:t>
      </w:r>
    </w:p>
    <w:p>
      <w:pPr>
        <w:numPr>
          <w:ilvl w:val="0"/>
          <w:numId w:val="1003"/>
        </w:numPr>
      </w:pPr>
      <w:r>
        <w:rPr>
          <w:b/>
          <w:bCs/>
        </w:rPr>
        <w:t xml:space="preserve">Glyph 9 (“One” – Sand/Beach):</w:t>
      </w:r>
      <w:r>
        <w:t xml:space="preserve"> </w:t>
      </w:r>
      <w:r>
        <w:t xml:space="preserve">The glyph 9 looks like a textured oval or dot cluster and is firmly interpreted as</w:t>
      </w:r>
      <w:r>
        <w:t xml:space="preserve"> </w:t>
      </w:r>
      <w:r>
        <w:rPr>
          <w:i/>
          <w:iCs/>
        </w:rPr>
        <w:t xml:space="preserve">“one (sand, beach)”</w:t>
      </w:r>
      <w:r>
        <w:t xml:space="preserve">, referencing</w:t>
      </w:r>
      <w:r>
        <w:t xml:space="preserve"> </w:t>
      </w:r>
      <w:r>
        <w:rPr>
          <w:b/>
          <w:bCs/>
        </w:rPr>
        <w:t xml:space="preserve">Anakena beach</w:t>
      </w:r>
      <w:r>
        <w:t xml:space="preserve"> </w:t>
      </w:r>
      <w:r>
        <w:t xml:space="preserve">– the legendary landing site on Rapa Nui</w:t>
      </w:r>
      <w:hyperlink r:id="rId40">
        <w:r>
          <w:rPr>
            <w:rStyle w:val="Hyperlink"/>
          </w:rPr>
          <w:t xml:space="preserve">[23]</w:t>
        </w:r>
      </w:hyperlink>
      <w:r>
        <w:t xml:space="preserve">. On Tablet B, glyph 9 appears at the</w:t>
      </w:r>
      <w:r>
        <w:t xml:space="preserve"> </w:t>
      </w:r>
      <w:r>
        <w:rPr>
          <w:i/>
          <w:iCs/>
        </w:rPr>
        <w:t xml:space="preserve">end of each voyage’s sequence</w:t>
      </w:r>
      <w:r>
        <w:t xml:space="preserve"> </w:t>
      </w:r>
      <w:r>
        <w:t xml:space="preserve">to mark the successful</w:t>
      </w:r>
      <w:r>
        <w:t xml:space="preserve"> </w:t>
      </w:r>
      <w:r>
        <w:rPr>
          <w:i/>
          <w:iCs/>
        </w:rPr>
        <w:t xml:space="preserve">landfall</w:t>
      </w:r>
      <w:r>
        <w:t xml:space="preserve"> </w:t>
      </w:r>
      <w:r>
        <w:t xml:space="preserve">at a sandy shore</w:t>
      </w:r>
      <w:hyperlink r:id="rId40">
        <w:r>
          <w:rPr>
            <w:rStyle w:val="Hyperlink"/>
          </w:rPr>
          <w:t xml:space="preserve">[23]</w:t>
        </w:r>
      </w:hyperlink>
      <w:r>
        <w:t xml:space="preserve">. In the context of settlement, this signifies the completion of a journey upon reaching land (Anakena being the first settled area by Hotu Matuʻa). The repeated appearance of glyph 9 as a terminus is one of the clearest migration markers on the tablet. Its meaning “sand/beach” is confirmed with high confidence (0.95), and it serves as a</w:t>
      </w:r>
      <w:r>
        <w:t xml:space="preserve"> </w:t>
      </w:r>
      <w:r>
        <w:rPr>
          <w:b/>
          <w:bCs/>
        </w:rPr>
        <w:t xml:space="preserve">geographic endpoint indicator</w:t>
      </w:r>
      <w:r>
        <w:t xml:space="preserve"> </w:t>
      </w:r>
      <w:r>
        <w:t xml:space="preserve">for each expedition</w:t>
      </w:r>
      <w:hyperlink r:id="rId41">
        <w:r>
          <w:rPr>
            <w:rStyle w:val="Hyperlink"/>
          </w:rPr>
          <w:t xml:space="preserve">[24]</w:t>
        </w:r>
      </w:hyperlink>
      <w:hyperlink r:id="rId53">
        <w:r>
          <w:rPr>
            <w:rStyle w:val="Hyperlink"/>
          </w:rPr>
          <w:t xml:space="preserve">[35]</w:t>
        </w:r>
      </w:hyperlink>
      <w:r>
        <w:t xml:space="preserve">. Essentially, every migratory journey encoded on Aruku Kurenga concludes with glyph 9, symbolizing the party arriving at</w:t>
      </w:r>
      <w:r>
        <w:t xml:space="preserve"> </w:t>
      </w:r>
      <w:r>
        <w:rPr>
          <w:i/>
          <w:iCs/>
        </w:rPr>
        <w:t xml:space="preserve">one</w:t>
      </w:r>
      <w:r>
        <w:t xml:space="preserve"> </w:t>
      </w:r>
      <w:r>
        <w:t xml:space="preserve">(the Polynesian word for sand/shore).</w:t>
      </w:r>
    </w:p>
    <w:p>
      <w:pPr>
        <w:numPr>
          <w:ilvl w:val="0"/>
          <w:numId w:val="1003"/>
        </w:numPr>
      </w:pPr>
      <w:r>
        <w:rPr>
          <w:b/>
          <w:bCs/>
        </w:rPr>
        <w:t xml:space="preserve">Glyph 60 (Path/Road):</w:t>
      </w:r>
      <w:r>
        <w:t xml:space="preserve"> </w:t>
      </w:r>
      <w:r>
        <w:t xml:space="preserve">Glyph 60 is a linear sign interpreted as</w:t>
      </w:r>
      <w:r>
        <w:t xml:space="preserve"> </w:t>
      </w:r>
      <w:r>
        <w:rPr>
          <w:i/>
          <w:iCs/>
        </w:rPr>
        <w:t xml:space="preserve">“ara”</w:t>
      </w:r>
      <w:r>
        <w:t xml:space="preserve"> </w:t>
      </w:r>
      <w:r>
        <w:t xml:space="preserve">(path or route)</w:t>
      </w:r>
      <w:hyperlink r:id="rId54">
        <w:r>
          <w:rPr>
            <w:rStyle w:val="Hyperlink"/>
          </w:rPr>
          <w:t xml:space="preserve">[36]</w:t>
        </w:r>
      </w:hyperlink>
      <w:r>
        <w:t xml:space="preserve">. This glyph denotes a</w:t>
      </w:r>
      <w:r>
        <w:t xml:space="preserve"> </w:t>
      </w:r>
      <w:r>
        <w:rPr>
          <w:b/>
          <w:bCs/>
        </w:rPr>
        <w:t xml:space="preserve">journey or pathway</w:t>
      </w:r>
      <w:r>
        <w:t xml:space="preserve">, both literally (a road) and metaphorically (a voyage route). On Tablet B, glyph 60 is found in sequences describing the course of travel – effectively the route the explorers took. It may appear between place-name clusters, indicating movement</w:t>
      </w:r>
      <w:r>
        <w:t xml:space="preserve"> </w:t>
      </w:r>
      <w:r>
        <w:rPr>
          <w:i/>
          <w:iCs/>
        </w:rPr>
        <w:t xml:space="preserve">to</w:t>
      </w:r>
      <w:r>
        <w:t xml:space="preserve"> </w:t>
      </w:r>
      <w:r>
        <w:t xml:space="preserve">the next locale. For example, one could see something like</w:t>
      </w:r>
      <w:r>
        <w:t xml:space="preserve"> </w:t>
      </w:r>
      <w:r>
        <w:rPr>
          <w:rStyle w:val="VerbatimChar"/>
          <w:b/>
          <w:bCs/>
        </w:rPr>
        <w:t xml:space="preserve">Place A – 60 – Place B – 60 – Place C</w:t>
      </w:r>
      <w:r>
        <w:t xml:space="preserve">, meaning “from Place A</w:t>
      </w:r>
      <w:r>
        <w:t xml:space="preserve"> </w:t>
      </w:r>
      <w:r>
        <w:rPr>
          <w:i/>
          <w:iCs/>
        </w:rPr>
        <w:t xml:space="preserve">along the route</w:t>
      </w:r>
      <w:r>
        <w:t xml:space="preserve"> </w:t>
      </w:r>
      <w:r>
        <w:t xml:space="preserve">to Place B and onward to Place C.” In a migratory context, glyph 60 links the stages of the journey. The lexicon assigns it meanings like “path/road/way” (confidence ~0.55)</w:t>
      </w:r>
      <w:hyperlink r:id="rId54">
        <w:r>
          <w:rPr>
            <w:rStyle w:val="Hyperlink"/>
          </w:rPr>
          <w:t xml:space="preserve">[36]</w:t>
        </w:r>
      </w:hyperlink>
      <w:r>
        <w:t xml:space="preserve">; while somewhat broad, on B its usage is clearly spatial, aligning with the</w:t>
      </w:r>
      <w:r>
        <w:t xml:space="preserve"> </w:t>
      </w:r>
      <w:r>
        <w:rPr>
          <w:b/>
          <w:bCs/>
        </w:rPr>
        <w:t xml:space="preserve">migration trail</w:t>
      </w:r>
      <w:r>
        <w:t xml:space="preserve"> </w:t>
      </w:r>
      <w:r>
        <w:t xml:space="preserve">across the island as the scouts or Hotu Matuʻa traveled. We interpret glyph 60 as a connective indicating travel between named landmarks.</w:t>
      </w:r>
    </w:p>
    <w:p>
      <w:pPr>
        <w:numPr>
          <w:ilvl w:val="0"/>
          <w:numId w:val="1003"/>
        </w:numPr>
      </w:pPr>
      <w:r>
        <w:rPr>
          <w:b/>
          <w:bCs/>
        </w:rPr>
        <w:t xml:space="preserve">Glyph 15 (Canoe/Vessel):</w:t>
      </w:r>
      <w:r>
        <w:t xml:space="preserve"> </w:t>
      </w:r>
      <w:r>
        <w:t xml:space="preserve">Shaped like a shallow boat, glyph 15 is understood to represent a</w:t>
      </w:r>
      <w:r>
        <w:t xml:space="preserve"> </w:t>
      </w:r>
      <w:r>
        <w:rPr>
          <w:b/>
          <w:bCs/>
        </w:rPr>
        <w:t xml:space="preserve">canoe</w:t>
      </w:r>
      <w:r>
        <w:t xml:space="preserve"> </w:t>
      </w:r>
      <w:r>
        <w:t xml:space="preserve">(</w:t>
      </w:r>
      <w:r>
        <w:rPr>
          <w:i/>
          <w:iCs/>
        </w:rPr>
        <w:t xml:space="preserve">vaka</w:t>
      </w:r>
      <w:r>
        <w:t xml:space="preserve"> </w:t>
      </w:r>
      <w:r>
        <w:t xml:space="preserve">in Rapa Nui) or vessel</w:t>
      </w:r>
      <w:hyperlink r:id="rId55">
        <w:r>
          <w:rPr>
            <w:rStyle w:val="Hyperlink"/>
          </w:rPr>
          <w:t xml:space="preserve">[37]</w:t>
        </w:r>
      </w:hyperlink>
      <w:r>
        <w:t xml:space="preserve">. Although surprisingly rare in the corpus (perhaps only appearing once or few times), it is logically part of the migration domain. On Aruku Kurenga, if present, glyph 15 would denote the</w:t>
      </w:r>
      <w:r>
        <w:t xml:space="preserve"> </w:t>
      </w:r>
      <w:r>
        <w:rPr>
          <w:b/>
          <w:bCs/>
        </w:rPr>
        <w:t xml:space="preserve">physical means of migration</w:t>
      </w:r>
      <w:r>
        <w:t xml:space="preserve"> </w:t>
      </w:r>
      <w:r>
        <w:t xml:space="preserve">– the canoe in which Hotu Matuʻa’s people voyaged. Our research notes that glyph 15 is</w:t>
      </w:r>
      <w:r>
        <w:t xml:space="preserve"> </w:t>
      </w:r>
      <w:r>
        <w:rPr>
          <w:i/>
          <w:iCs/>
        </w:rPr>
        <w:t xml:space="preserve">likely</w:t>
      </w:r>
      <w:r>
        <w:t xml:space="preserve"> </w:t>
      </w:r>
      <w:r>
        <w:t xml:space="preserve">used in voyage narratives on B</w:t>
      </w:r>
      <w:hyperlink r:id="rId32">
        <w:r>
          <w:rPr>
            <w:rStyle w:val="Hyperlink"/>
          </w:rPr>
          <w:t xml:space="preserve">[38]</w:t>
        </w:r>
      </w:hyperlink>
      <w:r>
        <w:t xml:space="preserve">, though it may not have been explicitly catalogued in earlier transcriptions. If Tablet B indeed includes the departure of the colonizing canoe, we would expect glyph 15 near the beginning of the third sequence (the main voyage). Its meaning “canoe/vessel” is reasonably inferred by shape and Polynesian context (with modest confidence ~0.75)</w:t>
      </w:r>
      <w:hyperlink r:id="rId55">
        <w:r>
          <w:rPr>
            <w:rStyle w:val="Hyperlink"/>
          </w:rPr>
          <w:t xml:space="preserve">[37]</w:t>
        </w:r>
      </w:hyperlink>
      <w:r>
        <w:t xml:space="preserve">. In any case, the migration story implicitly involves canoes, so even if glyph 15 is not prominent, other glyphs might stand in (e.g. glyph 60 “route” plus a term for ocean could together imply canoe journey).</w:t>
      </w:r>
    </w:p>
    <w:p>
      <w:pPr>
        <w:numPr>
          <w:ilvl w:val="0"/>
          <w:numId w:val="1003"/>
        </w:numPr>
      </w:pPr>
      <w:r>
        <w:rPr>
          <w:b/>
          <w:bCs/>
        </w:rPr>
        <w:t xml:space="preserve">Glyph 30 (House/Location):</w:t>
      </w:r>
      <w:r>
        <w:t xml:space="preserve"> </w:t>
      </w:r>
      <w:r>
        <w:t xml:space="preserve">Glyph 30 is drawn as a rectangular enclosure and translates to</w:t>
      </w:r>
      <w:r>
        <w:t xml:space="preserve"> </w:t>
      </w:r>
      <w:r>
        <w:rPr>
          <w:i/>
          <w:iCs/>
        </w:rPr>
        <w:t xml:space="preserve">“hare/henua”</w:t>
      </w:r>
      <w:r>
        <w:t xml:space="preserve"> </w:t>
      </w:r>
      <w:r>
        <w:t xml:space="preserve">(house or generic place)</w:t>
      </w:r>
      <w:hyperlink r:id="rId56">
        <w:r>
          <w:rPr>
            <w:rStyle w:val="Hyperlink"/>
          </w:rPr>
          <w:t xml:space="preserve">[39]</w:t>
        </w:r>
      </w:hyperlink>
      <w:hyperlink r:id="rId57">
        <w:r>
          <w:rPr>
            <w:rStyle w:val="Hyperlink"/>
          </w:rPr>
          <w:t xml:space="preserve">[40]</w:t>
        </w:r>
      </w:hyperlink>
      <w:r>
        <w:t xml:space="preserve">. In settlement terms, this glyph marks</w:t>
      </w:r>
      <w:r>
        <w:t xml:space="preserve"> </w:t>
      </w:r>
      <w:r>
        <w:rPr>
          <w:b/>
          <w:bCs/>
        </w:rPr>
        <w:t xml:space="preserve">habitation sites or locations</w:t>
      </w:r>
      <w:r>
        <w:t xml:space="preserve">. On Tablet B, after landfall at Anakena, the text likely mentions establishing a settlement – here glyph 30 would serve to indicate a</w:t>
      </w:r>
      <w:r>
        <w:t xml:space="preserve"> </w:t>
      </w:r>
      <w:r>
        <w:rPr>
          <w:b/>
          <w:bCs/>
        </w:rPr>
        <w:t xml:space="preserve">dwelling place or homeland</w:t>
      </w:r>
      <w:r>
        <w:t xml:space="preserve">. Additionally, during the scouts’ exploration, they may have named or noted a significant spot (like a cave or bay) as a potential dwelling site, again using glyph 30 to denote a</w:t>
      </w:r>
      <w:r>
        <w:t xml:space="preserve"> </w:t>
      </w:r>
      <w:r>
        <w:rPr>
          <w:i/>
          <w:iCs/>
        </w:rPr>
        <w:t xml:space="preserve">place</w:t>
      </w:r>
      <w:r>
        <w:t xml:space="preserve">. This glyph appears frequently in rongorongo texts (73 times in corpus) and specifically on other migratory texts like Small Santiago</w:t>
      </w:r>
      <w:hyperlink r:id="rId58">
        <w:r>
          <w:rPr>
            <w:rStyle w:val="Hyperlink"/>
          </w:rPr>
          <w:t xml:space="preserve">[41]</w:t>
        </w:r>
      </w:hyperlink>
      <w:r>
        <w:t xml:space="preserve">. For Aruku Kurenga, glyph 30’s meaning “house/place” fits the context of describing where people stayed or built shelters. We interpret sequences such as</w:t>
      </w:r>
      <w:r>
        <w:t xml:space="preserve"> </w:t>
      </w:r>
      <w:r>
        <w:rPr>
          <w:rStyle w:val="VerbatimChar"/>
          <w:b/>
          <w:bCs/>
        </w:rPr>
        <w:t xml:space="preserve">32 – 30 – glyph(s) – 9</w:t>
      </w:r>
      <w:r>
        <w:t xml:space="preserve"> </w:t>
      </w:r>
      <w:r>
        <w:t xml:space="preserve">as meaning “beginning of a section: at [place-name] (glyph30)… until the beach (glyph9).” Thus, glyph 30 anchors</w:t>
      </w:r>
      <w:r>
        <w:t xml:space="preserve"> </w:t>
      </w:r>
      <w:r>
        <w:rPr>
          <w:b/>
          <w:bCs/>
        </w:rPr>
        <w:t xml:space="preserve">settlement locations</w:t>
      </w:r>
      <w:r>
        <w:t xml:space="preserve"> </w:t>
      </w:r>
      <w:r>
        <w:t xml:space="preserve">in the narrative. Its reading “house/place” is of moderate confidence</w:t>
      </w:r>
      <w:hyperlink r:id="rId57">
        <w:r>
          <w:rPr>
            <w:rStyle w:val="Hyperlink"/>
          </w:rPr>
          <w:t xml:space="preserve">[40]</w:t>
        </w:r>
      </w:hyperlink>
      <w:r>
        <w:t xml:space="preserve">, bolstered by cross-method comparisons (early researcher Yuri Knorozov also read it as a dwelling sign</w:t>
      </w:r>
      <w:hyperlink r:id="rId59">
        <w:r>
          <w:rPr>
            <w:rStyle w:val="Hyperlink"/>
          </w:rPr>
          <w:t xml:space="preserve">[42]</w:t>
        </w:r>
      </w:hyperlink>
      <w:r>
        <w:t xml:space="preserve">).</w:t>
      </w:r>
    </w:p>
    <w:p>
      <w:pPr>
        <w:numPr>
          <w:ilvl w:val="0"/>
          <w:numId w:val="1003"/>
        </w:numPr>
      </w:pPr>
      <w:r>
        <w:rPr>
          <w:b/>
          <w:bCs/>
        </w:rPr>
        <w:t xml:space="preserve">Glyph 32 (Section Start “timu”):</w:t>
      </w:r>
      <w:r>
        <w:t xml:space="preserve"> </w:t>
      </w:r>
      <w:r>
        <w:t xml:space="preserve">While primarily a structural marker, glyph 32 also carries semantic weight in the migration narrative. The term</w:t>
      </w:r>
      <w:r>
        <w:t xml:space="preserve"> </w:t>
      </w:r>
      <w:r>
        <w:rPr>
          <w:i/>
          <w:iCs/>
        </w:rPr>
        <w:t xml:space="preserve">timu</w:t>
      </w:r>
      <w:r>
        <w:t xml:space="preserve"> </w:t>
      </w:r>
      <w:r>
        <w:t xml:space="preserve">in Rapa Nui can mean “to start” or “source,” and indeed glyph 32 seems to double as the word</w:t>
      </w:r>
      <w:r>
        <w:t xml:space="preserve"> </w:t>
      </w:r>
      <w:r>
        <w:rPr>
          <w:i/>
          <w:iCs/>
        </w:rPr>
        <w:t xml:space="preserve">timu/mata</w:t>
      </w:r>
      <w:r>
        <w:t xml:space="preserve"> </w:t>
      </w:r>
      <w:r>
        <w:t xml:space="preserve">indicating an</w:t>
      </w:r>
      <w:r>
        <w:t xml:space="preserve"> </w:t>
      </w:r>
      <w:r>
        <w:rPr>
          <w:b/>
          <w:bCs/>
        </w:rPr>
        <w:t xml:space="preserve">origin point</w:t>
      </w:r>
      <w:hyperlink r:id="rId31">
        <w:r>
          <w:rPr>
            <w:rStyle w:val="Hyperlink"/>
          </w:rPr>
          <w:t xml:space="preserve">[11]</w:t>
        </w:r>
      </w:hyperlink>
      <w:r>
        <w:t xml:space="preserve">. In context, each time glyph 32 appears at the start of an expedition account on Tablet B, it might be read not just as a punctuation but as a concept like “Beginning:” or “From the source…”. For example, the first voyage (Hau-Maka’s dream) starts with 32, which could imply “In the beginning (timu)…”; the second with 32 implying “Start of the second journey…”, etc. This interpretation remains hypothetical, but it suggests glyph 32 is thematically tied to</w:t>
      </w:r>
      <w:r>
        <w:t xml:space="preserve"> </w:t>
      </w:r>
      <w:r>
        <w:rPr>
          <w:b/>
          <w:bCs/>
        </w:rPr>
        <w:t xml:space="preserve">departure</w:t>
      </w:r>
      <w:r>
        <w:t xml:space="preserve"> </w:t>
      </w:r>
      <w:r>
        <w:t xml:space="preserve">or the</w:t>
      </w:r>
      <w:r>
        <w:t xml:space="preserve"> </w:t>
      </w:r>
      <w:r>
        <w:rPr>
          <w:b/>
          <w:bCs/>
        </w:rPr>
        <w:t xml:space="preserve">point of origin</w:t>
      </w:r>
      <w:r>
        <w:t xml:space="preserve">, an appropriate nuance in migration storytelling (e.g. departure from Hiva). Supporting this, Metoro’s readings sometimes glossed 32 as</w:t>
      </w:r>
      <w:r>
        <w:t xml:space="preserve"> </w:t>
      </w:r>
      <w:r>
        <w:rPr>
          <w:i/>
          <w:iCs/>
        </w:rPr>
        <w:t xml:space="preserve">mata</w:t>
      </w:r>
      <w:r>
        <w:t xml:space="preserve"> </w:t>
      </w:r>
      <w:r>
        <w:t xml:space="preserve">(eye/source) or similar</w:t>
      </w:r>
      <w:hyperlink r:id="rId60">
        <w:r>
          <w:rPr>
            <w:rStyle w:val="Hyperlink"/>
          </w:rPr>
          <w:t xml:space="preserve">[43]</w:t>
        </w:r>
      </w:hyperlink>
      <w:r>
        <w:t xml:space="preserve">. Thus, glyph 32 straddles structure and content: it demarcates and possibly literally signifies the</w:t>
      </w:r>
      <w:r>
        <w:t xml:space="preserve"> </w:t>
      </w:r>
      <w:r>
        <w:rPr>
          <w:b/>
          <w:bCs/>
        </w:rPr>
        <w:t xml:space="preserve">commencement of a voyage or chapter</w:t>
      </w:r>
      <w:r>
        <w:t xml:space="preserve"> </w:t>
      </w:r>
      <w:r>
        <w:t xml:space="preserve">in the settlement saga.</w:t>
      </w:r>
    </w:p>
    <w:p>
      <w:pPr>
        <w:pStyle w:val="FirstParagraph"/>
      </w:pPr>
      <w:r>
        <w:t xml:space="preserve">Taken together, the</w:t>
      </w:r>
      <w:r>
        <w:t xml:space="preserve"> </w:t>
      </w:r>
      <w:r>
        <w:rPr>
          <w:b/>
          <w:bCs/>
        </w:rPr>
        <w:t xml:space="preserve">settlement &amp; migration domain</w:t>
      </w:r>
      <w:r>
        <w:t xml:space="preserve"> </w:t>
      </w:r>
      <w:r>
        <w:t xml:space="preserve">is richly encoded on Aruku Kurenga. We have the journeys’</w:t>
      </w:r>
      <w:r>
        <w:t xml:space="preserve"> </w:t>
      </w:r>
      <w:r>
        <w:rPr>
          <w:b/>
          <w:bCs/>
        </w:rPr>
        <w:t xml:space="preserve">routes</w:t>
      </w:r>
      <w:r>
        <w:t xml:space="preserve"> </w:t>
      </w:r>
      <w:r>
        <w:t xml:space="preserve">(glyph 60), the</w:t>
      </w:r>
      <w:r>
        <w:t xml:space="preserve"> </w:t>
      </w:r>
      <w:r>
        <w:rPr>
          <w:b/>
          <w:bCs/>
        </w:rPr>
        <w:t xml:space="preserve">vessels</w:t>
      </w:r>
      <w:r>
        <w:t xml:space="preserve"> </w:t>
      </w:r>
      <w:r>
        <w:t xml:space="preserve">(glyph 15, implied), the</w:t>
      </w:r>
      <w:r>
        <w:t xml:space="preserve"> </w:t>
      </w:r>
      <w:r>
        <w:rPr>
          <w:b/>
          <w:bCs/>
        </w:rPr>
        <w:t xml:space="preserve">landfalls</w:t>
      </w:r>
      <w:r>
        <w:t xml:space="preserve"> </w:t>
      </w:r>
      <w:r>
        <w:t xml:space="preserve">(glyph 9 at Anakena), and the</w:t>
      </w:r>
      <w:r>
        <w:t xml:space="preserve"> </w:t>
      </w:r>
      <w:r>
        <w:rPr>
          <w:b/>
          <w:bCs/>
        </w:rPr>
        <w:t xml:space="preserve">places settled or passed</w:t>
      </w:r>
      <w:r>
        <w:t xml:space="preserve"> </w:t>
      </w:r>
      <w:r>
        <w:t xml:space="preserve">(glyph 30 and others for locales). The repetition of these elements across three sequences mirrors the known tradition of multiple exploratory voyages from the homeland. The decipherment model rates many of these identifications as high confidence: notably glyph 9 “beach” is essentially confirmed</w:t>
      </w:r>
      <w:hyperlink r:id="rId41">
        <w:r>
          <w:rPr>
            <w:rStyle w:val="Hyperlink"/>
          </w:rPr>
          <w:t xml:space="preserve">[24]</w:t>
        </w:r>
      </w:hyperlink>
      <w:r>
        <w:t xml:space="preserve">, and glyph 32 as a section start is proposed with high confidence</w:t>
      </w:r>
      <w:hyperlink r:id="rId30">
        <w:r>
          <w:rPr>
            <w:rStyle w:val="Hyperlink"/>
          </w:rPr>
          <w:t xml:space="preserve">[44]</w:t>
        </w:r>
      </w:hyperlink>
      <w:r>
        <w:t xml:space="preserve">. A few remain tentative (glyph 15 “canoe” is inferred with lower evidence</w:t>
      </w:r>
      <w:hyperlink r:id="rId55">
        <w:r>
          <w:rPr>
            <w:rStyle w:val="Hyperlink"/>
          </w:rPr>
          <w:t xml:space="preserve">[37]</w:t>
        </w:r>
      </w:hyperlink>
      <w:r>
        <w:t xml:space="preserve">), but overall the migration motif shines clearly in Tablet B’s text.</w:t>
      </w:r>
    </w:p>
    <w:bookmarkEnd w:id="61"/>
    <w:bookmarkStart w:id="72" w:name="astronomy-and-calendrical-markers"/>
    <w:p>
      <w:pPr>
        <w:pStyle w:val="Heading3"/>
      </w:pPr>
      <w:r>
        <w:t xml:space="preserve">Astronomy and Calendrical Markers</w:t>
      </w:r>
    </w:p>
    <w:p>
      <w:pPr>
        <w:pStyle w:val="FirstParagraph"/>
      </w:pPr>
      <w:r>
        <w:t xml:space="preserve">Unlike the Mamari tablet (which famously contains a lunar calendar), Aruku Kurenga is not primarily an astronomical text – it focuses on voyages. However, even within a migration narrative, there are</w:t>
      </w:r>
      <w:r>
        <w:t xml:space="preserve"> </w:t>
      </w:r>
      <w:r>
        <w:rPr>
          <w:b/>
          <w:bCs/>
        </w:rPr>
        <w:t xml:space="preserve">celestial references</w:t>
      </w:r>
      <w:r>
        <w:t xml:space="preserve"> </w:t>
      </w:r>
      <w:r>
        <w:t xml:space="preserve">and time-reckoning clues. Navigators traditionally used stars and the moon to voyage, and Rapa Nui myth includes celestial guidance in finding the island. Thus, we see a few glyphs on Tablet B that align with the</w:t>
      </w:r>
      <w:r>
        <w:t xml:space="preserve"> </w:t>
      </w:r>
      <w:r>
        <w:rPr>
          <w:b/>
          <w:bCs/>
        </w:rPr>
        <w:t xml:space="preserve">astronomy/calendrical domain</w:t>
      </w:r>
      <w:r>
        <w:t xml:space="preserve">:</w:t>
      </w:r>
    </w:p>
    <w:p>
      <w:pPr>
        <w:numPr>
          <w:ilvl w:val="0"/>
          <w:numId w:val="1004"/>
        </w:numPr>
      </w:pPr>
      <w:r>
        <w:rPr>
          <w:b/>
          <w:bCs/>
        </w:rPr>
        <w:t xml:space="preserve">Glyph 8 (Sun / Star / Light):</w:t>
      </w:r>
      <w:r>
        <w:t xml:space="preserve"> </w:t>
      </w:r>
      <w:r>
        <w:t xml:space="preserve">Glyph 8 is a radiating circle representing the</w:t>
      </w:r>
      <w:r>
        <w:t xml:space="preserve"> </w:t>
      </w:r>
      <w:r>
        <w:rPr>
          <w:b/>
          <w:bCs/>
        </w:rPr>
        <w:t xml:space="preserve">Sun</w:t>
      </w:r>
      <w:r>
        <w:t xml:space="preserve"> </w:t>
      </w:r>
      <w:r>
        <w:t xml:space="preserve">(primary meaning</w:t>
      </w:r>
      <w:r>
        <w:t xml:space="preserve"> </w:t>
      </w:r>
      <w:r>
        <w:rPr>
          <w:i/>
          <w:iCs/>
        </w:rPr>
        <w:t xml:space="preserve">ra‘a</w:t>
      </w:r>
      <w:r>
        <w:t xml:space="preserve">) and by extension any bright star or source of light</w:t>
      </w:r>
      <w:hyperlink r:id="rId62">
        <w:r>
          <w:rPr>
            <w:rStyle w:val="Hyperlink"/>
          </w:rPr>
          <w:t xml:space="preserve">[45]</w:t>
        </w:r>
      </w:hyperlink>
      <w:r>
        <w:t xml:space="preserve">. It is a multipurpose celestial symbol (also can mean “daytime” or “illumination”). On Tablet B, glyph 8 appears to denote</w:t>
      </w:r>
      <w:r>
        <w:t xml:space="preserve"> </w:t>
      </w:r>
      <w:r>
        <w:rPr>
          <w:b/>
          <w:bCs/>
        </w:rPr>
        <w:t xml:space="preserve">daylight or a specific star used for navigation</w:t>
      </w:r>
      <w:r>
        <w:t xml:space="preserve">. For example, one oral tradition says the explorers were searching for</w:t>
      </w:r>
      <w:r>
        <w:t xml:space="preserve"> </w:t>
      </w:r>
      <w:r>
        <w:rPr>
          <w:i/>
          <w:iCs/>
        </w:rPr>
        <w:t xml:space="preserve">te ra‘a</w:t>
      </w:r>
      <w:r>
        <w:t xml:space="preserve"> </w:t>
      </w:r>
      <w:r>
        <w:t xml:space="preserve">(the sun-lit beach) or navigated by a particular star. In Hau-Maka’s dream, he sought</w:t>
      </w:r>
      <w:r>
        <w:t xml:space="preserve"> </w:t>
      </w:r>
      <w:r>
        <w:rPr>
          <w:i/>
          <w:iCs/>
        </w:rPr>
        <w:t xml:space="preserve">“the place where the sun stands”</w:t>
      </w:r>
      <w:r>
        <w:t xml:space="preserve"> </w:t>
      </w:r>
      <w:r>
        <w:t xml:space="preserve">– a clear hint of a solar reference. If that part of the story is recorded, we might find glyph 8 in the description of Hau-Maka’s journey along the coast, possibly when describing him observing the sunrise direction or a landmark by the sun. Similarly, the scouts departing could have launched at dawn, etc., which might be noted by glyph 8 to mark</w:t>
      </w:r>
      <w:r>
        <w:t xml:space="preserve"> </w:t>
      </w:r>
      <w:r>
        <w:rPr>
          <w:b/>
          <w:bCs/>
        </w:rPr>
        <w:t xml:space="preserve">dawn or east</w:t>
      </w:r>
      <w:r>
        <w:t xml:space="preserve">. The glyph 8 has a strong presence on B (it’s attested on Aruku, Mamari, etc., with ~134 total occurrences) and is a</w:t>
      </w:r>
      <w:r>
        <w:t xml:space="preserve"> </w:t>
      </w:r>
      <w:r>
        <w:rPr>
          <w:i/>
          <w:iCs/>
        </w:rPr>
        <w:t xml:space="preserve">high-confidence sign (0.9)</w:t>
      </w:r>
      <w:r>
        <w:t xml:space="preserve"> </w:t>
      </w:r>
      <w:r>
        <w:t xml:space="preserve">for “sun, star or celestial light”</w:t>
      </w:r>
      <w:hyperlink r:id="rId62">
        <w:r>
          <w:rPr>
            <w:rStyle w:val="Hyperlink"/>
          </w:rPr>
          <w:t xml:space="preserve">[45]</w:t>
        </w:r>
      </w:hyperlink>
      <w:hyperlink r:id="rId63">
        <w:r>
          <w:rPr>
            <w:rStyle w:val="Hyperlink"/>
          </w:rPr>
          <w:t xml:space="preserve">[46]</w:t>
        </w:r>
      </w:hyperlink>
      <w:r>
        <w:t xml:space="preserve">. If glyph 8 appears near glyph 9 (beach) in the text, it could specifically mean</w:t>
      </w:r>
      <w:r>
        <w:t xml:space="preserve"> </w:t>
      </w:r>
      <w:r>
        <w:rPr>
          <w:i/>
          <w:iCs/>
        </w:rPr>
        <w:t xml:space="preserve">“sun [at] the beach”</w:t>
      </w:r>
      <w:r>
        <w:t xml:space="preserve"> </w:t>
      </w:r>
      <w:r>
        <w:t xml:space="preserve">– possibly alluding to Anakena as a</w:t>
      </w:r>
      <w:r>
        <w:t xml:space="preserve"> </w:t>
      </w:r>
      <w:r>
        <w:rPr>
          <w:i/>
          <w:iCs/>
        </w:rPr>
        <w:t xml:space="preserve">sunlit beach</w:t>
      </w:r>
      <w:r>
        <w:t xml:space="preserve"> </w:t>
      </w:r>
      <w:r>
        <w:t xml:space="preserve">(which aligns with the literal name given to the island in some myths:</w:t>
      </w:r>
      <w:r>
        <w:t xml:space="preserve"> </w:t>
      </w:r>
      <w:r>
        <w:rPr>
          <w:i/>
          <w:iCs/>
        </w:rPr>
        <w:t xml:space="preserve">Te pito o te henua</w:t>
      </w:r>
      <w:r>
        <w:t xml:space="preserve">, navel of the world, sometimes associated with the sun).</w:t>
      </w:r>
    </w:p>
    <w:p>
      <w:pPr>
        <w:numPr>
          <w:ilvl w:val="0"/>
          <w:numId w:val="1004"/>
        </w:numPr>
      </w:pPr>
      <w:r>
        <w:rPr>
          <w:b/>
          <w:bCs/>
        </w:rPr>
        <w:t xml:space="preserve">Glyph 10 (Moon / Month):</w:t>
      </w:r>
      <w:r>
        <w:t xml:space="preserve"> </w:t>
      </w:r>
      <w:r>
        <w:t xml:space="preserve">Represented as a crescent shape, glyph 10 signifies the</w:t>
      </w:r>
      <w:r>
        <w:t xml:space="preserve"> </w:t>
      </w:r>
      <w:r>
        <w:rPr>
          <w:b/>
          <w:bCs/>
        </w:rPr>
        <w:t xml:space="preserve">Moon</w:t>
      </w:r>
      <w:r>
        <w:t xml:space="preserve"> </w:t>
      </w:r>
      <w:r>
        <w:t xml:space="preserve">(</w:t>
      </w:r>
      <w:r>
        <w:rPr>
          <w:i/>
          <w:iCs/>
        </w:rPr>
        <w:t xml:space="preserve">māhina</w:t>
      </w:r>
      <w:r>
        <w:t xml:space="preserve">) or the concept of a month</w:t>
      </w:r>
      <w:hyperlink r:id="rId64">
        <w:r>
          <w:rPr>
            <w:rStyle w:val="Hyperlink"/>
          </w:rPr>
          <w:t xml:space="preserve">[47]</w:t>
        </w:r>
      </w:hyperlink>
      <w:r>
        <w:t xml:space="preserve">. While glyph 10 is central on the Mamari tablet’s calendar, it is</w:t>
      </w:r>
      <w:r>
        <w:t xml:space="preserve"> </w:t>
      </w:r>
      <w:r>
        <w:rPr>
          <w:i/>
          <w:iCs/>
        </w:rPr>
        <w:t xml:space="preserve">not prominent on Aruku Kurenga</w:t>
      </w:r>
      <w:r>
        <w:t xml:space="preserve"> </w:t>
      </w:r>
      <w:r>
        <w:t xml:space="preserve">– in fact, our lexicon data shows glyph 10 occurs mainly on Mamari and the Staff, not clearly on B</w:t>
      </w:r>
      <w:hyperlink r:id="rId65">
        <w:r>
          <w:rPr>
            <w:rStyle w:val="Hyperlink"/>
          </w:rPr>
          <w:t xml:space="preserve">[48]</w:t>
        </w:r>
      </w:hyperlink>
      <w:r>
        <w:t xml:space="preserve">. This suggests Tablet B’s narrative does not delve into lunar cycles at length. However, there could be indirect lunar references: for instance, if the voyages took place under certain moon phases (Polynesian navigators often considered moonlight for travel at sea). It’s possible a minor lunar marker appears in passing. One candidate is a small cluster combining glyph 8 (celestial) with an adjunct that could indicate night (like glyph 61</w:t>
      </w:r>
      <w:r>
        <w:t xml:space="preserve"> </w:t>
      </w:r>
      <w:r>
        <w:rPr>
          <w:i/>
          <w:iCs/>
        </w:rPr>
        <w:t xml:space="preserve">po</w:t>
      </w:r>
      <w:r>
        <w:t xml:space="preserve"> </w:t>
      </w:r>
      <w:r>
        <w:t xml:space="preserve">for sky/night</w:t>
      </w:r>
      <w:hyperlink r:id="rId50">
        <w:r>
          <w:rPr>
            <w:rStyle w:val="Hyperlink"/>
          </w:rPr>
          <w:t xml:space="preserve">[49]</w:t>
        </w:r>
      </w:hyperlink>
      <w:r>
        <w:t xml:space="preserve">). If such occurs, it might be interpreted as “at night” or “under starlight,” implying navigation by stars and moon. But since glyph 10 itself isn’t clearly identified on B, any</w:t>
      </w:r>
      <w:r>
        <w:t xml:space="preserve"> </w:t>
      </w:r>
      <w:r>
        <w:rPr>
          <w:b/>
          <w:bCs/>
        </w:rPr>
        <w:t xml:space="preserve">calendrical timing</w:t>
      </w:r>
      <w:r>
        <w:t xml:space="preserve"> </w:t>
      </w:r>
      <w:r>
        <w:t xml:space="preserve">(like specific months or moon nights) is not explicitly recorded in this text. The voyage likely happened in a single continuous narrative without enumerating nights.</w:t>
      </w:r>
    </w:p>
    <w:p>
      <w:pPr>
        <w:numPr>
          <w:ilvl w:val="0"/>
          <w:numId w:val="1004"/>
        </w:numPr>
      </w:pPr>
      <w:r>
        <w:rPr>
          <w:b/>
          <w:bCs/>
        </w:rPr>
        <w:t xml:space="preserve">Glyph 143 (Tree – Lunar Night ‘Rakau’):</w:t>
      </w:r>
      <w:r>
        <w:t xml:space="preserve"> </w:t>
      </w:r>
      <w:r>
        <w:t xml:space="preserve">This glyph, shaped like a tree or branch, is known in Mamari’s lunar calendar as</w:t>
      </w:r>
      <w:r>
        <w:t xml:space="preserve"> </w:t>
      </w:r>
      <w:r>
        <w:rPr>
          <w:i/>
          <w:iCs/>
        </w:rPr>
        <w:t xml:space="preserve">Rakau</w:t>
      </w:r>
      <w:r>
        <w:t xml:space="preserve">, a specific night name (the night before full moon)</w:t>
      </w:r>
      <w:hyperlink r:id="rId66">
        <w:r>
          <w:rPr>
            <w:rStyle w:val="Hyperlink"/>
          </w:rPr>
          <w:t xml:space="preserve">[50]</w:t>
        </w:r>
      </w:hyperlink>
      <w:r>
        <w:t xml:space="preserve">. There is no direct evidence that Aruku Kurenga contains the Rakau sign or any of the specialized lunar night glyphs (like 143, 152, 74, 78, which are on Mamari for the calendar). It’s likely that Tablet B, being a migration text, does not list out lunar nights. However, one could speculate that if the departure or arrival coincided with a certain time, a metaphorical reference might be present (e.g., mentioning a certain season via a natural symbol like a tree or turtle). There’s no strong indication of glyph 143 on B from our sources, so we conclude</w:t>
      </w:r>
      <w:r>
        <w:t xml:space="preserve"> </w:t>
      </w:r>
      <w:r>
        <w:rPr>
          <w:b/>
          <w:bCs/>
        </w:rPr>
        <w:t xml:space="preserve">astronomical timing on B is minimal</w:t>
      </w:r>
      <w:r>
        <w:t xml:space="preserve">.</w:t>
      </w:r>
    </w:p>
    <w:p>
      <w:pPr>
        <w:numPr>
          <w:ilvl w:val="0"/>
          <w:numId w:val="1004"/>
        </w:numPr>
      </w:pPr>
      <w:r>
        <w:rPr>
          <w:b/>
          <w:bCs/>
        </w:rPr>
        <w:t xml:space="preserve">Glyph 35 (Morning Star – Venus):</w:t>
      </w:r>
      <w:r>
        <w:t xml:space="preserve"> </w:t>
      </w:r>
      <w:r>
        <w:t xml:space="preserve">A more plausible celestial reference for navigation is</w:t>
      </w:r>
      <w:r>
        <w:t xml:space="preserve"> </w:t>
      </w:r>
      <w:r>
        <w:rPr>
          <w:b/>
          <w:bCs/>
        </w:rPr>
        <w:t xml:space="preserve">Venus, the morning star</w:t>
      </w:r>
      <w:r>
        <w:t xml:space="preserve">. Glyph 35 appears to depict a star and is glossed as</w:t>
      </w:r>
      <w:r>
        <w:t xml:space="preserve"> </w:t>
      </w:r>
      <w:r>
        <w:rPr>
          <w:i/>
          <w:iCs/>
        </w:rPr>
        <w:t xml:space="preserve">“hetuʻu pu”</w:t>
      </w:r>
      <w:r>
        <w:t xml:space="preserve"> </w:t>
      </w:r>
      <w:r>
        <w:t xml:space="preserve">(morning star, possibly personified as a goddess)</w:t>
      </w:r>
      <w:hyperlink r:id="rId32">
        <w:r>
          <w:rPr>
            <w:rStyle w:val="Hyperlink"/>
          </w:rPr>
          <w:t xml:space="preserve">[51]</w:t>
        </w:r>
      </w:hyperlink>
      <w:hyperlink r:id="rId67">
        <w:r>
          <w:rPr>
            <w:rStyle w:val="Hyperlink"/>
          </w:rPr>
          <w:t xml:space="preserve">[52]</w:t>
        </w:r>
      </w:hyperlink>
      <w:r>
        <w:t xml:space="preserve">. If Hotu Matuʻa’s navigators followed Venus (a common practice for Polynesian voyages at dawn), the text might include glyph 35 at the point of departure or when describing their guidance. For example, the scouts might have set out at the rising of the morning star. Our lexicon indicates glyph 35 was found preceding dawn references, meaning it likely denotes</w:t>
      </w:r>
      <w:r>
        <w:t xml:space="preserve"> </w:t>
      </w:r>
      <w:r>
        <w:rPr>
          <w:b/>
          <w:bCs/>
        </w:rPr>
        <w:t xml:space="preserve">Venus as a guide</w:t>
      </w:r>
      <w:hyperlink r:id="rId67">
        <w:r>
          <w:rPr>
            <w:rStyle w:val="Hyperlink"/>
          </w:rPr>
          <w:t xml:space="preserve">[52]</w:t>
        </w:r>
      </w:hyperlink>
      <w:r>
        <w:t xml:space="preserve">. While not explicitly confirmed on Aruku Kurenga, such a symbol could logically be present. If glyph 35 is indeed on Tablet B, it would align with the migration domain by showing</w:t>
      </w:r>
      <w:r>
        <w:t xml:space="preserve"> </w:t>
      </w:r>
      <w:r>
        <w:rPr>
          <w:b/>
          <w:bCs/>
        </w:rPr>
        <w:t xml:space="preserve">celestial navigation</w:t>
      </w:r>
      <w:r>
        <w:t xml:space="preserve"> </w:t>
      </w:r>
      <w:r>
        <w:t xml:space="preserve">– marking the time to sail (early morning) or the direction (east, where Venus rises). The confidence for glyph 35’s identification is moderate (0.75)</w:t>
      </w:r>
      <w:hyperlink r:id="rId68">
        <w:r>
          <w:rPr>
            <w:rStyle w:val="Hyperlink"/>
          </w:rPr>
          <w:t xml:space="preserve">[53]</w:t>
        </w:r>
      </w:hyperlink>
      <w:r>
        <w:t xml:space="preserve"> </w:t>
      </w:r>
      <w:r>
        <w:t xml:space="preserve">and it is a plausible but not definitively attested element in B’s voyage narrative.</w:t>
      </w:r>
    </w:p>
    <w:p>
      <w:pPr>
        <w:pStyle w:val="FirstParagraph"/>
      </w:pPr>
      <w:r>
        <w:t xml:space="preserve">In essence, Aruku Kurenga is</w:t>
      </w:r>
      <w:r>
        <w:t xml:space="preserve"> </w:t>
      </w:r>
      <w:r>
        <w:rPr>
          <w:i/>
          <w:iCs/>
        </w:rPr>
        <w:t xml:space="preserve">not</w:t>
      </w:r>
      <w:r>
        <w:t xml:space="preserve"> </w:t>
      </w:r>
      <w:r>
        <w:t xml:space="preserve">a star chart or calendar, but it contains</w:t>
      </w:r>
      <w:r>
        <w:t xml:space="preserve"> </w:t>
      </w:r>
      <w:r>
        <w:rPr>
          <w:b/>
          <w:bCs/>
        </w:rPr>
        <w:t xml:space="preserve">embedded celestial cues</w:t>
      </w:r>
      <w:r>
        <w:t xml:space="preserve"> </w:t>
      </w:r>
      <w:r>
        <w:t xml:space="preserve">relevant to the journey. Phrases in the text likely reference</w:t>
      </w:r>
      <w:r>
        <w:t xml:space="preserve"> </w:t>
      </w:r>
      <w:r>
        <w:rPr>
          <w:i/>
          <w:iCs/>
        </w:rPr>
        <w:t xml:space="preserve">day vs. night</w:t>
      </w:r>
      <w:r>
        <w:t xml:space="preserve"> </w:t>
      </w:r>
      <w:r>
        <w:t xml:space="preserve">or specific guiding stars in a poetic way. One compelling example from Metoro’s partial reading: he reportedly uttered the name</w:t>
      </w:r>
      <w:r>
        <w:t xml:space="preserve"> </w:t>
      </w:r>
      <w:r>
        <w:rPr>
          <w:i/>
          <w:iCs/>
        </w:rPr>
        <w:t xml:space="preserve">Kuukuu</w:t>
      </w:r>
      <w:r>
        <w:t xml:space="preserve"> </w:t>
      </w:r>
      <w:r>
        <w:t xml:space="preserve">at a glyph, then described</w:t>
      </w:r>
      <w:r>
        <w:t xml:space="preserve"> </w:t>
      </w:r>
      <w:r>
        <w:rPr>
          <w:i/>
          <w:iCs/>
        </w:rPr>
        <w:t xml:space="preserve">ihe</w:t>
      </w:r>
      <w:r>
        <w:t xml:space="preserve"> </w:t>
      </w:r>
      <w:r>
        <w:t xml:space="preserve">(a needlefish) and</w:t>
      </w:r>
      <w:r>
        <w:t xml:space="preserve"> </w:t>
      </w:r>
      <w:r>
        <w:rPr>
          <w:i/>
          <w:iCs/>
        </w:rPr>
        <w:t xml:space="preserve">avanga</w:t>
      </w:r>
      <w:r>
        <w:t xml:space="preserve"> </w:t>
      </w:r>
      <w:r>
        <w:t xml:space="preserve">(tomb) and other seemingly disparate words</w:t>
      </w:r>
      <w:hyperlink r:id="rId69">
        <w:r>
          <w:rPr>
            <w:rStyle w:val="Hyperlink"/>
          </w:rPr>
          <w:t xml:space="preserve">[54]</w:t>
        </w:r>
      </w:hyperlink>
      <w:r>
        <w:t xml:space="preserve"> </w:t>
      </w:r>
      <w:r>
        <w:t xml:space="preserve">– which turned out to hide an astronomical clue. The word</w:t>
      </w:r>
      <w:r>
        <w:t xml:space="preserve"> </w:t>
      </w:r>
      <w:r>
        <w:rPr>
          <w:i/>
          <w:iCs/>
        </w:rPr>
        <w:t xml:space="preserve">ihe</w:t>
      </w:r>
      <w:r>
        <w:t xml:space="preserve"> </w:t>
      </w:r>
      <w:r>
        <w:t xml:space="preserve">(needlefish) could also allude to a sliver shape like a new moon, and indeed glyph 69 (lizard) was interpreted as</w:t>
      </w:r>
      <w:r>
        <w:t xml:space="preserve"> </w:t>
      </w:r>
      <w:r>
        <w:rPr>
          <w:i/>
          <w:iCs/>
        </w:rPr>
        <w:t xml:space="preserve">moko</w:t>
      </w:r>
      <w:r>
        <w:t xml:space="preserve"> </w:t>
      </w:r>
      <w:r>
        <w:t xml:space="preserve">(lizard) but marking the</w:t>
      </w:r>
      <w:r>
        <w:t xml:space="preserve"> </w:t>
      </w:r>
      <w:r>
        <w:rPr>
          <w:i/>
          <w:iCs/>
        </w:rPr>
        <w:t xml:space="preserve">new moon</w:t>
      </w:r>
      <w:r>
        <w:t xml:space="preserve"> </w:t>
      </w:r>
      <w:r>
        <w:t xml:space="preserve">in calendrical terms</w:t>
      </w:r>
      <w:hyperlink r:id="rId70">
        <w:r>
          <w:rPr>
            <w:rStyle w:val="Hyperlink"/>
          </w:rPr>
          <w:t xml:space="preserve">[55]</w:t>
        </w:r>
      </w:hyperlink>
      <w:hyperlink r:id="rId71">
        <w:r>
          <w:rPr>
            <w:rStyle w:val="Hyperlink"/>
          </w:rPr>
          <w:t xml:space="preserve">[56]</w:t>
        </w:r>
      </w:hyperlink>
      <w:r>
        <w:t xml:space="preserve">. On Tablet B, Metoro realized glyph 13 was a tomb</w:t>
      </w:r>
      <w:r>
        <w:t xml:space="preserve"> </w:t>
      </w:r>
      <w:r>
        <w:rPr>
          <w:b/>
          <w:bCs/>
        </w:rPr>
        <w:t xml:space="preserve">because he knew the story context (the buried scout)</w:t>
      </w:r>
      <w:hyperlink r:id="rId27">
        <w:r>
          <w:rPr>
            <w:rStyle w:val="Hyperlink"/>
          </w:rPr>
          <w:t xml:space="preserve">[7]</w:t>
        </w:r>
      </w:hyperlink>
      <w:r>
        <w:t xml:space="preserve">. Likewise, any celestial glyph would have been understood by someone who knew the oral tale: e.g., they might not literally say “Venus,” but a knowledgeable chanter would know that a star glyph at that point means the morning star used by the voyagers. Therefore, our analysis posits that</w:t>
      </w:r>
      <w:r>
        <w:t xml:space="preserve"> </w:t>
      </w:r>
      <w:r>
        <w:rPr>
          <w:b/>
          <w:bCs/>
        </w:rPr>
        <w:t xml:space="preserve">Tablet B encodes at least the concept of daybreak and guidance by stars</w:t>
      </w:r>
      <w:r>
        <w:t xml:space="preserve"> </w:t>
      </w:r>
      <w:r>
        <w:t xml:space="preserve">in its narrative framework. These are secondary details compared to the main events, but they provide a cosmological backdrop consistent with traditional Polynesian navigation.</w:t>
      </w:r>
    </w:p>
    <w:bookmarkEnd w:id="72"/>
    <w:bookmarkStart w:id="77" w:name="ritual-and-social-structure-signs"/>
    <w:p>
      <w:pPr>
        <w:pStyle w:val="Heading3"/>
      </w:pPr>
      <w:r>
        <w:t xml:space="preserve">Ritual and Social Structure Signs</w:t>
      </w:r>
    </w:p>
    <w:p>
      <w:pPr>
        <w:pStyle w:val="FirstParagraph"/>
      </w:pPr>
      <w:r>
        <w:t xml:space="preserve">Aruku Kurenga’s content, while focused on voyages, inevitably touches on</w:t>
      </w:r>
      <w:r>
        <w:t xml:space="preserve"> </w:t>
      </w:r>
      <w:r>
        <w:rPr>
          <w:b/>
          <w:bCs/>
        </w:rPr>
        <w:t xml:space="preserve">ritual and social structure</w:t>
      </w:r>
      <w:r>
        <w:t xml:space="preserve">, as the settlers and explorers were led by chiefs and likely conducted ceremonies. We identify sequences and glyphs that reflect the societal hierarchy and ritual actions:</w:t>
      </w:r>
    </w:p>
    <w:p>
      <w:pPr>
        <w:numPr>
          <w:ilvl w:val="0"/>
          <w:numId w:val="1005"/>
        </w:numPr>
      </w:pPr>
      <w:r>
        <w:rPr>
          <w:b/>
          <w:bCs/>
        </w:rPr>
        <w:t xml:space="preserve">Glyph 200 (Chief/King –</w:t>
      </w:r>
      <w:r>
        <w:rPr>
          <w:b/>
          <w:bCs/>
        </w:rPr>
        <w:t xml:space="preserve"> </w:t>
      </w:r>
      <w:r>
        <w:rPr>
          <w:b/>
          <w:bCs/>
          <w:i/>
          <w:iCs/>
        </w:rPr>
        <w:t xml:space="preserve">ariki</w:t>
      </w:r>
      <w:r>
        <w:rPr>
          <w:b/>
          <w:bCs/>
        </w:rPr>
        <w:t xml:space="preserve">):</w:t>
      </w:r>
      <w:r>
        <w:t xml:space="preserve"> </w:t>
      </w:r>
      <w:r>
        <w:t xml:space="preserve">Already discussed under genealogy, glyph 200 specifically signifies a</w:t>
      </w:r>
      <w:r>
        <w:t xml:space="preserve"> </w:t>
      </w:r>
      <w:r>
        <w:rPr>
          <w:b/>
          <w:bCs/>
        </w:rPr>
        <w:t xml:space="preserve">high-status male</w:t>
      </w:r>
      <w:r>
        <w:t xml:space="preserve">, e.g. a tribal chief or King Hotu Matuʻa himself</w:t>
      </w:r>
      <w:hyperlink r:id="rId73">
        <w:r>
          <w:rPr>
            <w:rStyle w:val="Hyperlink"/>
          </w:rPr>
          <w:t xml:space="preserve">[57]</w:t>
        </w:r>
      </w:hyperlink>
      <w:r>
        <w:t xml:space="preserve">. In the context of social structure, glyph 200 on Tablet B designates the</w:t>
      </w:r>
      <w:r>
        <w:t xml:space="preserve"> </w:t>
      </w:r>
      <w:r>
        <w:rPr>
          <w:i/>
          <w:iCs/>
        </w:rPr>
        <w:t xml:space="preserve">leader of each expedition</w:t>
      </w:r>
      <w:r>
        <w:t xml:space="preserve">. The first voyage (Hau-Maka’s spirit) might not have a physical chief present, but in the myth Hau-Maka was a seer acting under the chief’s direction. The second voyage (the scouts) was led by someone – oral tradition names a lead explorer (sometimes given as Ira or Kuukuu). That leader on the tablet could be marked with glyph 200 to denote his authority. The third voyage was led by King Hotu Matuʻa, unquestionably an</w:t>
      </w:r>
      <w:r>
        <w:t xml:space="preserve"> </w:t>
      </w:r>
      <w:r>
        <w:rPr>
          <w:i/>
          <w:iCs/>
        </w:rPr>
        <w:t xml:space="preserve">ariki</w:t>
      </w:r>
      <w:r>
        <w:t xml:space="preserve">, so his name or epithet would be accompanied by glyph 200. For example, a cluster like</w:t>
      </w:r>
      <w:r>
        <w:t xml:space="preserve"> </w:t>
      </w:r>
      <w:r>
        <w:rPr>
          <w:rStyle w:val="VerbatimChar"/>
          <w:b/>
          <w:bCs/>
        </w:rPr>
        <w:t xml:space="preserve">200-30-9</w:t>
      </w:r>
      <w:r>
        <w:t xml:space="preserve"> </w:t>
      </w:r>
      <w:r>
        <w:t xml:space="preserve">could mean “the chief’s place (ariki + location) at the beach” – possibly alluding to Hotu’s settlement at Anakena. Glyph 200 is thus crucial in the</w:t>
      </w:r>
      <w:r>
        <w:t xml:space="preserve"> </w:t>
      </w:r>
      <w:r>
        <w:rPr>
          <w:b/>
          <w:bCs/>
        </w:rPr>
        <w:t xml:space="preserve">ritual hierarchy domain</w:t>
      </w:r>
      <w:r>
        <w:t xml:space="preserve">, showing who holds power in the narrative. Its usage on B is consistent and very confident for indicating “chief/leader”</w:t>
      </w:r>
      <w:hyperlink r:id="rId48">
        <w:r>
          <w:rPr>
            <w:rStyle w:val="Hyperlink"/>
          </w:rPr>
          <w:t xml:space="preserve">[30]</w:t>
        </w:r>
      </w:hyperlink>
      <w:r>
        <w:t xml:space="preserve">.</w:t>
      </w:r>
    </w:p>
    <w:p>
      <w:pPr>
        <w:numPr>
          <w:ilvl w:val="0"/>
          <w:numId w:val="1005"/>
        </w:numPr>
      </w:pPr>
      <w:r>
        <w:rPr>
          <w:b/>
          <w:bCs/>
        </w:rPr>
        <w:t xml:space="preserve">Glyph 300 (Woman/Mother –</w:t>
      </w:r>
      <w:r>
        <w:rPr>
          <w:b/>
          <w:bCs/>
        </w:rPr>
        <w:t xml:space="preserve"> </w:t>
      </w:r>
      <w:r>
        <w:rPr>
          <w:b/>
          <w:bCs/>
          <w:i/>
          <w:iCs/>
        </w:rPr>
        <w:t xml:space="preserve">viʻe, māmā</w:t>
      </w:r>
      <w:r>
        <w:rPr>
          <w:b/>
          <w:bCs/>
        </w:rPr>
        <w:t xml:space="preserve">):</w:t>
      </w:r>
      <w:r>
        <w:t xml:space="preserve"> </w:t>
      </w:r>
      <w:r>
        <w:t xml:space="preserve">Social structure in Polynesia also honors important women (queens, priestesses, or ancestresses). If Tablet B mentions Queen Ava Rei Pua (Hotu Matuʻa’s wife) or other noblewomen, glyph 300 would mark them</w:t>
      </w:r>
      <w:hyperlink r:id="rId50">
        <w:r>
          <w:rPr>
            <w:rStyle w:val="Hyperlink"/>
          </w:rPr>
          <w:t xml:space="preserve">[58]</w:t>
        </w:r>
      </w:hyperlink>
      <w:r>
        <w:t xml:space="preserve">. For instance, one legend says Hotu Matuʻa sent</w:t>
      </w:r>
      <w:r>
        <w:t xml:space="preserve"> </w:t>
      </w:r>
      <w:r>
        <w:rPr>
          <w:b/>
          <w:bCs/>
        </w:rPr>
        <w:t xml:space="preserve">his wife and sister on a separate canoe</w:t>
      </w:r>
      <w:r>
        <w:t xml:space="preserve"> </w:t>
      </w:r>
      <w:r>
        <w:t xml:space="preserve">during the migration – if that detail is encoded, their presence might be indicated by glyph 300 in the third sequence. Additionally, if a transfer of power or ritual role (like a royal wife inaugurating the new land) is mentioned, glyph 300 could appear there. Though not a dominant glyph on B, its presence would highlight the</w:t>
      </w:r>
      <w:r>
        <w:t xml:space="preserve"> </w:t>
      </w:r>
      <w:r>
        <w:rPr>
          <w:b/>
          <w:bCs/>
        </w:rPr>
        <w:t xml:space="preserve">female aspect of social structure</w:t>
      </w:r>
      <w:r>
        <w:t xml:space="preserve">, reminding that the settlement involved both kings and queens. It carries moderate confidence and appears in genealogical contexts as well</w:t>
      </w:r>
      <w:hyperlink r:id="rId74">
        <w:r>
          <w:rPr>
            <w:rStyle w:val="Hyperlink"/>
          </w:rPr>
          <w:t xml:space="preserve">[59]</w:t>
        </w:r>
      </w:hyperlink>
      <w:r>
        <w:t xml:space="preserve">.</w:t>
      </w:r>
    </w:p>
    <w:p>
      <w:pPr>
        <w:numPr>
          <w:ilvl w:val="0"/>
          <w:numId w:val="1005"/>
        </w:numPr>
      </w:pPr>
      <w:r>
        <w:rPr>
          <w:b/>
          <w:bCs/>
        </w:rPr>
        <w:t xml:space="preserve">Glyph 500 (Ancestor/Elder –</w:t>
      </w:r>
      <w:r>
        <w:rPr>
          <w:b/>
          <w:bCs/>
        </w:rPr>
        <w:t xml:space="preserve"> </w:t>
      </w:r>
      <w:r>
        <w:rPr>
          <w:b/>
          <w:bCs/>
          <w:i/>
          <w:iCs/>
        </w:rPr>
        <w:t xml:space="preserve">tupuna</w:t>
      </w:r>
      <w:r>
        <w:rPr>
          <w:b/>
          <w:bCs/>
        </w:rPr>
        <w:t xml:space="preserve">):</w:t>
      </w:r>
      <w:r>
        <w:t xml:space="preserve"> </w:t>
      </w:r>
      <w:r>
        <w:t xml:space="preserve">Glyph 500 represents an</w:t>
      </w:r>
      <w:r>
        <w:t xml:space="preserve"> </w:t>
      </w:r>
      <w:r>
        <w:rPr>
          <w:b/>
          <w:bCs/>
        </w:rPr>
        <w:t xml:space="preserve">elder or ancestor</w:t>
      </w:r>
      <w:r>
        <w:t xml:space="preserve">, often an old man or forefather figure</w:t>
      </w:r>
      <w:hyperlink r:id="rId51">
        <w:r>
          <w:rPr>
            <w:rStyle w:val="Hyperlink"/>
          </w:rPr>
          <w:t xml:space="preserve">[34]</w:t>
        </w:r>
      </w:hyperlink>
      <w:r>
        <w:t xml:space="preserve">. In the ritual domain, this could correspond to the</w:t>
      </w:r>
      <w:r>
        <w:t xml:space="preserve"> </w:t>
      </w:r>
      <w:r>
        <w:rPr>
          <w:b/>
          <w:bCs/>
        </w:rPr>
        <w:t xml:space="preserve">venerated ancestors or the elder who gave blessings for the voyage</w:t>
      </w:r>
      <w:r>
        <w:t xml:space="preserve">. For example, Hotu Matuʻa’s father or forebear might be symbolically referenced at the start of the story (some versions of the myth mention the homeland king or an ancestral prophecy). If such context is present, glyph 500 would indicate that</w:t>
      </w:r>
      <w:r>
        <w:t xml:space="preserve"> </w:t>
      </w:r>
      <w:r>
        <w:rPr>
          <w:i/>
          <w:iCs/>
        </w:rPr>
        <w:t xml:space="preserve">a revered elder</w:t>
      </w:r>
      <w:r>
        <w:t xml:space="preserve"> </w:t>
      </w:r>
      <w:r>
        <w:t xml:space="preserve">is being named or invoked. It might also be used to denote the</w:t>
      </w:r>
      <w:r>
        <w:t xml:space="preserve"> </w:t>
      </w:r>
      <w:r>
        <w:rPr>
          <w:b/>
          <w:bCs/>
        </w:rPr>
        <w:t xml:space="preserve">old age of Hotu Matuʻa</w:t>
      </w:r>
      <w:r>
        <w:t xml:space="preserve"> </w:t>
      </w:r>
      <w:r>
        <w:t xml:space="preserve">when he died (if the tablet included an epilogue of his passing, though that’s speculative). The presence of glyph 500 underscores</w:t>
      </w:r>
      <w:r>
        <w:t xml:space="preserve"> </w:t>
      </w:r>
      <w:r>
        <w:rPr>
          <w:b/>
          <w:bCs/>
        </w:rPr>
        <w:t xml:space="preserve">ancestral authority</w:t>
      </w:r>
      <w:r>
        <w:t xml:space="preserve"> </w:t>
      </w:r>
      <w:r>
        <w:t xml:space="preserve">in the social structure – that the voyagers acted under ancestral guidance. It appears somewhat rarely (confidence ~0.7) but meaningfully in lists of forefathers</w:t>
      </w:r>
      <w:hyperlink r:id="rId51">
        <w:r>
          <w:rPr>
            <w:rStyle w:val="Hyperlink"/>
          </w:rPr>
          <w:t xml:space="preserve">[34]</w:t>
        </w:r>
      </w:hyperlink>
      <w:r>
        <w:t xml:space="preserve">.</w:t>
      </w:r>
    </w:p>
    <w:p>
      <w:pPr>
        <w:numPr>
          <w:ilvl w:val="0"/>
          <w:numId w:val="1005"/>
        </w:numPr>
      </w:pPr>
      <w:r>
        <w:rPr>
          <w:b/>
          <w:bCs/>
        </w:rPr>
        <w:t xml:space="preserve">Glyph 600 (Bird/Spirit –</w:t>
      </w:r>
      <w:r>
        <w:rPr>
          <w:b/>
          <w:bCs/>
        </w:rPr>
        <w:t xml:space="preserve"> </w:t>
      </w:r>
      <w:r>
        <w:rPr>
          <w:b/>
          <w:bCs/>
          <w:i/>
          <w:iCs/>
        </w:rPr>
        <w:t xml:space="preserve">manu</w:t>
      </w:r>
      <w:r>
        <w:rPr>
          <w:b/>
          <w:bCs/>
        </w:rPr>
        <w:t xml:space="preserve">):</w:t>
      </w:r>
      <w:r>
        <w:t xml:space="preserve"> </w:t>
      </w:r>
      <w:r>
        <w:t xml:space="preserve">This glyph of a bird (often the frigate bird) has both literal and ritual significance. It is associated with the</w:t>
      </w:r>
      <w:r>
        <w:t xml:space="preserve"> </w:t>
      </w:r>
      <w:r>
        <w:rPr>
          <w:b/>
          <w:bCs/>
        </w:rPr>
        <w:t xml:space="preserve">sacred bird-man cult</w:t>
      </w:r>
      <w:r>
        <w:t xml:space="preserve"> </w:t>
      </w:r>
      <w:r>
        <w:t xml:space="preserve">and with the god Makemake in Rapa Nui culture</w:t>
      </w:r>
      <w:hyperlink r:id="rId75">
        <w:r>
          <w:rPr>
            <w:rStyle w:val="Hyperlink"/>
          </w:rPr>
          <w:t xml:space="preserve">[60]</w:t>
        </w:r>
      </w:hyperlink>
      <w:r>
        <w:t xml:space="preserve">. On Tablet B, glyph 600 might appear in mythological or ritual phrases (discussed more in the next section), but in a social structure sense it could symbolize a</w:t>
      </w:r>
      <w:r>
        <w:t xml:space="preserve"> </w:t>
      </w:r>
      <w:r>
        <w:rPr>
          <w:b/>
          <w:bCs/>
        </w:rPr>
        <w:t xml:space="preserve">religious office or clan emblem</w:t>
      </w:r>
      <w:r>
        <w:t xml:space="preserve">. For instance, if an important clan’s name (like</w:t>
      </w:r>
      <w:r>
        <w:t xml:space="preserve"> </w:t>
      </w:r>
      <w:r>
        <w:rPr>
          <w:i/>
          <w:iCs/>
        </w:rPr>
        <w:t xml:space="preserve">Manu</w:t>
      </w:r>
      <w:r>
        <w:t xml:space="preserve"> </w:t>
      </w:r>
      <w:r>
        <w:t xml:space="preserve">something) or a title (such as a priest named “Bird”) is mentioned, glyph 600 would be used. One possibility: after arriving, Hotu Matuʻa’s people performed a ritual involving a bird (e.g. releasing a bird to find land, a motif in some Polynesian myths). If such a scene were included, glyph 600 would denote that</w:t>
      </w:r>
      <w:r>
        <w:t xml:space="preserve"> </w:t>
      </w:r>
      <w:r>
        <w:rPr>
          <w:i/>
          <w:iCs/>
        </w:rPr>
        <w:t xml:space="preserve">bird</w:t>
      </w:r>
      <w:r>
        <w:t xml:space="preserve">. Additionally, the early Rapanui social order included the</w:t>
      </w:r>
      <w:r>
        <w:t xml:space="preserve"> </w:t>
      </w:r>
      <w:r>
        <w:rPr>
          <w:i/>
          <w:iCs/>
        </w:rPr>
        <w:t xml:space="preserve">Tangata Manu</w:t>
      </w:r>
      <w:r>
        <w:t xml:space="preserve"> </w:t>
      </w:r>
      <w:r>
        <w:t xml:space="preserve">(birdman) competition, but that historically arises later, not at initial settlement, so it likely doesn’t appear in B’s context. Nonetheless, glyph 600 stands for</w:t>
      </w:r>
      <w:r>
        <w:t xml:space="preserve"> </w:t>
      </w:r>
      <w:r>
        <w:rPr>
          <w:b/>
          <w:bCs/>
        </w:rPr>
        <w:t xml:space="preserve">divine or sacred birds</w:t>
      </w:r>
      <w:r>
        <w:t xml:space="preserve"> </w:t>
      </w:r>
      <w:r>
        <w:t xml:space="preserve">and can indicate a connection to the spiritual authority of the chief (since frigate birds were considered forms of the god). It’s a high-confidence glyph (0.9) for “bird/manu (with spiritual connotation)”</w:t>
      </w:r>
      <w:hyperlink r:id="rId75">
        <w:r>
          <w:rPr>
            <w:rStyle w:val="Hyperlink"/>
          </w:rPr>
          <w:t xml:space="preserve">[60]</w:t>
        </w:r>
      </w:hyperlink>
      <w:r>
        <w:t xml:space="preserve">. If present on B, it likely adds a layer of sacred legitimacy to the narrative, linking the settlers to divine favor (Makemake’s bird).</w:t>
      </w:r>
    </w:p>
    <w:p>
      <w:pPr>
        <w:numPr>
          <w:ilvl w:val="0"/>
          <w:numId w:val="1005"/>
        </w:numPr>
      </w:pPr>
      <w:r>
        <w:rPr>
          <w:b/>
          <w:bCs/>
        </w:rPr>
        <w:t xml:space="preserve">Glyphs 62 and 32 in Ritual Context:</w:t>
      </w:r>
      <w:r>
        <w:t xml:space="preserve"> </w:t>
      </w:r>
      <w:r>
        <w:t xml:space="preserve">Interestingly, some structural glyphs carry ritual meaning. We noted glyph 32 possibly meaning</w:t>
      </w:r>
      <w:r>
        <w:t xml:space="preserve"> </w:t>
      </w:r>
      <w:r>
        <w:rPr>
          <w:i/>
          <w:iCs/>
        </w:rPr>
        <w:t xml:space="preserve">“timu”</w:t>
      </w:r>
      <w:r>
        <w:t xml:space="preserve"> </w:t>
      </w:r>
      <w:r>
        <w:t xml:space="preserve">(origin) which could have ritual connotations of a</w:t>
      </w:r>
      <w:r>
        <w:t xml:space="preserve"> </w:t>
      </w:r>
      <w:r>
        <w:rPr>
          <w:b/>
          <w:bCs/>
        </w:rPr>
        <w:t xml:space="preserve">cosmic beginning</w:t>
      </w:r>
      <w:r>
        <w:t xml:space="preserve"> </w:t>
      </w:r>
      <w:r>
        <w:t xml:space="preserve">or formal chant start</w:t>
      </w:r>
      <w:hyperlink r:id="rId30">
        <w:r>
          <w:rPr>
            <w:rStyle w:val="Hyperlink"/>
          </w:rPr>
          <w:t xml:space="preserve">[44]</w:t>
        </w:r>
      </w:hyperlink>
      <w:hyperlink r:id="rId60">
        <w:r>
          <w:rPr>
            <w:rStyle w:val="Hyperlink"/>
          </w:rPr>
          <w:t xml:space="preserve">[43]</w:t>
        </w:r>
      </w:hyperlink>
      <w:r>
        <w:t xml:space="preserve">. Also, glyph 62 (the clause break) is possibly read as</w:t>
      </w:r>
      <w:r>
        <w:t xml:space="preserve"> </w:t>
      </w:r>
      <w:r>
        <w:rPr>
          <w:i/>
          <w:iCs/>
        </w:rPr>
        <w:t xml:space="preserve">“ki”</w:t>
      </w:r>
      <w:r>
        <w:t xml:space="preserve">, a particle that might mean “to, towards” or serve as a conjunction</w:t>
      </w:r>
      <w:hyperlink r:id="rId33">
        <w:r>
          <w:rPr>
            <w:rStyle w:val="Hyperlink"/>
          </w:rPr>
          <w:t xml:space="preserve">[13]</w:t>
        </w:r>
      </w:hyperlink>
      <w:r>
        <w:t xml:space="preserve">. In a ritual chant,</w:t>
      </w:r>
      <w:r>
        <w:t xml:space="preserve"> </w:t>
      </w:r>
      <w:r>
        <w:rPr>
          <w:i/>
          <w:iCs/>
        </w:rPr>
        <w:t xml:space="preserve">ki</w:t>
      </w:r>
      <w:r>
        <w:t xml:space="preserve"> </w:t>
      </w:r>
      <w:r>
        <w:t xml:space="preserve">can be an invocation word. While speculative, it’s worth mentioning that the way phrases are broken might echo a</w:t>
      </w:r>
      <w:r>
        <w:t xml:space="preserve"> </w:t>
      </w:r>
      <w:r>
        <w:rPr>
          <w:b/>
          <w:bCs/>
        </w:rPr>
        <w:t xml:space="preserve">chant cadence</w:t>
      </w:r>
      <w:r>
        <w:t xml:space="preserve"> </w:t>
      </w:r>
      <w:r>
        <w:t xml:space="preserve">– implying Aruku Kurenga’s text could have been sung or chanted in a ritual setting (perhaps during a ceremony commemorating the founding voyage). Each glyph 62 “pause” may correspond to a breath or call-and-response break in a recitation. Thus, the punctuation itself hints at a social ritual: the performance of this text by a rongorongo expert (a</w:t>
      </w:r>
      <w:r>
        <w:t xml:space="preserve"> </w:t>
      </w:r>
      <w:r>
        <w:rPr>
          <w:i/>
          <w:iCs/>
        </w:rPr>
        <w:t xml:space="preserve">tangata rongorongo</w:t>
      </w:r>
      <w:r>
        <w:t xml:space="preserve">) in a formal setting.</w:t>
      </w:r>
    </w:p>
    <w:p>
      <w:pPr>
        <w:pStyle w:val="FirstParagraph"/>
      </w:pPr>
      <w:r>
        <w:t xml:space="preserve">In sum,</w:t>
      </w:r>
      <w:r>
        <w:t xml:space="preserve"> </w:t>
      </w:r>
      <w:r>
        <w:rPr>
          <w:b/>
          <w:bCs/>
        </w:rPr>
        <w:t xml:space="preserve">Tablet B encodes elements of social hierarchy and ritual indirectly through its choice of glyphs</w:t>
      </w:r>
      <w:r>
        <w:t xml:space="preserve"> </w:t>
      </w:r>
      <w:r>
        <w:t xml:space="preserve">for individuals and possibly ceremonial actions. The chief (glyph 200) is front and center, reflecting the political structure – the migration is led by royalty. The potential inclusion of a queen (glyph 300) or ancestor (glyph 500) provides depth, linking the voyage to both genders and to prior generations. Meanwhile, subtle glyphs like 600 (bird) suggest the</w:t>
      </w:r>
      <w:r>
        <w:t xml:space="preserve"> </w:t>
      </w:r>
      <w:r>
        <w:rPr>
          <w:i/>
          <w:iCs/>
        </w:rPr>
        <w:t xml:space="preserve">spiritual sanction</w:t>
      </w:r>
      <w:r>
        <w:t xml:space="preserve"> </w:t>
      </w:r>
      <w:r>
        <w:t xml:space="preserve">of the endeavor, as if the voyage isn’t merely physical but also has religious significance (fulfilling prophecy or guided by omens). We consider the identification of these glyphs in their social context to be well-supported by cross-text evidence – for example, similar patterns of titles and kinship appear on other tablets, confirming that rongorongo script had signs dedicated to ranks and roles</w:t>
      </w:r>
      <w:hyperlink r:id="rId76">
        <w:r>
          <w:rPr>
            <w:rStyle w:val="Hyperlink"/>
          </w:rPr>
          <w:t xml:space="preserve">[61]</w:t>
        </w:r>
      </w:hyperlink>
      <w:hyperlink r:id="rId75">
        <w:r>
          <w:rPr>
            <w:rStyle w:val="Hyperlink"/>
          </w:rPr>
          <w:t xml:space="preserve">[60]</w:t>
        </w:r>
      </w:hyperlink>
      <w:r>
        <w:t xml:space="preserve">. Therefore, Aruku Kurenga can be read not just as a travel log but as a</w:t>
      </w:r>
      <w:r>
        <w:t xml:space="preserve"> </w:t>
      </w:r>
      <w:r>
        <w:rPr>
          <w:b/>
          <w:bCs/>
        </w:rPr>
        <w:t xml:space="preserve">story of leaders and their divinely sanctioned mission</w:t>
      </w:r>
      <w:r>
        <w:t xml:space="preserve">, with the script capturing those nuances.</w:t>
      </w:r>
    </w:p>
    <w:bookmarkEnd w:id="77"/>
    <w:bookmarkStart w:id="89" w:name="navigation-and-marine-life-symbols"/>
    <w:p>
      <w:pPr>
        <w:pStyle w:val="Heading3"/>
      </w:pPr>
      <w:r>
        <w:t xml:space="preserve">Navigation and Marine Life Symbols</w:t>
      </w:r>
    </w:p>
    <w:p>
      <w:pPr>
        <w:pStyle w:val="FirstParagraph"/>
      </w:pPr>
      <w:r>
        <w:t xml:space="preserve">Navigation over the open ocean and across the island’s coastline is a central theme of Tablet B. Appropriately, the text contains</w:t>
      </w:r>
      <w:r>
        <w:t xml:space="preserve"> </w:t>
      </w:r>
      <w:r>
        <w:rPr>
          <w:b/>
          <w:bCs/>
        </w:rPr>
        <w:t xml:space="preserve">marine and navigation-related glyphs</w:t>
      </w:r>
      <w:r>
        <w:t xml:space="preserve"> </w:t>
      </w:r>
      <w:r>
        <w:t xml:space="preserve">which highlight the environment of the voyage – the sea, the creatures encountered, and the directional cues. Several glyph sequences on Aruku Kurenga fall into this domain:</w:t>
      </w:r>
    </w:p>
    <w:p>
      <w:pPr>
        <w:numPr>
          <w:ilvl w:val="0"/>
          <w:numId w:val="1006"/>
        </w:numPr>
      </w:pPr>
      <w:r>
        <w:rPr>
          <w:b/>
          <w:bCs/>
        </w:rPr>
        <w:t xml:space="preserve">Glyph 700 (Fish / Victim):</w:t>
      </w:r>
      <w:r>
        <w:t xml:space="preserve"> </w:t>
      </w:r>
      <w:r>
        <w:t xml:space="preserve">Depicted as a fish, glyph 700 has a double meaning: literally “fish” (</w:t>
      </w:r>
      <w:r>
        <w:rPr>
          <w:i/>
          <w:iCs/>
        </w:rPr>
        <w:t xml:space="preserve">ika</w:t>
      </w:r>
      <w:r>
        <w:t xml:space="preserve">) and metaphorically “victim” or “sacrificial offering” (</w:t>
      </w:r>
      <w:r>
        <w:rPr>
          <w:i/>
          <w:iCs/>
        </w:rPr>
        <w:t xml:space="preserve">ika</w:t>
      </w:r>
      <w:r>
        <w:t xml:space="preserve"> </w:t>
      </w:r>
      <w:r>
        <w:t xml:space="preserve">or</w:t>
      </w:r>
      <w:r>
        <w:t xml:space="preserve"> </w:t>
      </w:r>
      <w:r>
        <w:rPr>
          <w:i/>
          <w:iCs/>
        </w:rPr>
        <w:t xml:space="preserve">kai</w:t>
      </w:r>
      <w:r>
        <w:t xml:space="preserve"> </w:t>
      </w:r>
      <w:r>
        <w:t xml:space="preserve">in a ritual sense)</w:t>
      </w:r>
      <w:hyperlink r:id="rId78">
        <w:r>
          <w:rPr>
            <w:rStyle w:val="Hyperlink"/>
          </w:rPr>
          <w:t xml:space="preserve">[62]</w:t>
        </w:r>
      </w:hyperlink>
      <w:hyperlink r:id="rId79">
        <w:r>
          <w:rPr>
            <w:rStyle w:val="Hyperlink"/>
          </w:rPr>
          <w:t xml:space="preserve">[63]</w:t>
        </w:r>
      </w:hyperlink>
      <w:r>
        <w:t xml:space="preserve">. On Tablet B, the literal sense is more relevant to navigation – fish appear as part of the natural signs at sea or as food caught by the voyagers. For instance, the scouts might have caught fish during their journey or noted fish-rich waters as a sign of land nearby. If the text mentions such an event, glyph 700 would appear in that context. However, if any ritual sacrifice occurred (perhaps a fish offering when arriving at the new land), glyph 700 could also encode that (though there’s no direct evidence of a sacrifice in the migration legend). Given that Aruku Kurenga is largely narrative, we lean on the literal meaning:</w:t>
      </w:r>
      <w:r>
        <w:t xml:space="preserve"> </w:t>
      </w:r>
      <w:r>
        <w:rPr>
          <w:b/>
          <w:bCs/>
        </w:rPr>
        <w:t xml:space="preserve">fish as fauna encountered</w:t>
      </w:r>
      <w:r>
        <w:t xml:space="preserve">. Polynesian navigators used the presence of certain fish or birds to infer proximity to land. A cluster like</w:t>
      </w:r>
      <w:r>
        <w:t xml:space="preserve"> </w:t>
      </w:r>
      <w:r>
        <w:rPr>
          <w:rStyle w:val="VerbatimChar"/>
          <w:b/>
          <w:bCs/>
        </w:rPr>
        <w:t xml:space="preserve">700 – 68</w:t>
      </w:r>
      <w:r>
        <w:t xml:space="preserve"> </w:t>
      </w:r>
      <w:r>
        <w:t xml:space="preserve">could mean “fish of the deep sea” when they were far out, versus</w:t>
      </w:r>
      <w:r>
        <w:t xml:space="preserve"> </w:t>
      </w:r>
      <w:r>
        <w:rPr>
          <w:rStyle w:val="VerbatimChar"/>
          <w:b/>
          <w:bCs/>
        </w:rPr>
        <w:t xml:space="preserve">700 – 9</w:t>
      </w:r>
      <w:r>
        <w:t xml:space="preserve"> </w:t>
      </w:r>
      <w:r>
        <w:t xml:space="preserve">might imply “fish at the shore” (i.e., reaching coastal waters). Our confidence in glyph 700’s base meaning is high (0.95)</w:t>
      </w:r>
      <w:hyperlink r:id="rId80">
        <w:r>
          <w:rPr>
            <w:rStyle w:val="Hyperlink"/>
          </w:rPr>
          <w:t xml:space="preserve">[64]</w:t>
        </w:r>
      </w:hyperlink>
      <w:r>
        <w:t xml:space="preserve">, but context determines if it’s read as fish or a figurative victim. In the navigation domain, it’s straightforwardly fish.</w:t>
      </w:r>
    </w:p>
    <w:p>
      <w:pPr>
        <w:numPr>
          <w:ilvl w:val="0"/>
          <w:numId w:val="1006"/>
        </w:numPr>
      </w:pPr>
      <w:r>
        <w:rPr>
          <w:b/>
          <w:bCs/>
        </w:rPr>
        <w:t xml:space="preserve">Glyph 710 (Shark / Danger):</w:t>
      </w:r>
      <w:r>
        <w:t xml:space="preserve"> </w:t>
      </w:r>
      <w:r>
        <w:t xml:space="preserve">Glyph 710 depicts a shark or ferocious fish and means “shark” (</w:t>
      </w:r>
      <w:r>
        <w:rPr>
          <w:i/>
          <w:iCs/>
        </w:rPr>
        <w:t xml:space="preserve">mako</w:t>
      </w:r>
      <w:r>
        <w:t xml:space="preserve">) or more generally “dangerous, fierce”</w:t>
      </w:r>
      <w:hyperlink r:id="rId81">
        <w:r>
          <w:rPr>
            <w:rStyle w:val="Hyperlink"/>
          </w:rPr>
          <w:t xml:space="preserve">[65]</w:t>
        </w:r>
      </w:hyperlink>
      <w:r>
        <w:t xml:space="preserve">. A shark glyph on Tablet B would naturally signify the</w:t>
      </w:r>
      <w:r>
        <w:t xml:space="preserve"> </w:t>
      </w:r>
      <w:r>
        <w:rPr>
          <w:b/>
          <w:bCs/>
        </w:rPr>
        <w:t xml:space="preserve">dangers of the voyage</w:t>
      </w:r>
      <w:r>
        <w:t xml:space="preserve"> </w:t>
      </w:r>
      <w:r>
        <w:t xml:space="preserve">– possibly encounters with sharks at sea or using a shark as a metaphor for peril. If the explorers faced hardships (one story says one scout was killed by a shark or died at sea), glyph 710 could encode that incident. For example, the sequence around the scout Kuukuu’s death might include glyph 710 to imply a shark attack or the presence of sharks when his body was disposed. Alternatively, sharks might figure in a mythic sense (Polynesian myths often have guardian or adversary creatures). The lexicon gives glyph 710 a moderate confidence (0.65) for “shark, dangerous”</w:t>
      </w:r>
      <w:hyperlink r:id="rId82">
        <w:r>
          <w:rPr>
            <w:rStyle w:val="Hyperlink"/>
          </w:rPr>
          <w:t xml:space="preserve">[66]</w:t>
        </w:r>
      </w:hyperlink>
      <w:r>
        <w:t xml:space="preserve">. On B it likely appears sparingly, but meaningfully – marking a</w:t>
      </w:r>
      <w:r>
        <w:t xml:space="preserve"> </w:t>
      </w:r>
      <w:r>
        <w:rPr>
          <w:b/>
          <w:bCs/>
        </w:rPr>
        <w:t xml:space="preserve">treacherous part of the journey</w:t>
      </w:r>
      <w:r>
        <w:t xml:space="preserve">. Its inclusion would emphasize that the ocean voyage was not without mortal risk.</w:t>
      </w:r>
    </w:p>
    <w:p>
      <w:pPr>
        <w:numPr>
          <w:ilvl w:val="0"/>
          <w:numId w:val="1006"/>
        </w:numPr>
      </w:pPr>
      <w:r>
        <w:rPr>
          <w:b/>
          <w:bCs/>
        </w:rPr>
        <w:t xml:space="preserve">Glyph 16 (Tuna / Large Marine Creature):</w:t>
      </w:r>
      <w:r>
        <w:t xml:space="preserve"> </w:t>
      </w:r>
      <w:r>
        <w:t xml:space="preserve">Glyph 16 is interpreted as a</w:t>
      </w:r>
      <w:r>
        <w:t xml:space="preserve"> </w:t>
      </w:r>
      <w:r>
        <w:rPr>
          <w:b/>
          <w:bCs/>
        </w:rPr>
        <w:t xml:space="preserve">large fish</w:t>
      </w:r>
      <w:r>
        <w:t xml:space="preserve">, particularly a tuna (</w:t>
      </w:r>
      <w:r>
        <w:rPr>
          <w:i/>
          <w:iCs/>
        </w:rPr>
        <w:t xml:space="preserve">kahi</w:t>
      </w:r>
      <w:r>
        <w:t xml:space="preserve">), or generically “big sea creature”</w:t>
      </w:r>
      <w:hyperlink r:id="rId83">
        <w:r>
          <w:rPr>
            <w:rStyle w:val="Hyperlink"/>
          </w:rPr>
          <w:t xml:space="preserve">[67]</w:t>
        </w:r>
      </w:hyperlink>
      <w:hyperlink r:id="rId32">
        <w:r>
          <w:rPr>
            <w:rStyle w:val="Hyperlink"/>
          </w:rPr>
          <w:t xml:space="preserve">[68]</w:t>
        </w:r>
      </w:hyperlink>
      <w:r>
        <w:t xml:space="preserve">. In Rapa Nui lore, the god Tangaroa had a tuna form, and large fish could symbolize bounty or a guide. On Aruku Kurenga, glyph 16 may denote the</w:t>
      </w:r>
      <w:r>
        <w:t xml:space="preserve"> </w:t>
      </w:r>
      <w:r>
        <w:rPr>
          <w:b/>
          <w:bCs/>
        </w:rPr>
        <w:t xml:space="preserve">presence of big fish along the route</w:t>
      </w:r>
      <w:r>
        <w:t xml:space="preserve"> </w:t>
      </w:r>
      <w:r>
        <w:t xml:space="preserve">– perhaps a school of tuna encountered by the canoes. Culturally, seeing certain fish could be taken as a sign (for example, tuna run in certain currents). If Hotu Matuʻa’s navigators followed schools of tuna, the text might allude to that with glyph 16. Our internal source notes that glyph 16 appears with Tangaroa references (as Tangaroa’s incarnation as a tuna)</w:t>
      </w:r>
      <w:hyperlink r:id="rId83">
        <w:r>
          <w:rPr>
            <w:rStyle w:val="Hyperlink"/>
          </w:rPr>
          <w:t xml:space="preserve">[67]</w:t>
        </w:r>
      </w:hyperlink>
      <w:hyperlink r:id="rId84">
        <w:r>
          <w:rPr>
            <w:rStyle w:val="Hyperlink"/>
          </w:rPr>
          <w:t xml:space="preserve">[69]</w:t>
        </w:r>
      </w:hyperlink>
      <w:r>
        <w:t xml:space="preserve">, but on B it would more straightforwardly mean a significant catch or notable fish presence. Glyph 16’s interpretation is lower confidence (~0.6) because it’s broad</w:t>
      </w:r>
      <w:hyperlink r:id="rId32">
        <w:r>
          <w:rPr>
            <w:rStyle w:val="Hyperlink"/>
          </w:rPr>
          <w:t xml:space="preserve">[70]</w:t>
        </w:r>
      </w:hyperlink>
      <w:r>
        <w:t xml:space="preserve">. Still, within B’s story, a line like</w:t>
      </w:r>
      <w:r>
        <w:t xml:space="preserve"> </w:t>
      </w:r>
      <w:r>
        <w:rPr>
          <w:i/>
          <w:iCs/>
        </w:rPr>
        <w:t xml:space="preserve">“saw the great fish”</w:t>
      </w:r>
      <w:r>
        <w:t xml:space="preserve"> </w:t>
      </w:r>
      <w:r>
        <w:t xml:space="preserve">can be a poetic way to indicate reaching a certain ocean zone. So we include glyph 16 as part of the</w:t>
      </w:r>
      <w:r>
        <w:t xml:space="preserve"> </w:t>
      </w:r>
      <w:r>
        <w:rPr>
          <w:b/>
          <w:bCs/>
        </w:rPr>
        <w:t xml:space="preserve">marine life narrative</w:t>
      </w:r>
      <w:r>
        <w:t xml:space="preserve">.</w:t>
      </w:r>
    </w:p>
    <w:p>
      <w:pPr>
        <w:numPr>
          <w:ilvl w:val="0"/>
          <w:numId w:val="1006"/>
        </w:numPr>
      </w:pPr>
      <w:r>
        <w:rPr>
          <w:b/>
          <w:bCs/>
        </w:rPr>
        <w:t xml:space="preserve">Glyph 68 (Deep-sea Creature):</w:t>
      </w:r>
      <w:r>
        <w:t xml:space="preserve"> </w:t>
      </w:r>
      <w:r>
        <w:t xml:space="preserve">Glyph 68 signifies creatures of the deep ocean or “sea life of the depths”</w:t>
      </w:r>
      <w:hyperlink r:id="rId85">
        <w:r>
          <w:rPr>
            <w:rStyle w:val="Hyperlink"/>
          </w:rPr>
          <w:t xml:space="preserve">[71]</w:t>
        </w:r>
      </w:hyperlink>
      <w:r>
        <w:t xml:space="preserve">. It may represent a generic fish or animal that lives farther from shore (perhaps a shark, whale, or deep-water fish). On the scouts’ exploratory journey, before they found land, they would have been in the open ocean – glyph 68 could mark that</w:t>
      </w:r>
      <w:r>
        <w:t xml:space="preserve"> </w:t>
      </w:r>
      <w:r>
        <w:rPr>
          <w:b/>
          <w:bCs/>
        </w:rPr>
        <w:t xml:space="preserve">open-sea phase</w:t>
      </w:r>
      <w:r>
        <w:t xml:space="preserve"> </w:t>
      </w:r>
      <w:r>
        <w:t xml:space="preserve">(encountering open-ocean fauna). Later, as they neared the island, littoral or reef creatures might replace it (like turtles or small fish). Indeed, we might see glyph 68 in the early part of a voyage sequence, then glyph 11 or others as they approach land. Lexically, glyph 68 is moderate confidence (0.6) for “sea creature (deep)”</w:t>
      </w:r>
      <w:hyperlink r:id="rId85">
        <w:r>
          <w:rPr>
            <w:rStyle w:val="Hyperlink"/>
          </w:rPr>
          <w:t xml:space="preserve">[71]</w:t>
        </w:r>
      </w:hyperlink>
      <w:r>
        <w:t xml:space="preserve">. For example, a cluster</w:t>
      </w:r>
      <w:r>
        <w:t xml:space="preserve"> </w:t>
      </w:r>
      <w:r>
        <w:rPr>
          <w:rStyle w:val="VerbatimChar"/>
          <w:b/>
          <w:bCs/>
        </w:rPr>
        <w:t xml:space="preserve">68 – 700 – 62 – 9</w:t>
      </w:r>
      <w:r>
        <w:t xml:space="preserve"> </w:t>
      </w:r>
      <w:r>
        <w:t xml:space="preserve">might poetically mean “deep-sea fish… then [arrive at] beach.” Thus, glyph 68 helps paint the</w:t>
      </w:r>
      <w:r>
        <w:t xml:space="preserve"> </w:t>
      </w:r>
      <w:r>
        <w:rPr>
          <w:b/>
          <w:bCs/>
        </w:rPr>
        <w:t xml:space="preserve">marine setting</w:t>
      </w:r>
      <w:r>
        <w:t xml:space="preserve">, indicating when the voyagers were in the vast deep ocean.</w:t>
      </w:r>
    </w:p>
    <w:p>
      <w:pPr>
        <w:numPr>
          <w:ilvl w:val="0"/>
          <w:numId w:val="1006"/>
        </w:numPr>
      </w:pPr>
      <w:r>
        <w:rPr>
          <w:b/>
          <w:bCs/>
        </w:rPr>
        <w:t xml:space="preserve">Glyph 12 (Swimming Figure):</w:t>
      </w:r>
      <w:r>
        <w:t xml:space="preserve"> </w:t>
      </w:r>
      <w:r>
        <w:t xml:space="preserve">Glyph 12 shows an anthropomorphic figure in a swimming posture and implies “swimming” or “aquatic motion”</w:t>
      </w:r>
      <w:hyperlink r:id="rId86">
        <w:r>
          <w:rPr>
            <w:rStyle w:val="Hyperlink"/>
          </w:rPr>
          <w:t xml:space="preserve">[72]</w:t>
        </w:r>
      </w:hyperlink>
      <w:r>
        <w:t xml:space="preserve">. This glyph is quite pertinent in Tablet B during the</w:t>
      </w:r>
      <w:r>
        <w:t xml:space="preserve"> </w:t>
      </w:r>
      <w:r>
        <w:rPr>
          <w:b/>
          <w:bCs/>
        </w:rPr>
        <w:t xml:space="preserve">scout expedition’s tragic episode</w:t>
      </w:r>
      <w:r>
        <w:t xml:space="preserve">: one of the scouts reportedly drowned or died, and glyph 12 appears alongside glyph 13 (cave) in that context. The combination likely reads as</w:t>
      </w:r>
      <w:r>
        <w:t xml:space="preserve"> </w:t>
      </w:r>
      <w:r>
        <w:rPr>
          <w:i/>
          <w:iCs/>
        </w:rPr>
        <w:t xml:space="preserve">“swims/drowns – (dies) – cave”</w:t>
      </w:r>
      <w:r>
        <w:t xml:space="preserve">, capturing how the scout perished in water and was buried in a cave</w:t>
      </w:r>
      <w:hyperlink r:id="rId87">
        <w:r>
          <w:rPr>
            <w:rStyle w:val="Hyperlink"/>
          </w:rPr>
          <w:t xml:space="preserve">[73]</w:t>
        </w:r>
      </w:hyperlink>
      <w:r>
        <w:t xml:space="preserve">. More broadly, glyph 12 on B can indicate</w:t>
      </w:r>
      <w:r>
        <w:t xml:space="preserve"> </w:t>
      </w:r>
      <w:r>
        <w:rPr>
          <w:b/>
          <w:bCs/>
        </w:rPr>
        <w:t xml:space="preserve">movement through water</w:t>
      </w:r>
      <w:r>
        <w:t xml:space="preserve">. It might be used to describe the act of the explorers</w:t>
      </w:r>
      <w:r>
        <w:t xml:space="preserve"> </w:t>
      </w:r>
      <w:r>
        <w:rPr>
          <w:i/>
          <w:iCs/>
        </w:rPr>
        <w:t xml:space="preserve">swimming ashore</w:t>
      </w:r>
      <w:r>
        <w:t xml:space="preserve"> </w:t>
      </w:r>
      <w:r>
        <w:t xml:space="preserve">when their canoe landed or</w:t>
      </w:r>
      <w:r>
        <w:t xml:space="preserve"> </w:t>
      </w:r>
      <w:r>
        <w:rPr>
          <w:i/>
          <w:iCs/>
        </w:rPr>
        <w:t xml:space="preserve">wading through surf</w:t>
      </w:r>
      <w:r>
        <w:t xml:space="preserve">. Its meaning “swimming creature or action” is not very specific (confidence ~0.55)</w:t>
      </w:r>
      <w:hyperlink r:id="rId86">
        <w:r>
          <w:rPr>
            <w:rStyle w:val="Hyperlink"/>
          </w:rPr>
          <w:t xml:space="preserve">[72]</w:t>
        </w:r>
      </w:hyperlink>
      <w:r>
        <w:t xml:space="preserve">, but context clarifies it (paired with a person glyph, it means a person swimming). On Aruku Kurenga, we find glyph 12 in precisely the scenario of a scout’s death, confirming its role to depict that watery scene. Thus, glyph 12 anchors a crucial narrative moment in the navigation storyline – it conveys the physical act (and peril) of being in the water.</w:t>
      </w:r>
    </w:p>
    <w:p>
      <w:pPr>
        <w:numPr>
          <w:ilvl w:val="0"/>
          <w:numId w:val="1006"/>
        </w:numPr>
      </w:pPr>
      <w:r>
        <w:rPr>
          <w:b/>
          <w:bCs/>
        </w:rPr>
        <w:t xml:space="preserve">Glyph 11 (Small Fish):</w:t>
      </w:r>
      <w:r>
        <w:t xml:space="preserve"> </w:t>
      </w:r>
      <w:r>
        <w:t xml:space="preserve">Glyph 11 is a variant indicating “small fish” or minor marine life</w:t>
      </w:r>
      <w:hyperlink r:id="rId88">
        <w:r>
          <w:rPr>
            <w:rStyle w:val="Hyperlink"/>
          </w:rPr>
          <w:t xml:space="preserve">[74]</w:t>
        </w:r>
      </w:hyperlink>
      <w:r>
        <w:t xml:space="preserve">. If glyph 700 is the generic fish (or big fish), glyph 11 could refer to smaller fishes (perhaps reef fish near the island). On approaching Rapa Nui, the explorers might have noticed reef fish as a sign of land. Glyph 11 might then occur near the mention of the shoreline, to suggest “the waters teemed with little fish” – a typical detail in traditional narratives signifying arrival at a fertile shore. While we are not certain if glyph 11 specifically appears on B (it’s attested generally with lower frequency, 6†L489-L497), its presence would reinforce that transition from the open ocean (with glyph 68 deep fish) to coastal waters (with glyph 11 small fish). Essentially, glyph 11 would fit the</w:t>
      </w:r>
      <w:r>
        <w:t xml:space="preserve"> </w:t>
      </w:r>
      <w:r>
        <w:rPr>
          <w:i/>
          <w:iCs/>
        </w:rPr>
        <w:t xml:space="preserve">final approach</w:t>
      </w:r>
      <w:r>
        <w:t xml:space="preserve"> </w:t>
      </w:r>
      <w:r>
        <w:t xml:space="preserve">of the navigation domain.</w:t>
      </w:r>
    </w:p>
    <w:p>
      <w:pPr>
        <w:pStyle w:val="FirstParagraph"/>
      </w:pPr>
      <w:r>
        <w:t xml:space="preserve">Bringing these together, Tablet B intermixes</w:t>
      </w:r>
      <w:r>
        <w:t xml:space="preserve"> </w:t>
      </w:r>
      <w:r>
        <w:rPr>
          <w:b/>
          <w:bCs/>
        </w:rPr>
        <w:t xml:space="preserve">marine environmental cues</w:t>
      </w:r>
      <w:r>
        <w:t xml:space="preserve"> </w:t>
      </w:r>
      <w:r>
        <w:t xml:space="preserve">into the voyage story. The explorers’ path is charted not by coordinates, but by narrative mentions of fish, sharks, and the act of moving through water. This not only grounds the story in reality (long sea voyages inherently involve marine encounters) but also might encode practical navigation knowledge: for example,</w:t>
      </w:r>
      <w:r>
        <w:t xml:space="preserve"> </w:t>
      </w:r>
      <w:r>
        <w:rPr>
          <w:i/>
          <w:iCs/>
        </w:rPr>
        <w:t xml:space="preserve">“when you see tuna (glyph 16) and certain birds, land is near”</w:t>
      </w:r>
      <w:r>
        <w:t xml:space="preserve"> </w:t>
      </w:r>
      <w:r>
        <w:t xml:space="preserve">– such wisdom could be embedded in the mythic recounting. We note that our decipherment confidence on individual marine glyphs varies – glyph 9 “beach” and glyph 12 “swimming” are strongly supported by context</w:t>
      </w:r>
      <w:hyperlink r:id="rId40">
        <w:r>
          <w:rPr>
            <w:rStyle w:val="Hyperlink"/>
          </w:rPr>
          <w:t xml:space="preserve">[23]</w:t>
        </w:r>
      </w:hyperlink>
      <w:hyperlink r:id="rId87">
        <w:r>
          <w:rPr>
            <w:rStyle w:val="Hyperlink"/>
          </w:rPr>
          <w:t xml:space="preserve">[73]</w:t>
        </w:r>
      </w:hyperlink>
      <w:r>
        <w:t xml:space="preserve">, whereas glyph 16 “tuna” and glyph 68 “deep fish” are more contextual and tentative. Yet, collectively, the pattern is compelling. Each voyage sequence likely followed a template of</w:t>
      </w:r>
      <w:r>
        <w:t xml:space="preserve"> </w:t>
      </w:r>
      <w:r>
        <w:rPr>
          <w:b/>
          <w:bCs/>
        </w:rPr>
        <w:t xml:space="preserve">Leaving (sea creatures) → Journey (perhaps hazard like sharks) → Arrival (beach)</w:t>
      </w:r>
      <w:r>
        <w:t xml:space="preserve">. In fact, Butinov &amp; Knorozov remarked that the sequences on B have identical structure and only a few glyph differences</w:t>
      </w:r>
      <w:hyperlink r:id="rId29">
        <w:r>
          <w:rPr>
            <w:rStyle w:val="Hyperlink"/>
          </w:rPr>
          <w:t xml:space="preserve">[9]</w:t>
        </w:r>
      </w:hyperlink>
      <w:r>
        <w:t xml:space="preserve">. It’s plausible those differences are exactly these marine details – e.g., one voyage might mention a shark incident (glyph 710) while another doesn’t; one might note specific fish whereas another has a different sign. Such differences could correspond to known variations in the three expedition stories (the dream voyage has no actual canoe hence maybe fewer fish mentioned, the scout voyage has the drowning, the main voyage has the colonists and maybe an easier landing). Thus, reading Aruku Kurenga through the</w:t>
      </w:r>
      <w:r>
        <w:t xml:space="preserve"> </w:t>
      </w:r>
      <w:r>
        <w:rPr>
          <w:b/>
          <w:bCs/>
        </w:rPr>
        <w:t xml:space="preserve">navigation and marine life lens</w:t>
      </w:r>
      <w:r>
        <w:t xml:space="preserve"> </w:t>
      </w:r>
      <w:r>
        <w:t xml:space="preserve">reveals a rich subtext: it’s not just a list of names, it’s a tale of crossing the sea, replete with the sights, creatures, and perils the voyagers encountered.</w:t>
      </w:r>
    </w:p>
    <w:bookmarkEnd w:id="89"/>
    <w:bookmarkStart w:id="98" w:name="mythological-sequence-markers"/>
    <w:p>
      <w:pPr>
        <w:pStyle w:val="Heading3"/>
      </w:pPr>
      <w:r>
        <w:t xml:space="preserve">Mythological Sequence Markers</w:t>
      </w:r>
    </w:p>
    <w:p>
      <w:pPr>
        <w:pStyle w:val="FirstParagraph"/>
      </w:pPr>
      <w:r>
        <w:t xml:space="preserve">Finally, Tablet B contains hints of</w:t>
      </w:r>
      <w:r>
        <w:t xml:space="preserve"> </w:t>
      </w:r>
      <w:r>
        <w:rPr>
          <w:b/>
          <w:bCs/>
        </w:rPr>
        <w:t xml:space="preserve">mythological or cosmological motifs</w:t>
      </w:r>
      <w:r>
        <w:t xml:space="preserve"> </w:t>
      </w:r>
      <w:r>
        <w:t xml:space="preserve">interwoven with the historical narrative. Rapa Nui’s founding legend is part history, part myth – involving prophetic dreams, sacred landmarks, and symbolic creatures. The rongorongo text likely encodes some of these mythic elements through specific glyph sequences:</w:t>
      </w:r>
    </w:p>
    <w:p>
      <w:pPr>
        <w:numPr>
          <w:ilvl w:val="0"/>
          <w:numId w:val="1007"/>
        </w:numPr>
      </w:pPr>
      <w:r>
        <w:rPr>
          <w:b/>
          <w:bCs/>
        </w:rPr>
        <w:t xml:space="preserve">Glyph 610 (Cosmic Egg – Origin):</w:t>
      </w:r>
      <w:r>
        <w:t xml:space="preserve"> </w:t>
      </w:r>
      <w:r>
        <w:t xml:space="preserve">Although not explicitly found on Aruku Kurenga (it is prominent on other tablets), the concept of an</w:t>
      </w:r>
      <w:r>
        <w:t xml:space="preserve"> </w:t>
      </w:r>
      <w:r>
        <w:rPr>
          <w:b/>
          <w:bCs/>
        </w:rPr>
        <w:t xml:space="preserve">“origin egg”</w:t>
      </w:r>
      <w:r>
        <w:t xml:space="preserve"> </w:t>
      </w:r>
      <w:r>
        <w:t xml:space="preserve">is relevant. Glyph 610 (an oval shape) symbolizes the</w:t>
      </w:r>
      <w:r>
        <w:t xml:space="preserve"> </w:t>
      </w:r>
      <w:r>
        <w:rPr>
          <w:i/>
          <w:iCs/>
        </w:rPr>
        <w:t xml:space="preserve">cosmogonic egg or origin point</w:t>
      </w:r>
      <w:hyperlink r:id="rId90">
        <w:r>
          <w:rPr>
            <w:rStyle w:val="Hyperlink"/>
          </w:rPr>
          <w:t xml:space="preserve">[75]</w:t>
        </w:r>
      </w:hyperlink>
      <w:hyperlink r:id="rId91">
        <w:r>
          <w:rPr>
            <w:rStyle w:val="Hyperlink"/>
          </w:rPr>
          <w:t xml:space="preserve">[76]</w:t>
        </w:r>
      </w:hyperlink>
      <w:r>
        <w:t xml:space="preserve">. In Rapa Nui creation lore, the world can be poetically described as emerging from an egg, and in the Birdman cult the egg is central. If Tablet B includes any cosmogonical reference (for instance, describing the island as the “egg” of creation or the destination as the “birth of a new land”), glyph 610 might have been used. However, our sources show glyph 610 occurs on the Staff and Small Santiago, not clearly on B</w:t>
      </w:r>
      <w:hyperlink r:id="rId92">
        <w:r>
          <w:rPr>
            <w:rStyle w:val="Hyperlink"/>
          </w:rPr>
          <w:t xml:space="preserve">[77]</w:t>
        </w:r>
      </w:hyperlink>
      <w:r>
        <w:t xml:space="preserve">. It’s possible that instead of the literal egg glyph, Aruku Kurenga used the word</w:t>
      </w:r>
      <w:r>
        <w:t xml:space="preserve"> </w:t>
      </w:r>
      <w:r>
        <w:rPr>
          <w:i/>
          <w:iCs/>
        </w:rPr>
        <w:t xml:space="preserve">timu</w:t>
      </w:r>
      <w:r>
        <w:t xml:space="preserve"> </w:t>
      </w:r>
      <w:r>
        <w:t xml:space="preserve">or</w:t>
      </w:r>
      <w:r>
        <w:t xml:space="preserve"> </w:t>
      </w:r>
      <w:r>
        <w:rPr>
          <w:i/>
          <w:iCs/>
        </w:rPr>
        <w:t xml:space="preserve">mata</w:t>
      </w:r>
      <w:r>
        <w:t xml:space="preserve"> </w:t>
      </w:r>
      <w:r>
        <w:t xml:space="preserve">(beginning) via glyph 32 as mentioned. So while the</w:t>
      </w:r>
      <w:r>
        <w:t xml:space="preserve"> </w:t>
      </w:r>
      <w:r>
        <w:rPr>
          <w:b/>
          <w:bCs/>
        </w:rPr>
        <w:t xml:space="preserve">egg motif</w:t>
      </w:r>
      <w:r>
        <w:t xml:space="preserve"> </w:t>
      </w:r>
      <w:r>
        <w:t xml:space="preserve">(origin) is conceptually fitting (Phase 5.5 analysis on Mamari dealt with it heavily), it may not be visibly present in Phase 5.6’s Tablet B. If present, it would mark the</w:t>
      </w:r>
      <w:r>
        <w:t xml:space="preserve"> </w:t>
      </w:r>
      <w:r>
        <w:rPr>
          <w:i/>
          <w:iCs/>
        </w:rPr>
        <w:t xml:space="preserve">mythic beginning of the voyage as part of a larger creation narrative</w:t>
      </w:r>
      <w:r>
        <w:t xml:space="preserve">, but given the lack of direct evidence, we acknowledge it as an undercurrent rather than a confirmed glyph on B.</w:t>
      </w:r>
    </w:p>
    <w:p>
      <w:pPr>
        <w:numPr>
          <w:ilvl w:val="0"/>
          <w:numId w:val="1007"/>
        </w:numPr>
      </w:pPr>
      <w:r>
        <w:rPr>
          <w:b/>
          <w:bCs/>
        </w:rPr>
        <w:t xml:space="preserve">Glyph 69 (Lizard – Atua Moko):</w:t>
      </w:r>
      <w:r>
        <w:t xml:space="preserve"> </w:t>
      </w:r>
      <w:r>
        <w:t xml:space="preserve">This glyph depicts a lizard or gecko and in Rapa Nui belief is linked to the</w:t>
      </w:r>
      <w:r>
        <w:t xml:space="preserve"> </w:t>
      </w:r>
      <w:r>
        <w:rPr>
          <w:b/>
          <w:bCs/>
        </w:rPr>
        <w:t xml:space="preserve">rain god Hiro</w:t>
      </w:r>
      <w:r>
        <w:t xml:space="preserve"> </w:t>
      </w:r>
      <w:r>
        <w:t xml:space="preserve">and also used as a metaphor for the new moon</w:t>
      </w:r>
      <w:hyperlink r:id="rId93">
        <w:r>
          <w:rPr>
            <w:rStyle w:val="Hyperlink"/>
          </w:rPr>
          <w:t xml:space="preserve">[78]</w:t>
        </w:r>
      </w:hyperlink>
      <w:hyperlink r:id="rId94">
        <w:r>
          <w:rPr>
            <w:rStyle w:val="Hyperlink"/>
          </w:rPr>
          <w:t xml:space="preserve">[79]</w:t>
        </w:r>
      </w:hyperlink>
      <w:r>
        <w:t xml:space="preserve">. Mythologically, a lizard can represent a deity or a transformative being. If the text Aruku Kurenga included a mythic aside – for example, Hau-Maka invoking the god Hiro for rain or success – glyph 69 could appear. It might also mark a time (if new moon was the time to depart). However, lexicon data suggests glyph 69 is attested on Mamari and the Staff, but not explicitly on B</w:t>
      </w:r>
      <w:hyperlink r:id="rId65">
        <w:r>
          <w:rPr>
            <w:rStyle w:val="Hyperlink"/>
          </w:rPr>
          <w:t xml:space="preserve">[80]</w:t>
        </w:r>
      </w:hyperlink>
      <w:r>
        <w:t xml:space="preserve">. This implies that the</w:t>
      </w:r>
      <w:r>
        <w:t xml:space="preserve"> </w:t>
      </w:r>
      <w:r>
        <w:rPr>
          <w:b/>
          <w:bCs/>
        </w:rPr>
        <w:t xml:space="preserve">Hiro/lizard motif</w:t>
      </w:r>
      <w:r>
        <w:t xml:space="preserve"> </w:t>
      </w:r>
      <w:r>
        <w:t xml:space="preserve">might not have been recorded in the B text, or if Hau-Maka’s dream had elements of calling on Hiro, they weren’t spelled out. It’s more likely that if a lizard appears, it’s in a decorative or honorific capacity (perhaps part of a place name or epithet). For example, if a location name in the scouts’ journey was “Lizard Bay,” glyph 69 would stand for “lizard.” With moderate confidence in its meaning (0.85)</w:t>
      </w:r>
      <w:hyperlink r:id="rId93">
        <w:r>
          <w:rPr>
            <w:rStyle w:val="Hyperlink"/>
          </w:rPr>
          <w:t xml:space="preserve">[78]</w:t>
        </w:r>
      </w:hyperlink>
      <w:r>
        <w:t xml:space="preserve">, glyph 69 remains more tied to Mamari’s lunar sequence in our analysis than to Aruku Kurenga’s content.</w:t>
      </w:r>
    </w:p>
    <w:p>
      <w:pPr>
        <w:numPr>
          <w:ilvl w:val="0"/>
          <w:numId w:val="1007"/>
        </w:numPr>
      </w:pPr>
      <w:r>
        <w:rPr>
          <w:b/>
          <w:bCs/>
        </w:rPr>
        <w:t xml:space="preserve">Glyph 13 (Cave –</w:t>
      </w:r>
      <w:r>
        <w:rPr>
          <w:b/>
          <w:bCs/>
        </w:rPr>
        <w:t xml:space="preserve"> </w:t>
      </w:r>
      <w:r>
        <w:rPr>
          <w:b/>
          <w:bCs/>
          <w:i/>
          <w:iCs/>
        </w:rPr>
        <w:t xml:space="preserve">Ana</w:t>
      </w:r>
      <w:r>
        <w:rPr>
          <w:b/>
          <w:bCs/>
        </w:rPr>
        <w:t xml:space="preserve">, Tomb):</w:t>
      </w:r>
      <w:r>
        <w:t xml:space="preserve"> </w:t>
      </w:r>
      <w:r>
        <w:t xml:space="preserve">This glyph has enormous mythological significance on Tablet B. Glyph 13 is the</w:t>
      </w:r>
      <w:r>
        <w:t xml:space="preserve"> </w:t>
      </w:r>
      <w:r>
        <w:rPr>
          <w:b/>
          <w:bCs/>
        </w:rPr>
        <w:t xml:space="preserve">cave or burial vault symbol</w:t>
      </w:r>
      <w:r>
        <w:t xml:space="preserve">, and on Aruku Kurenga it is directly linked to the scout’s death and entombment in a cave</w:t>
      </w:r>
      <w:hyperlink r:id="rId87">
        <w:r>
          <w:rPr>
            <w:rStyle w:val="Hyperlink"/>
          </w:rPr>
          <w:t xml:space="preserve">[73]</w:t>
        </w:r>
      </w:hyperlink>
      <w:r>
        <w:t xml:space="preserve">. Mythologically, caves on Rapa Nui are often entrances to the spirit world or places of refuge for important events (the first king was said to hide in a cave at one point). In the migration legend, one of the seven scouts (Kuukuu) dies and is laid in the cave of</w:t>
      </w:r>
      <w:r>
        <w:t xml:space="preserve"> </w:t>
      </w:r>
      <w:r>
        <w:rPr>
          <w:i/>
          <w:iCs/>
        </w:rPr>
        <w:t xml:space="preserve">Ana Pehe</w:t>
      </w:r>
      <w:r>
        <w:t xml:space="preserve"> </w:t>
      </w:r>
      <w:r>
        <w:t xml:space="preserve">on Rapa Nui. Tablet B indeed encodes this: glyph 13 appears in that sequence with the notes confirming “confirmed by context of scout being buried in a cave”</w:t>
      </w:r>
      <w:hyperlink r:id="rId87">
        <w:r>
          <w:rPr>
            <w:rStyle w:val="Hyperlink"/>
          </w:rPr>
          <w:t xml:space="preserve">[73]</w:t>
        </w:r>
      </w:hyperlink>
      <w:r>
        <w:t xml:space="preserve">. Metoro’s rare accurate utterance</w:t>
      </w:r>
      <w:r>
        <w:t xml:space="preserve"> </w:t>
      </w:r>
      <w:r>
        <w:rPr>
          <w:i/>
          <w:iCs/>
        </w:rPr>
        <w:t xml:space="preserve">“kuukuu”</w:t>
      </w:r>
      <w:r>
        <w:t xml:space="preserve"> </w:t>
      </w:r>
      <w:r>
        <w:t xml:space="preserve">at that point supports that glyph 13 triggered the memory of the buried scout Kuukuu</w:t>
      </w:r>
      <w:hyperlink r:id="rId27">
        <w:r>
          <w:rPr>
            <w:rStyle w:val="Hyperlink"/>
          </w:rPr>
          <w:t xml:space="preserve">[7]</w:t>
        </w:r>
      </w:hyperlink>
      <w:r>
        <w:t xml:space="preserve">. Thus, glyph 13 on B is not just a factual detail but a</w:t>
      </w:r>
      <w:r>
        <w:t xml:space="preserve"> </w:t>
      </w:r>
      <w:r>
        <w:rPr>
          <w:b/>
          <w:bCs/>
        </w:rPr>
        <w:t xml:space="preserve">mythic marker</w:t>
      </w:r>
      <w:r>
        <w:t xml:space="preserve"> </w:t>
      </w:r>
      <w:r>
        <w:t xml:space="preserve">– it ties the text to a known legendary event. This event (the sacrificial scout or the first death on the new land) has ritual overtones too; Kuukuu’s death is sometimes portrayed as the</w:t>
      </w:r>
      <w:r>
        <w:t xml:space="preserve"> </w:t>
      </w:r>
      <w:r>
        <w:rPr>
          <w:b/>
          <w:bCs/>
        </w:rPr>
        <w:t xml:space="preserve">first human death on Rapa Nui</w:t>
      </w:r>
      <w:r>
        <w:t xml:space="preserve">, giving him an almost sacrificial status. Our model gives high confidence (0.85) to glyph 13 meaning “cave/tomb”</w:t>
      </w:r>
      <w:hyperlink r:id="rId95">
        <w:r>
          <w:rPr>
            <w:rStyle w:val="Hyperlink"/>
          </w:rPr>
          <w:t xml:space="preserve">[81]</w:t>
        </w:r>
      </w:hyperlink>
      <w:hyperlink r:id="rId87">
        <w:r>
          <w:rPr>
            <w:rStyle w:val="Hyperlink"/>
          </w:rPr>
          <w:t xml:space="preserve">[73]</w:t>
        </w:r>
      </w:hyperlink>
      <w:r>
        <w:t xml:space="preserve">, and on B it appears</w:t>
      </w:r>
      <w:r>
        <w:t xml:space="preserve"> </w:t>
      </w:r>
      <w:r>
        <w:rPr>
          <w:i/>
          <w:iCs/>
        </w:rPr>
        <w:t xml:space="preserve">18 times</w:t>
      </w:r>
      <w:hyperlink r:id="rId95">
        <w:r>
          <w:rPr>
            <w:rStyle w:val="Hyperlink"/>
          </w:rPr>
          <w:t xml:space="preserve">[81]</w:t>
        </w:r>
      </w:hyperlink>
      <w:r>
        <w:t xml:space="preserve">, indicating multiple references to caves/tombs. Possibly the text enumerates more than one cave (maybe listing the cave names Hau-Maka dreamt of, as he named various places including caves). If Hau-Maka’s dream section included him naming the island’s features, several caves might be listed – which could explain the surprisingly high count of 13 occurrences. That means Aruku Kurenga isn’t just recounting Kuukuu’s burial; it might list multiple</w:t>
      </w:r>
      <w:r>
        <w:t xml:space="preserve"> </w:t>
      </w:r>
      <w:r>
        <w:rPr>
          <w:b/>
          <w:bCs/>
        </w:rPr>
        <w:t xml:space="preserve">mythic caves</w:t>
      </w:r>
      <w:r>
        <w:t xml:space="preserve"> </w:t>
      </w:r>
      <w:r>
        <w:t xml:space="preserve">(perhaps places where important events would happen, like Oraongo or Poike caves). In mythic terms, caves are where the</w:t>
      </w:r>
      <w:r>
        <w:t xml:space="preserve"> </w:t>
      </w:r>
      <w:r>
        <w:rPr>
          <w:b/>
          <w:bCs/>
        </w:rPr>
        <w:t xml:space="preserve">spirit (mana) of the land resides</w:t>
      </w:r>
      <w:r>
        <w:t xml:space="preserve">, so their prominence on B underscores the voyage’s spiritual dimension – arriving not just to an empty land but a land with sanctified caves awaiting.</w:t>
      </w:r>
    </w:p>
    <w:p>
      <w:pPr>
        <w:numPr>
          <w:ilvl w:val="0"/>
          <w:numId w:val="1007"/>
        </w:numPr>
      </w:pPr>
      <w:r>
        <w:rPr>
          <w:b/>
          <w:bCs/>
        </w:rPr>
        <w:t xml:space="preserve">Glyph 610 + 606 (Egg + Flock of Birds):</w:t>
      </w:r>
      <w:r>
        <w:t xml:space="preserve"> </w:t>
      </w:r>
      <w:r>
        <w:t xml:space="preserve">A speculative but intriguing cluster: on the Small Santiago text and others, a cosmic egg (610) plus a flock of birds (606) appear in creation sequences</w:t>
      </w:r>
      <w:hyperlink r:id="rId96">
        <w:r>
          <w:rPr>
            <w:rStyle w:val="Hyperlink"/>
          </w:rPr>
          <w:t xml:space="preserve">[82]</w:t>
        </w:r>
      </w:hyperlink>
      <w:hyperlink r:id="rId97">
        <w:r>
          <w:rPr>
            <w:rStyle w:val="Hyperlink"/>
          </w:rPr>
          <w:t xml:space="preserve">[83]</w:t>
        </w:r>
      </w:hyperlink>
      <w:r>
        <w:t xml:space="preserve">. If Aruku Kurenga has any similar cluster, it could indicate a mythic statement like “from the cosmic egg sprang the birds/spirits.” However, given B’s content, such overt cosmogony is unlikely. Still, we note that the</w:t>
      </w:r>
      <w:r>
        <w:t xml:space="preserve"> </w:t>
      </w:r>
      <w:r>
        <w:rPr>
          <w:b/>
          <w:bCs/>
        </w:rPr>
        <w:t xml:space="preserve">birds (606 plural)</w:t>
      </w:r>
      <w:r>
        <w:t xml:space="preserve"> </w:t>
      </w:r>
      <w:r>
        <w:t xml:space="preserve">might be present if describing the flocks that led the canoes – Polynesian migrations often followed birds flying toward land. If the scouts followed seabirds to find Rapa Nui, a glyph 600 (bird) or 606 (birds plural) could depict that. For instance, a line could say</w:t>
      </w:r>
      <w:r>
        <w:t xml:space="preserve"> </w:t>
      </w:r>
      <w:r>
        <w:rPr>
          <w:i/>
          <w:iCs/>
        </w:rPr>
        <w:t xml:space="preserve">“saw the birds – reached land”</w:t>
      </w:r>
      <w:r>
        <w:t xml:space="preserve">. While we have evidence of glyph 600 on B due to its commonality, glyph 606 (plural birds) is mostly on the Staff creation chant</w:t>
      </w:r>
      <w:hyperlink r:id="rId96">
        <w:r>
          <w:rPr>
            <w:rStyle w:val="Hyperlink"/>
          </w:rPr>
          <w:t xml:space="preserve">[82]</w:t>
        </w:r>
      </w:hyperlink>
      <w:r>
        <w:t xml:space="preserve">. So this remains an extrapolation.</w:t>
      </w:r>
    </w:p>
    <w:p>
      <w:pPr>
        <w:numPr>
          <w:ilvl w:val="0"/>
          <w:numId w:val="1007"/>
        </w:numPr>
      </w:pPr>
      <w:r>
        <w:rPr>
          <w:b/>
          <w:bCs/>
        </w:rPr>
        <w:t xml:space="preserve">Composite “Birdman” Motif:</w:t>
      </w:r>
      <w:r>
        <w:t xml:space="preserve"> </w:t>
      </w:r>
      <w:r>
        <w:t xml:space="preserve">A true</w:t>
      </w:r>
      <w:r>
        <w:t xml:space="preserve"> </w:t>
      </w:r>
      <w:r>
        <w:rPr>
          <w:i/>
          <w:iCs/>
        </w:rPr>
        <w:t xml:space="preserve">birdman</w:t>
      </w:r>
      <w:r>
        <w:t xml:space="preserve"> </w:t>
      </w:r>
      <w:r>
        <w:t xml:space="preserve">glyph (a human figure with a bird head, representing</w:t>
      </w:r>
      <w:r>
        <w:t xml:space="preserve"> </w:t>
      </w:r>
      <w:r>
        <w:rPr>
          <w:i/>
          <w:iCs/>
        </w:rPr>
        <w:t xml:space="preserve">Tangata Manu</w:t>
      </w:r>
      <w:r>
        <w:t xml:space="preserve">) is not separately catalogued in Barthel’s system as a single glyph number, but combinations of glyphs can depict it. The birdman cult post-dates initial settlement by many centuries, so we wouldn’t expect an explicit birdman reference in a text about first arrival. Thus Tablet B likely does</w:t>
      </w:r>
      <w:r>
        <w:t xml:space="preserve"> </w:t>
      </w:r>
      <w:r>
        <w:rPr>
          <w:i/>
          <w:iCs/>
        </w:rPr>
        <w:t xml:space="preserve">not</w:t>
      </w:r>
      <w:r>
        <w:t xml:space="preserve"> </w:t>
      </w:r>
      <w:r>
        <w:t xml:space="preserve">mention the birdman competition or Makemake explicitly by name. Any bird or birdman imagery on B is more symbolic (as described with glyph 600). Therefore, we conclude that</w:t>
      </w:r>
      <w:r>
        <w:t xml:space="preserve"> </w:t>
      </w:r>
      <w:r>
        <w:rPr>
          <w:b/>
          <w:bCs/>
        </w:rPr>
        <w:t xml:space="preserve">explicit birdman myth sequences are absent from Aruku Kurenga</w:t>
      </w:r>
      <w:r>
        <w:t xml:space="preserve">, consistent with its focus on the earlier epoch of Hotu Matuʻa. This is noteworthy because it differentiates B from texts like the Staff, which may encode later religious practices.</w:t>
      </w:r>
    </w:p>
    <w:p>
      <w:pPr>
        <w:pStyle w:val="FirstParagraph"/>
      </w:pPr>
      <w:r>
        <w:t xml:space="preserve">In conclusion, the</w:t>
      </w:r>
      <w:r>
        <w:t xml:space="preserve"> </w:t>
      </w:r>
      <w:r>
        <w:rPr>
          <w:b/>
          <w:bCs/>
        </w:rPr>
        <w:t xml:space="preserve">mythological layer</w:t>
      </w:r>
      <w:r>
        <w:t xml:space="preserve"> </w:t>
      </w:r>
      <w:r>
        <w:t xml:space="preserve">of Tablet B is present but subtle. It manifests in references to sacred caves, possibly dream omens (sun/star guidance), and the ritual framing of events (the sacrifice of a scout, the divine blessing through birds or signs). These elements bridge the gap between straightforward travelogue and sacred legend. The narrative captured by the glyphs thus operates on two levels: a concrete journey and a mythic journey. Phase 5.6 analysis confirms that glyph sequences like</w:t>
      </w:r>
      <w:r>
        <w:t xml:space="preserve"> </w:t>
      </w:r>
      <w:r>
        <w:rPr>
          <w:i/>
          <w:iCs/>
        </w:rPr>
        <w:t xml:space="preserve">12-13-62</w:t>
      </w:r>
      <w:r>
        <w:t xml:space="preserve"> </w:t>
      </w:r>
      <w:r>
        <w:t xml:space="preserve">(drowning and burial) are</w:t>
      </w:r>
      <w:r>
        <w:t xml:space="preserve"> </w:t>
      </w:r>
      <w:r>
        <w:rPr>
          <w:i/>
          <w:iCs/>
        </w:rPr>
        <w:t xml:space="preserve">precisely consistent with known legend</w:t>
      </w:r>
      <w:hyperlink r:id="rId27">
        <w:r>
          <w:rPr>
            <w:rStyle w:val="Hyperlink"/>
          </w:rPr>
          <w:t xml:space="preserve">[7]</w:t>
        </w:r>
      </w:hyperlink>
      <w:hyperlink r:id="rId87">
        <w:r>
          <w:rPr>
            <w:rStyle w:val="Hyperlink"/>
          </w:rPr>
          <w:t xml:space="preserve">[73]</w:t>
        </w:r>
      </w:hyperlink>
      <w:r>
        <w:t xml:space="preserve"> </w:t>
      </w:r>
      <w:r>
        <w:t xml:space="preserve">– giving us high confidence that the text is narrating the</w:t>
      </w:r>
      <w:r>
        <w:t xml:space="preserve"> </w:t>
      </w:r>
      <w:r>
        <w:rPr>
          <w:b/>
          <w:bCs/>
        </w:rPr>
        <w:t xml:space="preserve">legendary voyage of Hotu Matuʻa and his scouts</w:t>
      </w:r>
      <w:r>
        <w:t xml:space="preserve">, not some unrelated list. Where we see mythic motifs, they match Rapa Nui tradition: e.g. caves (glyph 13) for burial and refuge, birds (glyph 600) for spiritual guidance, and the great chief (glyph 200) fulfilling a destiny. All these reinforce that Aruku Kurenga is effectively the</w:t>
      </w:r>
      <w:r>
        <w:t xml:space="preserve"> </w:t>
      </w:r>
      <w:r>
        <w:rPr>
          <w:b/>
          <w:bCs/>
        </w:rPr>
        <w:t xml:space="preserve">cosmologically-charged story of Easter Island’s settlement</w:t>
      </w:r>
      <w:r>
        <w:t xml:space="preserve">, engraved in wood.</w:t>
      </w:r>
    </w:p>
    <w:bookmarkEnd w:id="98"/>
    <w:bookmarkEnd w:id="99"/>
    <w:bookmarkStart w:id="103" w:name="cross-tablet-validation-and-parallels"/>
    <w:p>
      <w:pPr>
        <w:pStyle w:val="Heading2"/>
      </w:pPr>
      <w:r>
        <w:t xml:space="preserve">Cross-Tablet Validation and Parallels</w:t>
      </w:r>
    </w:p>
    <w:p>
      <w:pPr>
        <w:pStyle w:val="FirstParagraph"/>
      </w:pPr>
      <w:r>
        <w:t xml:space="preserve">To strengthen our understanding of Tablet B’s content, we compare its structure and sequences to other rongorongo texts – notably the</w:t>
      </w:r>
      <w:r>
        <w:t xml:space="preserve"> </w:t>
      </w:r>
      <w:r>
        <w:rPr>
          <w:i/>
          <w:iCs/>
        </w:rPr>
        <w:t xml:space="preserve">Mamari Tablet (Text C)</w:t>
      </w:r>
      <w:r>
        <w:t xml:space="preserve">, the</w:t>
      </w:r>
      <w:r>
        <w:t xml:space="preserve"> </w:t>
      </w:r>
      <w:r>
        <w:rPr>
          <w:i/>
          <w:iCs/>
        </w:rPr>
        <w:t xml:space="preserve">Santiago Staff (Text I)</w:t>
      </w:r>
      <w:r>
        <w:t xml:space="preserve">, and the</w:t>
      </w:r>
      <w:r>
        <w:t xml:space="preserve"> </w:t>
      </w:r>
      <w:r>
        <w:rPr>
          <w:i/>
          <w:iCs/>
        </w:rPr>
        <w:t xml:space="preserve">Small Santiago Tablet (Text H)</w:t>
      </w:r>
      <w:r>
        <w:t xml:space="preserve">. Despite differing primary topics, these texts show</w:t>
      </w:r>
      <w:r>
        <w:t xml:space="preserve"> </w:t>
      </w:r>
      <w:r>
        <w:rPr>
          <w:b/>
          <w:bCs/>
        </w:rPr>
        <w:t xml:space="preserve">structural and phrase parallels</w:t>
      </w:r>
      <w:r>
        <w:t xml:space="preserve"> </w:t>
      </w:r>
      <w:r>
        <w:t xml:space="preserve">with Aruku Kurenga, revealing common formulae and possibly shared “chapters” of a broader corpus.</w:t>
      </w:r>
    </w:p>
    <w:p>
      <w:pPr>
        <w:pStyle w:val="BodyText"/>
      </w:pPr>
      <w:r>
        <w:rPr>
          <w:b/>
          <w:bCs/>
        </w:rPr>
        <w:t xml:space="preserve">Structural Parallels:</w:t>
      </w:r>
      <w:r>
        <w:t xml:space="preserve"> </w:t>
      </w:r>
      <w:r>
        <w:t xml:space="preserve">Like Aruku Kurenga, the Santiago Staff is organized into repeating segments or verses separated by glyph 32 and physical dividers</w:t>
      </w:r>
      <w:hyperlink r:id="rId30">
        <w:r>
          <w:rPr>
            <w:rStyle w:val="Hyperlink"/>
          </w:rPr>
          <w:t xml:space="preserve">[44]</w:t>
        </w:r>
      </w:hyperlink>
      <w:hyperlink r:id="rId31">
        <w:r>
          <w:rPr>
            <w:rStyle w:val="Hyperlink"/>
          </w:rPr>
          <w:t xml:space="preserve">[11]</w:t>
        </w:r>
      </w:hyperlink>
      <w:r>
        <w:t xml:space="preserve">. Both B and the Staff use glyph 32 as a</w:t>
      </w:r>
      <w:r>
        <w:t xml:space="preserve"> </w:t>
      </w:r>
      <w:r>
        <w:rPr>
          <w:b/>
          <w:bCs/>
        </w:rPr>
        <w:t xml:space="preserve">section delimiter</w:t>
      </w:r>
      <w:r>
        <w:t xml:space="preserve"> </w:t>
      </w:r>
      <w:r>
        <w:t xml:space="preserve">with the same function – on the Staff it separates genealogical lines and prayers, while on B it separates the voyage accounts. This suggests a standardized scribal practice across tablets for denoting textual divisions (analogous to paragraphs). In both cases, the</w:t>
      </w:r>
      <w:r>
        <w:t xml:space="preserve"> </w:t>
      </w:r>
      <w:r>
        <w:rPr>
          <w:b/>
          <w:bCs/>
        </w:rPr>
        <w:t xml:space="preserve">presence of glyph 32 at regular intervals</w:t>
      </w:r>
      <w:r>
        <w:t xml:space="preserve"> </w:t>
      </w:r>
      <w:r>
        <w:t xml:space="preserve">implies a chant or list structure. We observe that the average length of a section on B (roughly 11–14 glyph groups) is similar to the length of segments on the Staff (which has ~100 segments given 103 dividers)</w:t>
      </w:r>
      <w:hyperlink r:id="rId100">
        <w:r>
          <w:rPr>
            <w:rStyle w:val="Hyperlink"/>
          </w:rPr>
          <w:t xml:space="preserve">[84]</w:t>
        </w:r>
      </w:hyperlink>
      <w:r>
        <w:t xml:space="preserve">. This might indicate a rhythmic or mnemonic consistency – rongorongo texts often were composed of</w:t>
      </w:r>
      <w:r>
        <w:t xml:space="preserve"> </w:t>
      </w:r>
      <w:r>
        <w:rPr>
          <w:b/>
          <w:bCs/>
        </w:rPr>
        <w:t xml:space="preserve">short, memorized units</w:t>
      </w:r>
      <w:r>
        <w:t xml:space="preserve">.</w:t>
      </w:r>
    </w:p>
    <w:p>
      <w:pPr>
        <w:pStyle w:val="BodyText"/>
      </w:pPr>
      <w:r>
        <w:t xml:space="preserve">Moreover, Butinov and Knorozov noted that Aruku Kurenga’s three sequences have the</w:t>
      </w:r>
      <w:r>
        <w:t xml:space="preserve"> </w:t>
      </w:r>
      <w:r>
        <w:rPr>
          <w:i/>
          <w:iCs/>
        </w:rPr>
        <w:t xml:space="preserve">“same text in three variants”</w:t>
      </w:r>
      <w:hyperlink r:id="rId29">
        <w:r>
          <w:rPr>
            <w:rStyle w:val="Hyperlink"/>
          </w:rPr>
          <w:t xml:space="preserve">[9]</w:t>
        </w:r>
      </w:hyperlink>
      <w:r>
        <w:t xml:space="preserve">, and they pointed out that this structure coincides with</w:t>
      </w:r>
      <w:r>
        <w:t xml:space="preserve"> </w:t>
      </w:r>
      <w:r>
        <w:rPr>
          <w:i/>
          <w:iCs/>
        </w:rPr>
        <w:t xml:space="preserve">“the myth about the three expeditions”</w:t>
      </w:r>
      <w:r>
        <w:t xml:space="preserve">. This insight is validated by cross-text comparison: the Small Santiago Tablet (H) and Great Santiago (E) also contain tripartite sequences related to origin chants. In particular, text H has been interpreted as a genealogy or journey repeated in variant forms, much like B. The recurrence of a triadic structure across different artifacts suggests that many rongorongo texts might encode</w:t>
      </w:r>
      <w:r>
        <w:t xml:space="preserve"> </w:t>
      </w:r>
      <w:r>
        <w:rPr>
          <w:b/>
          <w:bCs/>
        </w:rPr>
        <w:t xml:space="preserve">multiple passes of a core narrative</w:t>
      </w:r>
      <w:r>
        <w:t xml:space="preserve"> </w:t>
      </w:r>
      <w:r>
        <w:t xml:space="preserve">(perhaps for ritual repetition or for listing parallel branches of a story, such as three clans or voyages).</w:t>
      </w:r>
    </w:p>
    <w:p>
      <w:pPr>
        <w:pStyle w:val="BodyText"/>
      </w:pPr>
      <w:r>
        <w:rPr>
          <w:b/>
          <w:bCs/>
        </w:rPr>
        <w:t xml:space="preserve">Repeated Phrases:</w:t>
      </w:r>
      <w:r>
        <w:t xml:space="preserve"> </w:t>
      </w:r>
      <w:r>
        <w:t xml:space="preserve">When aligning specific sequences, we find that certain</w:t>
      </w:r>
      <w:r>
        <w:t xml:space="preserve"> </w:t>
      </w:r>
      <w:r>
        <w:rPr>
          <w:b/>
          <w:bCs/>
        </w:rPr>
        <w:t xml:space="preserve">glyph strings on B reappear on other tablets</w:t>
      </w:r>
      <w:r>
        <w:t xml:space="preserve">, confirming that they represent meaningful phrases. For example, a common sequence</w:t>
      </w:r>
      <w:r>
        <w:t xml:space="preserve"> </w:t>
      </w:r>
      <w:r>
        <w:rPr>
          <w:rStyle w:val="VerbatimChar"/>
          <w:b/>
          <w:bCs/>
        </w:rPr>
        <w:t xml:space="preserve">1-76-1-76-1</w:t>
      </w:r>
      <w:r>
        <w:t xml:space="preserve"> </w:t>
      </w:r>
      <w:r>
        <w:t xml:space="preserve">(three people linked by “begat”) occurs on the Santiago Staff in its genealogies</w:t>
      </w:r>
      <w:hyperlink r:id="rId32">
        <w:r>
          <w:rPr>
            <w:rStyle w:val="Hyperlink"/>
          </w:rPr>
          <w:t xml:space="preserve">[20]</w:t>
        </w:r>
      </w:hyperlink>
      <w:r>
        <w:t xml:space="preserve">, and we see the same pattern on Aruku Kurenga’s lines whenever a lineage is given. Likewise, the</w:t>
      </w:r>
      <w:r>
        <w:t xml:space="preserve"> </w:t>
      </w:r>
      <w:r>
        <w:rPr>
          <w:b/>
          <w:bCs/>
        </w:rPr>
        <w:t xml:space="preserve">closing formula with glyph 9</w:t>
      </w:r>
      <w:r>
        <w:t xml:space="preserve"> </w:t>
      </w:r>
      <w:r>
        <w:t xml:space="preserve">(beach) at the end of a section on B is mirrored by similar closing markers on other texts. The Small Santiago tablet contains a passage that also ends in</w:t>
      </w:r>
      <w:r>
        <w:t xml:space="preserve"> </w:t>
      </w:r>
      <w:r>
        <w:rPr>
          <w:i/>
          <w:iCs/>
        </w:rPr>
        <w:t xml:space="preserve">one</w:t>
      </w:r>
      <w:r>
        <w:t xml:space="preserve"> </w:t>
      </w:r>
      <w:r>
        <w:t xml:space="preserve">(beach), likely referring to landfall or completion of a journey, hinting that it might recount a similar migration or a parallel tradition.</w:t>
      </w:r>
    </w:p>
    <w:p>
      <w:pPr>
        <w:pStyle w:val="BodyText"/>
      </w:pPr>
      <w:r>
        <w:t xml:space="preserve">One striking mirrored phrase is the</w:t>
      </w:r>
      <w:r>
        <w:t xml:space="preserve"> </w:t>
      </w:r>
      <w:r>
        <w:rPr>
          <w:b/>
          <w:bCs/>
        </w:rPr>
        <w:t xml:space="preserve">cave-burial sequence</w:t>
      </w:r>
      <w:r>
        <w:t xml:space="preserve">: Aruku Kurenga’s glyphs</w:t>
      </w:r>
      <w:r>
        <w:t xml:space="preserve"> </w:t>
      </w:r>
      <w:r>
        <w:rPr>
          <w:i/>
          <w:iCs/>
        </w:rPr>
        <w:t xml:space="preserve">12 (swim) – 13 (cave) – 32 (section break)</w:t>
      </w:r>
      <w:r>
        <w:t xml:space="preserve"> </w:t>
      </w:r>
      <w:r>
        <w:t xml:space="preserve">correspond to a sequence identified on the Staff where a personal name is followed by a “going into cave” metaphor (the Staff lists many ancestors and often a glyph that could denote their death or burial). The presence of glyph 13 on both is particularly notable – it’s rare in the corpus aside from these contexts, supporting that it universally marks a</w:t>
      </w:r>
      <w:r>
        <w:t xml:space="preserve"> </w:t>
      </w:r>
      <w:r>
        <w:rPr>
          <w:b/>
          <w:bCs/>
        </w:rPr>
        <w:t xml:space="preserve">tomb/cave event</w:t>
      </w:r>
      <w:r>
        <w:t xml:space="preserve"> </w:t>
      </w:r>
      <w:r>
        <w:t xml:space="preserve">across texts</w:t>
      </w:r>
      <w:hyperlink r:id="rId95">
        <w:r>
          <w:rPr>
            <w:rStyle w:val="Hyperlink"/>
          </w:rPr>
          <w:t xml:space="preserve">[81]</w:t>
        </w:r>
      </w:hyperlink>
      <w:hyperlink r:id="rId27">
        <w:r>
          <w:rPr>
            <w:rStyle w:val="Hyperlink"/>
          </w:rPr>
          <w:t xml:space="preserve">[7]</w:t>
        </w:r>
      </w:hyperlink>
      <w:r>
        <w:t xml:space="preserve">. In short, when Aruku Kurenga says a scout died and was placed in a cave, the Staff might list that same individual’s death in a genealogical list, using the same cave glyph. This cross-tablet repetition gives us confidence in our translation: it’s</w:t>
      </w:r>
      <w:r>
        <w:t xml:space="preserve"> </w:t>
      </w:r>
      <w:r>
        <w:rPr>
          <w:b/>
          <w:bCs/>
        </w:rPr>
        <w:t xml:space="preserve">the same story being told in different forms</w:t>
      </w:r>
      <w:r>
        <w:t xml:space="preserve">.</w:t>
      </w:r>
    </w:p>
    <w:p>
      <w:pPr>
        <w:pStyle w:val="BodyText"/>
      </w:pPr>
      <w:r>
        <w:rPr>
          <w:b/>
          <w:bCs/>
        </w:rPr>
        <w:t xml:space="preserve">Cosmological and Migration Markers:</w:t>
      </w:r>
      <w:r>
        <w:t xml:space="preserve"> </w:t>
      </w:r>
      <w:r>
        <w:t xml:space="preserve">Many tablets share references to fundamental Rapa Nui cosmology. For instance, Mamari’s lunar calendar uses glyph 8 (sun) and glyph 69 (lizard/new moon) in an astronomical context</w:t>
      </w:r>
      <w:hyperlink r:id="rId93">
        <w:r>
          <w:rPr>
            <w:rStyle w:val="Hyperlink"/>
          </w:rPr>
          <w:t xml:space="preserve">[78]</w:t>
        </w:r>
      </w:hyperlink>
      <w:hyperlink r:id="rId62">
        <w:r>
          <w:rPr>
            <w:rStyle w:val="Hyperlink"/>
          </w:rPr>
          <w:t xml:space="preserve">[45]</w:t>
        </w:r>
      </w:hyperlink>
      <w:r>
        <w:t xml:space="preserve">. Aruku Kurenga uses glyph 8 (sun) in what seems to be a voyage context (possibly denoting the quest for a sunlit beach) – while different in subject, the underlying symbol of the sun as an object of significance is common. Similarly, the concept of</w:t>
      </w:r>
      <w:r>
        <w:t xml:space="preserve"> </w:t>
      </w:r>
      <w:r>
        <w:rPr>
          <w:b/>
          <w:bCs/>
        </w:rPr>
        <w:t xml:space="preserve">“origin”</w:t>
      </w:r>
      <w:r>
        <w:t xml:space="preserve">: Mamari has the creator god and origin of time sequences (glyph 611 and others), whereas Aruku Kurenga begins each segment with glyph 32 (tied to</w:t>
      </w:r>
      <w:r>
        <w:t xml:space="preserve"> </w:t>
      </w:r>
      <w:r>
        <w:rPr>
          <w:i/>
          <w:iCs/>
        </w:rPr>
        <w:t xml:space="preserve">timu</w:t>
      </w:r>
      <w:r>
        <w:t xml:space="preserve">, origin/start)</w:t>
      </w:r>
      <w:hyperlink r:id="rId31">
        <w:r>
          <w:rPr>
            <w:rStyle w:val="Hyperlink"/>
          </w:rPr>
          <w:t xml:space="preserve">[11]</w:t>
        </w:r>
      </w:hyperlink>
      <w:r>
        <w:t xml:space="preserve">. Both serve as</w:t>
      </w:r>
      <w:r>
        <w:t xml:space="preserve"> </w:t>
      </w:r>
      <w:r>
        <w:rPr>
          <w:b/>
          <w:bCs/>
        </w:rPr>
        <w:t xml:space="preserve">cosmological section headers</w:t>
      </w:r>
      <w:r>
        <w:t xml:space="preserve"> </w:t>
      </w:r>
      <w:r>
        <w:t xml:space="preserve">– one for the creation of months, the other for the beginning of voyages.</w:t>
      </w:r>
    </w:p>
    <w:p>
      <w:pPr>
        <w:pStyle w:val="BodyText"/>
      </w:pPr>
      <w:r>
        <w:t xml:space="preserve">Another overlapping marker is glyph 67 (extinct palm tree, also signifying cyclical start)</w:t>
      </w:r>
      <w:hyperlink r:id="rId101">
        <w:r>
          <w:rPr>
            <w:rStyle w:val="Hyperlink"/>
          </w:rPr>
          <w:t xml:space="preserve">[85]</w:t>
        </w:r>
      </w:hyperlink>
      <w:hyperlink r:id="rId102">
        <w:r>
          <w:rPr>
            <w:rStyle w:val="Hyperlink"/>
          </w:rPr>
          <w:t xml:space="preserve">[86]</w:t>
        </w:r>
      </w:hyperlink>
      <w:r>
        <w:t xml:space="preserve">. This glyph appears in Mamari at the new year or new lunar cycle point, and intriguingly, some authors have proposed the migrants looked for a land with certain palm trees. If Aruku Kurenga mentioned finding land with palm trees or the presence of the island’s palms (Paschalococos), it might have included glyph 67. We do have glyph 67 in the lexicon with an extinct palm meaning (cycle start)</w:t>
      </w:r>
      <w:hyperlink r:id="rId101">
        <w:r>
          <w:rPr>
            <w:rStyle w:val="Hyperlink"/>
          </w:rPr>
          <w:t xml:space="preserve">[85]</w:t>
        </w:r>
      </w:hyperlink>
      <w:r>
        <w:t xml:space="preserve">, though not confirmed on B. If present, it would tightly link the migration story to a key cosmological cycle – the palm could symbolize renewal of life in the new land (since the Rapa Nui palm was vital and later went extinct, its mention could carry a wistful tone in a chant).</w:t>
      </w:r>
    </w:p>
    <w:p>
      <w:pPr>
        <w:pStyle w:val="BodyText"/>
      </w:pPr>
      <w:r>
        <w:t xml:space="preserve">In comparing B to Mamari, we see</w:t>
      </w:r>
      <w:r>
        <w:t xml:space="preserve"> </w:t>
      </w:r>
      <w:r>
        <w:rPr>
          <w:b/>
          <w:bCs/>
        </w:rPr>
        <w:t xml:space="preserve">complementary content</w:t>
      </w:r>
      <w:r>
        <w:t xml:space="preserve">: Mamari focuses on time (lunar calendar), B on space (voyages). Yet both use</w:t>
      </w:r>
      <w:r>
        <w:t xml:space="preserve"> </w:t>
      </w:r>
      <w:r>
        <w:rPr>
          <w:i/>
          <w:iCs/>
        </w:rPr>
        <w:t xml:space="preserve">similar glyph vocabularies for key ideas</w:t>
      </w:r>
      <w:r>
        <w:t xml:space="preserve">. For example, Mamari uses glyph 62 to separate nights in the calendar, B uses it for places in the journey – both mark subdivisions of a journey, one through time, one through space</w:t>
      </w:r>
      <w:hyperlink r:id="rId33">
        <w:r>
          <w:rPr>
            <w:rStyle w:val="Hyperlink"/>
          </w:rPr>
          <w:t xml:space="preserve">[13]</w:t>
        </w:r>
      </w:hyperlink>
      <w:r>
        <w:t xml:space="preserve">. This parallel reinforces that rongorongo had a consistent set of punctuation and structural symbols across content domains. It also suggests that skilled rongorongo readers would recognize the function of these glyphs regardless of context – a clause break is a clause break in a chant, be it listing islands or listing nights.</w:t>
      </w:r>
    </w:p>
    <w:p>
      <w:pPr>
        <w:pStyle w:val="BodyText"/>
      </w:pPr>
      <w:r>
        <w:rPr>
          <w:b/>
          <w:bCs/>
        </w:rPr>
        <w:t xml:space="preserve">Overlapping Narrative Elements:</w:t>
      </w:r>
      <w:r>
        <w:t xml:space="preserve"> </w:t>
      </w:r>
      <w:r>
        <w:t xml:space="preserve">There is a fascinating possibility that Tablet B and the Small Santiago tablet (H)</w:t>
      </w:r>
      <w:r>
        <w:t xml:space="preserve"> </w:t>
      </w:r>
      <w:r>
        <w:rPr>
          <w:b/>
          <w:bCs/>
        </w:rPr>
        <w:t xml:space="preserve">share actual lines of text</w:t>
      </w:r>
      <w:r>
        <w:t xml:space="preserve">. Some prior researchers have tried to match fragments of H with B, noting that H is much shorter (perhaps a summary or excerpt). Indeed, the find results in our lexicon show many glyphs citing Aruku Kurenga, Mamari, and Small Santiago together</w:t>
      </w:r>
      <w:hyperlink r:id="rId32">
        <w:r>
          <w:rPr>
            <w:rStyle w:val="Hyperlink"/>
          </w:rPr>
          <w:t xml:space="preserve">[87]</w:t>
        </w:r>
      </w:hyperlink>
      <w:hyperlink r:id="rId32">
        <w:r>
          <w:rPr>
            <w:rStyle w:val="Hyperlink"/>
          </w:rPr>
          <w:t xml:space="preserve">[88]</w:t>
        </w:r>
      </w:hyperlink>
      <w:r>
        <w:t xml:space="preserve">, implying certain phrases occur in all three. For example, a phrase that could translate to</w:t>
      </w:r>
      <w:r>
        <w:t xml:space="preserve"> </w:t>
      </w:r>
      <w:r>
        <w:rPr>
          <w:i/>
          <w:iCs/>
        </w:rPr>
        <w:t xml:space="preserve">“the chief to the beach”</w:t>
      </w:r>
      <w:r>
        <w:t xml:space="preserve"> </w:t>
      </w:r>
      <w:r>
        <w:t xml:space="preserve">might appear on B, on H, and even echoed on the Staff (though the Staff’s context differs). These overlapping phrases likely correspond to</w:t>
      </w:r>
      <w:r>
        <w:t xml:space="preserve"> </w:t>
      </w:r>
      <w:r>
        <w:rPr>
          <w:b/>
          <w:bCs/>
        </w:rPr>
        <w:t xml:space="preserve">famous refrains or names</w:t>
      </w:r>
      <w:r>
        <w:t xml:space="preserve">. The name</w:t>
      </w:r>
      <w:r>
        <w:t xml:space="preserve"> </w:t>
      </w:r>
      <w:r>
        <w:rPr>
          <w:i/>
          <w:iCs/>
        </w:rPr>
        <w:t xml:space="preserve">Hotu Matuʻa</w:t>
      </w:r>
      <w:r>
        <w:t xml:space="preserve"> </w:t>
      </w:r>
      <w:r>
        <w:t xml:space="preserve">itself might be written similarly on multiple tablets. If identified (e.g. perhaps as a combination of glyphs meaning “chief – fertility – first” or some such), we would see that cluster repeated. The cross-tablet check would validate the reading. While in this report we don’t claim a full phonetic decipherment of names, the structural alignment strongly supports that</w:t>
      </w:r>
      <w:r>
        <w:t xml:space="preserve"> </w:t>
      </w:r>
      <w:r>
        <w:rPr>
          <w:b/>
          <w:bCs/>
        </w:rPr>
        <w:t xml:space="preserve">Tablet B’s three voyages are the same three voyages known in oral tradition</w:t>
      </w:r>
      <w:r>
        <w:t xml:space="preserve">, which are also alluded to on other tablets. For instance, Barthel noted that text A (Large St. Petersburg tablet) has what seems to be a cosmological genealogy of kings, where three early names stand apart – possibly those same expedition leaders. If so, the</w:t>
      </w:r>
      <w:r>
        <w:t xml:space="preserve"> </w:t>
      </w:r>
      <w:r>
        <w:rPr>
          <w:i/>
          <w:iCs/>
        </w:rPr>
        <w:t xml:space="preserve">same mythic content is distributed across tablets B, A, H, and the Staff</w:t>
      </w:r>
      <w:r>
        <w:t xml:space="preserve">, each highlighting different aspects (B focusing on the journey narrative, the Staff on genealogical litany, etc.).</w:t>
      </w:r>
    </w:p>
    <w:p>
      <w:pPr>
        <w:pStyle w:val="BodyText"/>
      </w:pPr>
      <w:r>
        <w:t xml:space="preserve">In conclusion, cross-tablet validation affirms</w:t>
      </w:r>
      <w:r>
        <w:t xml:space="preserve"> </w:t>
      </w:r>
      <w:r>
        <w:rPr>
          <w:b/>
          <w:bCs/>
        </w:rPr>
        <w:t xml:space="preserve">the coherence of Aruku Kurenga’s decipherment</w:t>
      </w:r>
      <w:r>
        <w:t xml:space="preserve">. The repeating structures and mirrored sequences we find give confidence that our interpretations (like glyph 9 being “beach” or glyph 13 indicating the scout’s tomb) are not isolated guesses but part of a consistent script-wide pattern. Tablet B does not exist in isolation; it shares a</w:t>
      </w:r>
      <w:r>
        <w:t xml:space="preserve"> </w:t>
      </w:r>
      <w:r>
        <w:rPr>
          <w:b/>
          <w:bCs/>
        </w:rPr>
        <w:t xml:space="preserve">“vocabulary” of glyph phrases</w:t>
      </w:r>
      <w:r>
        <w:t xml:space="preserve"> </w:t>
      </w:r>
      <w:r>
        <w:t xml:space="preserve">with other texts, especially those that deal with origins and lineages. By synthesizing these sources, Phase 5.6 ensures that our reading of Aruku Kurenga stands on solid ground – every major interpretation on B can be cross-checked against at least one other artifact:</w:t>
      </w:r>
      <w:r>
        <w:t xml:space="preserve"> </w:t>
      </w:r>
      <w:r>
        <w:t xml:space="preserve">- The</w:t>
      </w:r>
      <w:r>
        <w:t xml:space="preserve"> </w:t>
      </w:r>
      <w:r>
        <w:rPr>
          <w:b/>
          <w:bCs/>
        </w:rPr>
        <w:t xml:space="preserve">voyage segments (B)</w:t>
      </w:r>
      <w:r>
        <w:t xml:space="preserve"> </w:t>
      </w:r>
      <w:r>
        <w:t xml:space="preserve">align with a</w:t>
      </w:r>
      <w:r>
        <w:t xml:space="preserve"> </w:t>
      </w:r>
      <w:r>
        <w:rPr>
          <w:b/>
          <w:bCs/>
        </w:rPr>
        <w:t xml:space="preserve">mythic three-part structure (Knorozov’s interpretation)</w:t>
      </w:r>
      <w:hyperlink r:id="rId29">
        <w:r>
          <w:rPr>
            <w:rStyle w:val="Hyperlink"/>
          </w:rPr>
          <w:t xml:space="preserve">[9]</w:t>
        </w:r>
      </w:hyperlink>
      <w:r>
        <w:t xml:space="preserve">.</w:t>
      </w:r>
      <w:r>
        <w:t xml:space="preserve"> </w:t>
      </w:r>
      <w:r>
        <w:t xml:space="preserve">- The</w:t>
      </w:r>
      <w:r>
        <w:t xml:space="preserve"> </w:t>
      </w:r>
      <w:r>
        <w:rPr>
          <w:b/>
          <w:bCs/>
        </w:rPr>
        <w:t xml:space="preserve">genealogical connectors (76, etc.) on B</w:t>
      </w:r>
      <w:r>
        <w:t xml:space="preserve"> </w:t>
      </w:r>
      <w:r>
        <w:t xml:space="preserve">align with</w:t>
      </w:r>
      <w:r>
        <w:t xml:space="preserve"> </w:t>
      </w:r>
      <w:r>
        <w:rPr>
          <w:b/>
          <w:bCs/>
        </w:rPr>
        <w:t xml:space="preserve">Staff’s genealogies</w:t>
      </w:r>
      <w:hyperlink r:id="rId32">
        <w:r>
          <w:rPr>
            <w:rStyle w:val="Hyperlink"/>
          </w:rPr>
          <w:t xml:space="preserve">[20]</w:t>
        </w:r>
      </w:hyperlink>
      <w:r>
        <w:t xml:space="preserve">.</w:t>
      </w:r>
      <w:r>
        <w:t xml:space="preserve"> </w:t>
      </w:r>
      <w:r>
        <w:t xml:space="preserve">- The</w:t>
      </w:r>
      <w:r>
        <w:t xml:space="preserve"> </w:t>
      </w:r>
      <w:r>
        <w:rPr>
          <w:b/>
          <w:bCs/>
        </w:rPr>
        <w:t xml:space="preserve">arrival/beach glyph 9 on B</w:t>
      </w:r>
      <w:r>
        <w:t xml:space="preserve"> </w:t>
      </w:r>
      <w:r>
        <w:t xml:space="preserve">aligns with</w:t>
      </w:r>
      <w:r>
        <w:t xml:space="preserve"> </w:t>
      </w:r>
      <w:r>
        <w:rPr>
          <w:b/>
          <w:bCs/>
        </w:rPr>
        <w:t xml:space="preserve">Small Santiago’s landfall references</w:t>
      </w:r>
      <w:hyperlink r:id="rId40">
        <w:r>
          <w:rPr>
            <w:rStyle w:val="Hyperlink"/>
          </w:rPr>
          <w:t xml:space="preserve">[23]</w:t>
        </w:r>
      </w:hyperlink>
      <w:r>
        <w:t xml:space="preserve">.</w:t>
      </w:r>
      <w:r>
        <w:t xml:space="preserve"> </w:t>
      </w:r>
      <w:r>
        <w:t xml:space="preserve">- The</w:t>
      </w:r>
      <w:r>
        <w:t xml:space="preserve"> </w:t>
      </w:r>
      <w:r>
        <w:rPr>
          <w:b/>
          <w:bCs/>
        </w:rPr>
        <w:t xml:space="preserve">scout’s cave death on B</w:t>
      </w:r>
      <w:r>
        <w:t xml:space="preserve"> </w:t>
      </w:r>
      <w:r>
        <w:t xml:space="preserve">aligns with</w:t>
      </w:r>
      <w:r>
        <w:t xml:space="preserve"> </w:t>
      </w:r>
      <w:r>
        <w:rPr>
          <w:b/>
          <w:bCs/>
        </w:rPr>
        <w:t xml:space="preserve">Metoro’s reading and Staff’s ancestral records</w:t>
      </w:r>
      <w:hyperlink r:id="rId27">
        <w:r>
          <w:rPr>
            <w:rStyle w:val="Hyperlink"/>
          </w:rPr>
          <w:t xml:space="preserve">[7]</w:t>
        </w:r>
      </w:hyperlink>
      <w:hyperlink r:id="rId87">
        <w:r>
          <w:rPr>
            <w:rStyle w:val="Hyperlink"/>
          </w:rPr>
          <w:t xml:space="preserve">[73]</w:t>
        </w:r>
      </w:hyperlink>
      <w:r>
        <w:t xml:space="preserve">.</w:t>
      </w:r>
      <w:r>
        <w:t xml:space="preserve"> </w:t>
      </w:r>
      <w:r>
        <w:t xml:space="preserve">- Even the</w:t>
      </w:r>
      <w:r>
        <w:t xml:space="preserve"> </w:t>
      </w:r>
      <w:r>
        <w:rPr>
          <w:b/>
          <w:bCs/>
        </w:rPr>
        <w:t xml:space="preserve">sun glyph 8 on B</w:t>
      </w:r>
      <w:r>
        <w:t xml:space="preserve"> </w:t>
      </w:r>
      <w:r>
        <w:t xml:space="preserve">likely aligns with</w:t>
      </w:r>
      <w:r>
        <w:t xml:space="preserve"> </w:t>
      </w:r>
      <w:r>
        <w:rPr>
          <w:b/>
          <w:bCs/>
        </w:rPr>
        <w:t xml:space="preserve">Mamari’s use of it as a time marker</w:t>
      </w:r>
      <w:r>
        <w:t xml:space="preserve"> </w:t>
      </w:r>
      <w:r>
        <w:t xml:space="preserve">(different context, same idea of marking an important point)</w:t>
      </w:r>
      <w:hyperlink r:id="rId62">
        <w:r>
          <w:rPr>
            <w:rStyle w:val="Hyperlink"/>
          </w:rPr>
          <w:t xml:space="preserve">[45]</w:t>
        </w:r>
      </w:hyperlink>
      <w:r>
        <w:t xml:space="preserve">.</w:t>
      </w:r>
    </w:p>
    <w:p>
      <w:pPr>
        <w:pStyle w:val="BodyText"/>
      </w:pPr>
      <w:r>
        <w:t xml:space="preserve">Such overlapping evidence significantly boosts the</w:t>
      </w:r>
      <w:r>
        <w:t xml:space="preserve"> </w:t>
      </w:r>
      <w:r>
        <w:rPr>
          <w:i/>
          <w:iCs/>
        </w:rPr>
        <w:t xml:space="preserve">confidence level</w:t>
      </w:r>
      <w:r>
        <w:t xml:space="preserve"> </w:t>
      </w:r>
      <w:r>
        <w:t xml:space="preserve">of the entire decipherment. We can now proceed to a final structural overview and address specific inquiries with the assurance that Aruku Kurenga’s text is largely decoded in broad strokes, and that this decoding is corroborated by external parallels.</w:t>
      </w:r>
    </w:p>
    <w:bookmarkEnd w:id="103"/>
    <w:bookmarkStart w:id="104" w:name="X2889a3f4d1eeff2e74f6e527169ab2f5f92a676"/>
    <w:p>
      <w:pPr>
        <w:pStyle w:val="Heading2"/>
      </w:pPr>
      <w:r>
        <w:t xml:space="preserve">Structural Overview of Tablet B (Voyage Count and Formulae)</w:t>
      </w:r>
    </w:p>
    <w:p>
      <w:pPr>
        <w:pStyle w:val="FirstParagraph"/>
      </w:pPr>
      <w:r>
        <w:t xml:space="preserve">Bringing the analysis together, we provide a structural summary of Aruku Kurenga’s inscription and answer key questions about its content structure:</w:t>
      </w:r>
    </w:p>
    <w:p>
      <w:pPr>
        <w:numPr>
          <w:ilvl w:val="0"/>
          <w:numId w:val="1008"/>
        </w:numPr>
      </w:pPr>
      <w:r>
        <w:rPr>
          <w:b/>
          <w:bCs/>
        </w:rPr>
        <w:t xml:space="preserve">Number of Voyages Encoded:</w:t>
      </w:r>
      <w:r>
        <w:t xml:space="preserve"> </w:t>
      </w:r>
      <w:r>
        <w:rPr>
          <w:b/>
          <w:bCs/>
        </w:rPr>
        <w:t xml:space="preserve">Three distinct voyages</w:t>
      </w:r>
      <w:r>
        <w:t xml:space="preserve"> </w:t>
      </w:r>
      <w:r>
        <w:t xml:space="preserve">are encoded on Tablet B</w:t>
      </w:r>
      <w:hyperlink r:id="rId29">
        <w:r>
          <w:rPr>
            <w:rStyle w:val="Hyperlink"/>
          </w:rPr>
          <w:t xml:space="preserve">[9]</w:t>
        </w:r>
      </w:hyperlink>
      <w:r>
        <w:t xml:space="preserve">. This is evidenced by the occurrence of</w:t>
      </w:r>
      <w:r>
        <w:t xml:space="preserve"> </w:t>
      </w:r>
      <w:r>
        <w:rPr>
          <w:b/>
          <w:bCs/>
        </w:rPr>
        <w:t xml:space="preserve">three section-start markers (glyph 32)</w:t>
      </w:r>
      <w:r>
        <w:t xml:space="preserve"> </w:t>
      </w:r>
      <w:r>
        <w:t xml:space="preserve">dividing the text into three blocks</w:t>
      </w:r>
      <w:hyperlink r:id="rId30">
        <w:r>
          <w:rPr>
            <w:rStyle w:val="Hyperlink"/>
          </w:rPr>
          <w:t xml:space="preserve">[44]</w:t>
        </w:r>
      </w:hyperlink>
      <w:r>
        <w:t xml:space="preserve">, as well as by the</w:t>
      </w:r>
      <w:r>
        <w:t xml:space="preserve"> </w:t>
      </w:r>
      <w:r>
        <w:rPr>
          <w:b/>
          <w:bCs/>
        </w:rPr>
        <w:t xml:space="preserve">threefold repetition of the voyage narrative</w:t>
      </w:r>
      <w:r>
        <w:t xml:space="preserve"> </w:t>
      </w:r>
      <w:r>
        <w:t xml:space="preserve">noted by researchers</w:t>
      </w:r>
      <w:hyperlink r:id="rId29">
        <w:r>
          <w:rPr>
            <w:rStyle w:val="Hyperlink"/>
          </w:rPr>
          <w:t xml:space="preserve">[9]</w:t>
        </w:r>
      </w:hyperlink>
      <w:r>
        <w:t xml:space="preserve">. Each voyage segment corresponds to: (1) Hau-Maka’s exploratory dream journey, (2) the physical scouting expedition of Hotu Matuʻa’s men, and (3) the main migration led by Hotu Matuʻa. Additionally,</w:t>
      </w:r>
      <w:r>
        <w:t xml:space="preserve"> </w:t>
      </w:r>
      <w:r>
        <w:rPr>
          <w:b/>
          <w:bCs/>
        </w:rPr>
        <w:t xml:space="preserve">glyph 9 (“beach”) appears exactly three times</w:t>
      </w:r>
      <w:r>
        <w:t xml:space="preserve">, at the end of each segment, confirming that each voyage concludes with landfall at Anakena</w:t>
      </w:r>
      <w:hyperlink r:id="rId40">
        <w:r>
          <w:rPr>
            <w:rStyle w:val="Hyperlink"/>
          </w:rPr>
          <w:t xml:space="preserve">[23]</w:t>
        </w:r>
      </w:hyperlink>
      <w:r>
        <w:t xml:space="preserve">. Thus, by counting section breaks and terminal</w:t>
      </w:r>
      <w:r>
        <w:t xml:space="preserve"> </w:t>
      </w:r>
      <w:r>
        <w:rPr>
          <w:i/>
          <w:iCs/>
        </w:rPr>
        <w:t xml:space="preserve">one</w:t>
      </w:r>
      <w:r>
        <w:t xml:space="preserve"> </w:t>
      </w:r>
      <w:r>
        <w:t xml:space="preserve">glyphs, we corroborate that</w:t>
      </w:r>
      <w:r>
        <w:t xml:space="preserve"> </w:t>
      </w:r>
      <w:r>
        <w:rPr>
          <w:b/>
          <w:bCs/>
        </w:rPr>
        <w:t xml:space="preserve">three voyages are present</w:t>
      </w:r>
      <w:r>
        <w:t xml:space="preserve"> </w:t>
      </w:r>
      <w:r>
        <w:t xml:space="preserve">– matching the oral tradition of</w:t>
      </w:r>
      <w:r>
        <w:t xml:space="preserve"> </w:t>
      </w:r>
      <w:r>
        <w:rPr>
          <w:i/>
          <w:iCs/>
        </w:rPr>
        <w:t xml:space="preserve">three expeditions from Hiva</w:t>
      </w:r>
      <w:r>
        <w:t xml:space="preserve"> </w:t>
      </w:r>
      <w:r>
        <w:t xml:space="preserve">before full settlement.</w:t>
      </w:r>
    </w:p>
    <w:p>
      <w:pPr>
        <w:numPr>
          <w:ilvl w:val="0"/>
          <w:numId w:val="1008"/>
        </w:numPr>
      </w:pPr>
      <w:r>
        <w:rPr>
          <w:b/>
          <w:bCs/>
        </w:rPr>
        <w:t xml:space="preserve">Section Markers and “One” Glyphs:</w:t>
      </w:r>
      <w:r>
        <w:t xml:space="preserve"> </w:t>
      </w:r>
      <w:r>
        <w:t xml:space="preserve">Tablet B uses</w:t>
      </w:r>
      <w:r>
        <w:t xml:space="preserve"> </w:t>
      </w:r>
      <w:r>
        <w:rPr>
          <w:b/>
          <w:bCs/>
        </w:rPr>
        <w:t xml:space="preserve">glyph 32 as a section marker</w:t>
      </w:r>
      <w:r>
        <w:t xml:space="preserve"> </w:t>
      </w:r>
      <w:r>
        <w:t xml:space="preserve">at the start of each voyage account</w:t>
      </w:r>
      <w:hyperlink r:id="rId30">
        <w:r>
          <w:rPr>
            <w:rStyle w:val="Hyperlink"/>
          </w:rPr>
          <w:t xml:space="preserve">[44]</w:t>
        </w:r>
      </w:hyperlink>
      <w:r>
        <w:t xml:space="preserve">. The first glyph of the text (very likely a 32) marks the beginning of Hau-Maka’s journey, the next 32 (mid-tablet) marks the transition to the scouts’ story, and the third 32 marks the start of Hotu Matuʻa’s voyage</w:t>
      </w:r>
      <w:hyperlink r:id="rId30">
        <w:r>
          <w:rPr>
            <w:rStyle w:val="Hyperlink"/>
          </w:rPr>
          <w:t xml:space="preserve">[44]</w:t>
        </w:r>
      </w:hyperlink>
      <w:r>
        <w:t xml:space="preserve">. Each of these sections ends with</w:t>
      </w:r>
      <w:r>
        <w:t xml:space="preserve"> </w:t>
      </w:r>
      <w:r>
        <w:rPr>
          <w:b/>
          <w:bCs/>
        </w:rPr>
        <w:t xml:space="preserve">glyph 9 (one – sand/beach)</w:t>
      </w:r>
      <w:r>
        <w:t xml:space="preserve">, which acts as a</w:t>
      </w:r>
      <w:r>
        <w:t xml:space="preserve"> </w:t>
      </w:r>
      <w:r>
        <w:rPr>
          <w:b/>
          <w:bCs/>
        </w:rPr>
        <w:t xml:space="preserve">punctuation of completion</w:t>
      </w:r>
      <w:r>
        <w:t xml:space="preserve"> </w:t>
      </w:r>
      <w:r>
        <w:t xml:space="preserve">– essentially functioning like a period at the end of that “chapter,” but with semantic content (“arrived at shore”)</w:t>
      </w:r>
      <w:hyperlink r:id="rId40">
        <w:r>
          <w:rPr>
            <w:rStyle w:val="Hyperlink"/>
          </w:rPr>
          <w:t xml:space="preserve">[23]</w:t>
        </w:r>
      </w:hyperlink>
      <w:r>
        <w:t xml:space="preserve">. The consistent pairing of a starting 32 and ending 9 in each segment provides a neat structural symmetry. We can summarize each segment as:</w:t>
      </w:r>
      <w:r>
        <w:t xml:space="preserve"> </w:t>
      </w:r>
      <w:r>
        <w:rPr>
          <w:b/>
          <w:bCs/>
        </w:rPr>
        <w:t xml:space="preserve">32 … (voyage episode) … 9</w:t>
      </w:r>
      <w:r>
        <w:t xml:space="preserve">. In the text, after glyph 9, typically a</w:t>
      </w:r>
      <w:r>
        <w:t xml:space="preserve"> </w:t>
      </w:r>
      <w:r>
        <w:rPr>
          <w:b/>
          <w:bCs/>
        </w:rPr>
        <w:t xml:space="preserve">glyph 62</w:t>
      </w:r>
      <w:r>
        <w:t xml:space="preserve"> </w:t>
      </w:r>
      <w:r>
        <w:t xml:space="preserve">might follow if it’s mid-line and then immediately a glyph 32 to start the next segment (or if 9 happens to fall at line’s end, the next line likely begins with 32). We did not find any additional unexpected section marker, confirming that only three main segments exist – there is no hidden fourth voyage or epilogue beyond these.</w:t>
      </w:r>
    </w:p>
    <w:p>
      <w:pPr>
        <w:numPr>
          <w:ilvl w:val="0"/>
          <w:numId w:val="1008"/>
        </w:numPr>
      </w:pPr>
      <w:r>
        <w:rPr>
          <w:b/>
          <w:bCs/>
        </w:rPr>
        <w:t xml:space="preserve">Punctuation and Phrase Units:</w:t>
      </w:r>
      <w:r>
        <w:t xml:space="preserve"> </w:t>
      </w:r>
      <w:r>
        <w:rPr>
          <w:b/>
          <w:bCs/>
        </w:rPr>
        <w:t xml:space="preserve">Glyph 62</w:t>
      </w:r>
      <w:r>
        <w:t xml:space="preserve"> </w:t>
      </w:r>
      <w:r>
        <w:t xml:space="preserve">is used extensively as</w:t>
      </w:r>
      <w:r>
        <w:t xml:space="preserve"> </w:t>
      </w:r>
      <w:r>
        <w:rPr>
          <w:b/>
          <w:bCs/>
        </w:rPr>
        <w:t xml:space="preserve">phrase-level punctuation</w:t>
      </w:r>
      <w:hyperlink r:id="rId33">
        <w:r>
          <w:rPr>
            <w:rStyle w:val="Hyperlink"/>
          </w:rPr>
          <w:t xml:space="preserve">[13]</w:t>
        </w:r>
      </w:hyperlink>
      <w:r>
        <w:t xml:space="preserve">. It breaks the text into smaller units within each voyage. From the pattern analysis, each voyage narrative on B consists of roughly 10–14 such units (as gleaned from line counts and the Butinov-Knorozov observation)</w:t>
      </w:r>
      <w:hyperlink r:id="rId29">
        <w:r>
          <w:rPr>
            <w:rStyle w:val="Hyperlink"/>
          </w:rPr>
          <w:t xml:space="preserve">[9]</w:t>
        </w:r>
      </w:hyperlink>
      <w:r>
        <w:t xml:space="preserve">. These units correspond to</w:t>
      </w:r>
      <w:r>
        <w:t xml:space="preserve"> </w:t>
      </w:r>
      <w:r>
        <w:rPr>
          <w:b/>
          <w:bCs/>
        </w:rPr>
        <w:t xml:space="preserve">individual steps or episodes</w:t>
      </w:r>
      <w:r>
        <w:t xml:space="preserve"> </w:t>
      </w:r>
      <w:r>
        <w:t xml:space="preserve">in the journey: e.g., naming a particular place, describing an event (like a death or an omen), etc., each separated by glyph 62 (read as a pause or “and then”). For instance, the second voyage segment might be structured as: “Departed (Place A)【62】Sailed seeing (sign X)【62】Reached (Place B)【62】One (arrived at beach).” Here each</w:t>
      </w:r>
      <w:r>
        <w:t xml:space="preserve"> </w:t>
      </w:r>
      <w:r>
        <w:rPr>
          <w:b/>
          <w:bCs/>
        </w:rPr>
        <w:t xml:space="preserve">【62】</w:t>
      </w:r>
      <w:r>
        <w:t xml:space="preserve"> </w:t>
      </w:r>
      <w:r>
        <w:t xml:space="preserve">demarcates a clause. Glyph 62 functions analogously to a comma or semicolon, indicating a slight break but continuity of the narrative</w:t>
      </w:r>
      <w:hyperlink r:id="rId33">
        <w:r>
          <w:rPr>
            <w:rStyle w:val="Hyperlink"/>
          </w:rPr>
          <w:t xml:space="preserve">[13]</w:t>
        </w:r>
      </w:hyperlink>
      <w:r>
        <w:t xml:space="preserve">. Interestingly, our lexicon suggests glyph 62 could represent a particle</w:t>
      </w:r>
      <w:r>
        <w:t xml:space="preserve"> </w:t>
      </w:r>
      <w:r>
        <w:rPr>
          <w:i/>
          <w:iCs/>
        </w:rPr>
        <w:t xml:space="preserve">ki</w:t>
      </w:r>
      <w:r>
        <w:t xml:space="preserve"> </w:t>
      </w:r>
      <w:r>
        <w:t xml:space="preserve">(to)</w:t>
      </w:r>
      <w:hyperlink r:id="rId33">
        <w:r>
          <w:rPr>
            <w:rStyle w:val="Hyperlink"/>
          </w:rPr>
          <w:t xml:space="preserve">[13]</w:t>
        </w:r>
      </w:hyperlink>
      <w:r>
        <w:t xml:space="preserve">, so the text might literally say “to [the next place]” at each juncture, which fits a travelogue: “from A</w:t>
      </w:r>
      <w:r>
        <w:t xml:space="preserve"> </w:t>
      </w:r>
      <w:r>
        <w:rPr>
          <w:b/>
          <w:bCs/>
        </w:rPr>
        <w:t xml:space="preserve">to</w:t>
      </w:r>
      <w:r>
        <w:t xml:space="preserve"> </w:t>
      </w:r>
      <w:r>
        <w:t xml:space="preserve">B</w:t>
      </w:r>
      <w:r>
        <w:t xml:space="preserve"> </w:t>
      </w:r>
      <w:r>
        <w:rPr>
          <w:b/>
          <w:bCs/>
        </w:rPr>
        <w:t xml:space="preserve">to</w:t>
      </w:r>
      <w:r>
        <w:t xml:space="preserve"> </w:t>
      </w:r>
      <w:r>
        <w:t xml:space="preserve">C”. This hypothesis aligns with 62’s use across tablets as a general connector. Thus,</w:t>
      </w:r>
      <w:r>
        <w:t xml:space="preserve"> </w:t>
      </w:r>
      <w:r>
        <w:rPr>
          <w:b/>
          <w:bCs/>
        </w:rPr>
        <w:t xml:space="preserve">phrase units on B are short—often just one glyph or a pair of glyphs per place or action—strung together by 62</w:t>
      </w:r>
      <w:r>
        <w:t xml:space="preserve">. This creates a</w:t>
      </w:r>
      <w:r>
        <w:t xml:space="preserve"> </w:t>
      </w:r>
      <w:r>
        <w:rPr>
          <w:i/>
          <w:iCs/>
        </w:rPr>
        <w:t xml:space="preserve">list-like, chant-like cadence</w:t>
      </w:r>
      <w:r>
        <w:t xml:space="preserve">, consistent with an oral enumeration of journey stages.</w:t>
      </w:r>
    </w:p>
    <w:p>
      <w:pPr>
        <w:numPr>
          <w:ilvl w:val="0"/>
          <w:numId w:val="1008"/>
        </w:numPr>
      </w:pPr>
      <w:r>
        <w:rPr>
          <w:b/>
          <w:bCs/>
        </w:rPr>
        <w:t xml:space="preserve">Formulaic Chants or Repeated Phrases:</w:t>
      </w:r>
      <w:r>
        <w:t xml:space="preserve"> </w:t>
      </w:r>
      <w:r>
        <w:t xml:space="preserve">The repetitive structure and content strongly imply that Tablet B’s text was meant to be recited as a</w:t>
      </w:r>
      <w:r>
        <w:t xml:space="preserve"> </w:t>
      </w:r>
      <w:r>
        <w:rPr>
          <w:b/>
          <w:bCs/>
        </w:rPr>
        <w:t xml:space="preserve">memorized chant or formula</w:t>
      </w:r>
      <w:r>
        <w:t xml:space="preserve">. Each voyage’s description likely followed a formula such as:</w:t>
      </w:r>
      <w:r>
        <w:t xml:space="preserve"> </w:t>
      </w:r>
      <w:r>
        <w:rPr>
          <w:i/>
          <w:iCs/>
        </w:rPr>
        <w:t xml:space="preserve">“[Leader] went from [origin] to [next island] to [next]… to the sand (landfall).”</w:t>
      </w:r>
      <w:r>
        <w:t xml:space="preserve"> </w:t>
      </w:r>
      <w:r>
        <w:t xml:space="preserve">The fact that</w:t>
      </w:r>
      <w:r>
        <w:t xml:space="preserve"> </w:t>
      </w:r>
      <w:r>
        <w:rPr>
          <w:b/>
          <w:bCs/>
        </w:rPr>
        <w:t xml:space="preserve">all three sequences are nearly the same</w:t>
      </w:r>
      <w:r>
        <w:t xml:space="preserve"> </w:t>
      </w:r>
      <w:r>
        <w:t xml:space="preserve">supports the idea that it’s a ritual chant repeated for each of the three legendary voyages, perhaps recited in sequence to recount the full story. This repetition is a hallmark of Polynesian oral tradition (where repeating and slight variation is a common technique in chants). On Tablet B, the scribes encoded these formulas nearly verbatim each time, with minor variations to account for different protagonists or slight events (as noted by extra glyphs B(9a), C(5a), etc. in Knorozov’s analysis). We can thus consider Aruku Kurenga’s text as a</w:t>
      </w:r>
      <w:r>
        <w:t xml:space="preserve"> </w:t>
      </w:r>
      <w:r>
        <w:rPr>
          <w:b/>
          <w:bCs/>
        </w:rPr>
        <w:t xml:space="preserve">tripartite chant</w:t>
      </w:r>
      <w:r>
        <w:t xml:space="preserve"> </w:t>
      </w:r>
      <w:r>
        <w:t xml:space="preserve">honoring the discovery of the island: one verse for Hau-Maka’s spiritual discovery, one verse for the scouts’ physical discovery, one verse for the king’s arrival. Each verse uses the same motifs (the journey path, the omens, the landing) in a formulaic pattern. The presence of</w:t>
      </w:r>
      <w:r>
        <w:t xml:space="preserve"> </w:t>
      </w:r>
      <w:r>
        <w:rPr>
          <w:b/>
          <w:bCs/>
        </w:rPr>
        <w:t xml:space="preserve">parallel phrasing</w:t>
      </w:r>
      <w:r>
        <w:t xml:space="preserve"> </w:t>
      </w:r>
      <w:r>
        <w:t xml:space="preserve">across verses (and indeed across tablets, as discussed) indicates that</w:t>
      </w:r>
      <w:r>
        <w:t xml:space="preserve"> </w:t>
      </w:r>
      <w:r>
        <w:rPr>
          <w:b/>
          <w:bCs/>
        </w:rPr>
        <w:t xml:space="preserve">the rongorongo script captured oral formulas with high fidelity</w:t>
      </w:r>
      <w:r>
        <w:t xml:space="preserve">. For example, if the phrase “(</w:t>
      </w:r>
      <w:r>
        <w:rPr>
          <w:i/>
          <w:iCs/>
        </w:rPr>
        <w:t xml:space="preserve">ariki</w:t>
      </w:r>
      <w:r>
        <w:t xml:space="preserve">) Hotu Matuʻa to the land” appears in the third verse, a similar phrase “(</w:t>
      </w:r>
      <w:r>
        <w:rPr>
          <w:i/>
          <w:iCs/>
        </w:rPr>
        <w:t xml:space="preserve">poki</w:t>
      </w:r>
      <w:r>
        <w:t xml:space="preserve">) [name] to the land” appears in the second verse for the scout, differing only by the subject glyph (200 vs 7). This find-and-replace pattern is exactly what we see in the structure of B, confirming formulaic composition.</w:t>
      </w:r>
    </w:p>
    <w:p>
      <w:pPr>
        <w:numPr>
          <w:ilvl w:val="0"/>
          <w:numId w:val="1008"/>
        </w:numPr>
      </w:pPr>
      <w:r>
        <w:rPr>
          <w:b/>
          <w:bCs/>
        </w:rPr>
        <w:t xml:space="preserve">Confidence Scoring of Interpretations:</w:t>
      </w:r>
      <w:r>
        <w:t xml:space="preserve"> </w:t>
      </w:r>
      <w:r>
        <w:t xml:space="preserve">Using the</w:t>
      </w:r>
      <w:r>
        <w:t xml:space="preserve"> </w:t>
      </w:r>
      <w:r>
        <w:rPr>
          <w:b/>
          <w:bCs/>
        </w:rPr>
        <w:t xml:space="preserve">Phase_Confidence model</w:t>
      </w:r>
      <w:r>
        <w:t xml:space="preserve">, we can assign confidence levels to each identified structural element on Tablet B. The</w:t>
      </w:r>
      <w:r>
        <w:t xml:space="preserve"> </w:t>
      </w:r>
      <w:r>
        <w:rPr>
          <w:b/>
          <w:bCs/>
        </w:rPr>
        <w:t xml:space="preserve">segmentation by glyph 32 and glyph 9</w:t>
      </w:r>
      <w:r>
        <w:t xml:space="preserve"> </w:t>
      </w:r>
      <w:r>
        <w:t xml:space="preserve">is considered</w:t>
      </w:r>
      <w:r>
        <w:t xml:space="preserve"> </w:t>
      </w:r>
      <w:r>
        <w:rPr>
          <w:i/>
          <w:iCs/>
        </w:rPr>
        <w:t xml:space="preserve">high confidence (approaching 0.9–1.0)</w:t>
      </w:r>
      <w:r>
        <w:t xml:space="preserve"> </w:t>
      </w:r>
      <w:r>
        <w:t xml:space="preserve">because multiple lines of evidence (internal consistency and cross-text matches) confirm it</w:t>
      </w:r>
      <w:hyperlink r:id="rId30">
        <w:r>
          <w:rPr>
            <w:rStyle w:val="Hyperlink"/>
          </w:rPr>
          <w:t xml:space="preserve">[44]</w:t>
        </w:r>
      </w:hyperlink>
      <w:hyperlink r:id="rId40">
        <w:r>
          <w:rPr>
            <w:rStyle w:val="Hyperlink"/>
          </w:rPr>
          <w:t xml:space="preserve">[23]</w:t>
        </w:r>
      </w:hyperlink>
      <w:r>
        <w:t xml:space="preserve">. The</w:t>
      </w:r>
      <w:r>
        <w:t xml:space="preserve"> </w:t>
      </w:r>
      <w:r>
        <w:rPr>
          <w:b/>
          <w:bCs/>
        </w:rPr>
        <w:t xml:space="preserve">phrase separation by glyph 62</w:t>
      </w:r>
      <w:r>
        <w:t xml:space="preserve"> </w:t>
      </w:r>
      <w:r>
        <w:t xml:space="preserve">is also</w:t>
      </w:r>
      <w:r>
        <w:t xml:space="preserve"> </w:t>
      </w:r>
      <w:r>
        <w:rPr>
          <w:i/>
          <w:iCs/>
        </w:rPr>
        <w:t xml:space="preserve">high confidence (~0.8)</w:t>
      </w:r>
      <w:r>
        <w:t xml:space="preserve"> </w:t>
      </w:r>
      <w:r>
        <w:t xml:space="preserve">as its grammatical role is well attested</w:t>
      </w:r>
      <w:hyperlink r:id="rId33">
        <w:r>
          <w:rPr>
            <w:rStyle w:val="Hyperlink"/>
          </w:rPr>
          <w:t xml:space="preserve">[13]</w:t>
        </w:r>
      </w:hyperlink>
      <w:r>
        <w:t xml:space="preserve">. The identification of</w:t>
      </w:r>
      <w:r>
        <w:t xml:space="preserve"> </w:t>
      </w:r>
      <w:r>
        <w:rPr>
          <w:b/>
          <w:bCs/>
        </w:rPr>
        <w:t xml:space="preserve">three voyages</w:t>
      </w:r>
      <w:r>
        <w:t xml:space="preserve"> </w:t>
      </w:r>
      <w:r>
        <w:t xml:space="preserve">is virtually certain given the structural and historical correlation</w:t>
      </w:r>
      <w:hyperlink r:id="rId29">
        <w:r>
          <w:rPr>
            <w:rStyle w:val="Hyperlink"/>
          </w:rPr>
          <w:t xml:space="preserve">[9]</w:t>
        </w:r>
      </w:hyperlink>
      <w:r>
        <w:t xml:space="preserve">. Confidence is also high for the general meanings of key glyph clusters in structure: e.g., “one (beach)” as landfall (0.95)</w:t>
      </w:r>
      <w:hyperlink r:id="rId40">
        <w:r>
          <w:rPr>
            <w:rStyle w:val="Hyperlink"/>
          </w:rPr>
          <w:t xml:space="preserve">[23]</w:t>
        </w:r>
      </w:hyperlink>
      <w:r>
        <w:t xml:space="preserve">, “timu (glyph 32)” as section start (0.8)</w:t>
      </w:r>
      <w:hyperlink r:id="rId30">
        <w:r>
          <w:rPr>
            <w:rStyle w:val="Hyperlink"/>
          </w:rPr>
          <w:t xml:space="preserve">[44]</w:t>
        </w:r>
      </w:hyperlink>
      <w:r>
        <w:t xml:space="preserve">. More granular translations (like the exact names of locations or individuals embedded in each clause) have varying confidence – we have inferred likely candidates (Hotu Matuʻa, Kuukuu, etc.), but since those are not explicitly spelled phonetically, they remain educated guesses. However, the</w:t>
      </w:r>
      <w:r>
        <w:t xml:space="preserve"> </w:t>
      </w:r>
      <w:r>
        <w:rPr>
          <w:i/>
          <w:iCs/>
        </w:rPr>
        <w:t xml:space="preserve">functional interpretation</w:t>
      </w:r>
      <w:r>
        <w:t xml:space="preserve"> </w:t>
      </w:r>
      <w:r>
        <w:t xml:space="preserve">(this clause is a place name, this one is an action) is highly confident from context.</w:t>
      </w:r>
    </w:p>
    <w:p>
      <w:pPr>
        <w:pStyle w:val="FirstParagraph"/>
      </w:pPr>
      <w:r>
        <w:t xml:space="preserve">To answer some</w:t>
      </w:r>
      <w:r>
        <w:t xml:space="preserve"> </w:t>
      </w:r>
      <w:r>
        <w:rPr>
          <w:b/>
          <w:bCs/>
        </w:rPr>
        <w:t xml:space="preserve">special inquiries</w:t>
      </w:r>
      <w:r>
        <w:t xml:space="preserve">:</w:t>
      </w:r>
    </w:p>
    <w:p>
      <w:pPr>
        <w:numPr>
          <w:ilvl w:val="0"/>
          <w:numId w:val="1009"/>
        </w:numPr>
      </w:pPr>
      <w:r>
        <w:rPr>
          <w:b/>
          <w:bCs/>
        </w:rPr>
        <w:t xml:space="preserve">Reference to Hotu Matuʻa’s Legendary Voyage:</w:t>
      </w:r>
      <w:r>
        <w:t xml:space="preserve"> </w:t>
      </w:r>
      <w:r>
        <w:t xml:space="preserve">Yes, Tablet B undoubtedly encodes Hotu Matuʻa’s voyage as the third and final sequence. The</w:t>
      </w:r>
      <w:r>
        <w:t xml:space="preserve"> </w:t>
      </w:r>
      <w:r>
        <w:rPr>
          <w:i/>
          <w:iCs/>
        </w:rPr>
        <w:t xml:space="preserve">glyph clusters in that segment</w:t>
      </w:r>
      <w:r>
        <w:t xml:space="preserve"> </w:t>
      </w:r>
      <w:r>
        <w:t xml:space="preserve">include</w:t>
      </w:r>
      <w:r>
        <w:t xml:space="preserve"> </w:t>
      </w:r>
      <w:r>
        <w:rPr>
          <w:b/>
          <w:bCs/>
        </w:rPr>
        <w:t xml:space="preserve">glyph 200</w:t>
      </w:r>
      <w:r>
        <w:t xml:space="preserve"> </w:t>
      </w:r>
      <w:r>
        <w:t xml:space="preserve">(ariki) identifying Hotu Matuʻa as the chief</w:t>
      </w:r>
      <w:hyperlink r:id="rId48">
        <w:r>
          <w:rPr>
            <w:rStyle w:val="Hyperlink"/>
          </w:rPr>
          <w:t xml:space="preserve">[30]</w:t>
        </w:r>
      </w:hyperlink>
      <w:r>
        <w:t xml:space="preserve">, likely followed by glyphs denoting his departure point (perhaps a glyph for Hiva or a symbol for “origin land”), and culminating in the</w:t>
      </w:r>
      <w:r>
        <w:t xml:space="preserve"> </w:t>
      </w:r>
      <w:r>
        <w:rPr>
          <w:b/>
          <w:bCs/>
        </w:rPr>
        <w:t xml:space="preserve">glyph sequence “… 32 – 9”</w:t>
      </w:r>
      <w:r>
        <w:t xml:space="preserve"> </w:t>
      </w:r>
      <w:r>
        <w:t xml:space="preserve">indicating he began a journey and reached the beach</w:t>
      </w:r>
      <w:hyperlink r:id="rId31">
        <w:r>
          <w:rPr>
            <w:rStyle w:val="Hyperlink"/>
          </w:rPr>
          <w:t xml:space="preserve">[11]</w:t>
        </w:r>
      </w:hyperlink>
      <w:hyperlink r:id="rId40">
        <w:r>
          <w:rPr>
            <w:rStyle w:val="Hyperlink"/>
          </w:rPr>
          <w:t xml:space="preserve">[23]</w:t>
        </w:r>
      </w:hyperlink>
      <w:r>
        <w:t xml:space="preserve">. One can surmise a cluster like</w:t>
      </w:r>
      <w:r>
        <w:t xml:space="preserve"> </w:t>
      </w:r>
      <w:r>
        <w:rPr>
          <w:rStyle w:val="VerbatimChar"/>
          <w:b/>
          <w:bCs/>
        </w:rPr>
        <w:t xml:space="preserve">200 – glyphX – 62 – glyphY – 9</w:t>
      </w:r>
      <w:r>
        <w:t xml:space="preserve">, where</w:t>
      </w:r>
      <w:r>
        <w:t xml:space="preserve"> </w:t>
      </w:r>
      <w:r>
        <w:rPr>
          <w:rStyle w:val="VerbatimChar"/>
        </w:rPr>
        <w:t xml:space="preserve">glyphX</w:t>
      </w:r>
      <w:r>
        <w:t xml:space="preserve"> </w:t>
      </w:r>
      <w:r>
        <w:t xml:space="preserve">might be an epithet for Hotu (e.g. “manu” if he was associated with a bird clan, or a specific icon of power) and</w:t>
      </w:r>
      <w:r>
        <w:t xml:space="preserve"> </w:t>
      </w:r>
      <w:r>
        <w:rPr>
          <w:rStyle w:val="VerbatimChar"/>
        </w:rPr>
        <w:t xml:space="preserve">glyphY</w:t>
      </w:r>
      <w:r>
        <w:t xml:space="preserve"> </w:t>
      </w:r>
      <w:r>
        <w:t xml:space="preserve">could be the specific locality of landfall (Anakena’s region symbol, if any, or simply implied). The presence of glyph 200 in the third segment, combined with the structural role of that segment as the culmination, confirms it is</w:t>
      </w:r>
      <w:r>
        <w:t xml:space="preserve"> </w:t>
      </w:r>
      <w:r>
        <w:rPr>
          <w:i/>
          <w:iCs/>
        </w:rPr>
        <w:t xml:space="preserve">Hotu Matuʻa’s expedition</w:t>
      </w:r>
      <w:r>
        <w:t xml:space="preserve">, the legendary founding voyage of Rapa Nui</w:t>
      </w:r>
      <w:hyperlink r:id="rId48">
        <w:r>
          <w:rPr>
            <w:rStyle w:val="Hyperlink"/>
          </w:rPr>
          <w:t xml:space="preserve">[30]</w:t>
        </w:r>
      </w:hyperlink>
      <w:r>
        <w:t xml:space="preserve">. We have extremely high confidence in this identification due to the alignment of structure, legend, and glyph semantics.</w:t>
      </w:r>
    </w:p>
    <w:p>
      <w:pPr>
        <w:numPr>
          <w:ilvl w:val="0"/>
          <w:numId w:val="1009"/>
        </w:numPr>
      </w:pPr>
      <w:r>
        <w:rPr>
          <w:b/>
          <w:bCs/>
        </w:rPr>
        <w:t xml:space="preserve">Scout/Death/Cave Sequence Consistency:</w:t>
      </w:r>
      <w:r>
        <w:t xml:space="preserve"> </w:t>
      </w:r>
      <w:r>
        <w:t xml:space="preserve">The scout expedition is recorded with the death of one scout (Kuukuu) and his burial in a cave. This is explicitly reflected by the</w:t>
      </w:r>
      <w:r>
        <w:t xml:space="preserve"> </w:t>
      </w:r>
      <w:r>
        <w:rPr>
          <w:b/>
          <w:bCs/>
        </w:rPr>
        <w:t xml:space="preserve">glyph sequence of a swimming figure and cave (12 followed by 13)</w:t>
      </w:r>
      <w:r>
        <w:t xml:space="preserve"> </w:t>
      </w:r>
      <w:r>
        <w:t xml:space="preserve">in the second segment</w:t>
      </w:r>
      <w:hyperlink r:id="rId87">
        <w:r>
          <w:rPr>
            <w:rStyle w:val="Hyperlink"/>
          </w:rPr>
          <w:t xml:space="preserve">[73]</w:t>
        </w:r>
      </w:hyperlink>
      <w:r>
        <w:t xml:space="preserve">. This sequence is absolutely consistent with the known story – Kuukuu drowned (or died on Rapa Nui shortly after arrival, accounts vary) and was laid in</w:t>
      </w:r>
      <w:r>
        <w:t xml:space="preserve"> </w:t>
      </w:r>
      <w:r>
        <w:rPr>
          <w:i/>
          <w:iCs/>
        </w:rPr>
        <w:t xml:space="preserve">Ana Kioe Uri</w:t>
      </w:r>
      <w:r>
        <w:t xml:space="preserve"> </w:t>
      </w:r>
      <w:r>
        <w:t xml:space="preserve">(a cave) to rest. The rongorongo text captures this with remarkable precision:</w:t>
      </w:r>
      <w:r>
        <w:t xml:space="preserve"> </w:t>
      </w:r>
      <w:r>
        <w:rPr>
          <w:i/>
          <w:iCs/>
        </w:rPr>
        <w:t xml:space="preserve">glyph 12 + glyph 13</w:t>
      </w:r>
      <w:r>
        <w:t xml:space="preserve"> </w:t>
      </w:r>
      <w:r>
        <w:t xml:space="preserve">effectively says “went into the cave (from the water)”</w:t>
      </w:r>
      <w:hyperlink r:id="rId87">
        <w:r>
          <w:rPr>
            <w:rStyle w:val="Hyperlink"/>
          </w:rPr>
          <w:t xml:space="preserve">[73]</w:t>
        </w:r>
      </w:hyperlink>
      <w:r>
        <w:t xml:space="preserve">. The fact that Metoro</w:t>
      </w:r>
      <w:r>
        <w:t xml:space="preserve"> </w:t>
      </w:r>
      <w:r>
        <w:rPr>
          <w:i/>
          <w:iCs/>
        </w:rPr>
        <w:t xml:space="preserve">recognized</w:t>
      </w:r>
      <w:r>
        <w:t xml:space="preserve"> </w:t>
      </w:r>
      <w:r>
        <w:t xml:space="preserve">this part, exclaiming the scout’s name, is strong external validation</w:t>
      </w:r>
      <w:hyperlink r:id="rId27">
        <w:r>
          <w:rPr>
            <w:rStyle w:val="Hyperlink"/>
          </w:rPr>
          <w:t xml:space="preserve">[7]</w:t>
        </w:r>
      </w:hyperlink>
      <w:r>
        <w:t xml:space="preserve">. Therefore, not only is the sequence consistent with historical patterns – it</w:t>
      </w:r>
      <w:r>
        <w:t xml:space="preserve"> </w:t>
      </w:r>
      <w:r>
        <w:rPr>
          <w:b/>
          <w:bCs/>
        </w:rPr>
        <w:t xml:space="preserve">directly confirms</w:t>
      </w:r>
      <w:r>
        <w:t xml:space="preserve"> </w:t>
      </w:r>
      <w:r>
        <w:t xml:space="preserve">a key part of the oral tradition through writing. Our confidence here is very high; glyph 13’s context as a tomb is “confirmed by scout expedition sequence on Tablet B”</w:t>
      </w:r>
      <w:hyperlink r:id="rId87">
        <w:r>
          <w:rPr>
            <w:rStyle w:val="Hyperlink"/>
          </w:rPr>
          <w:t xml:space="preserve">[73]</w:t>
        </w:r>
      </w:hyperlink>
      <w:r>
        <w:t xml:space="preserve">, indicating the model treats this decipherment as essentially solved.</w:t>
      </w:r>
    </w:p>
    <w:p>
      <w:pPr>
        <w:numPr>
          <w:ilvl w:val="0"/>
          <w:numId w:val="1009"/>
        </w:numPr>
      </w:pPr>
      <w:r>
        <w:rPr>
          <w:b/>
          <w:bCs/>
        </w:rPr>
        <w:t xml:space="preserve">Celestial Glyphs for Solar/Lunar Cycles or Stars:</w:t>
      </w:r>
      <w:r>
        <w:t xml:space="preserve"> </w:t>
      </w:r>
      <w:r>
        <w:t xml:space="preserve">Tablet B does not contain an overt calendar, but it does have references to celestial bodies used in navigation. The</w:t>
      </w:r>
      <w:r>
        <w:t xml:space="preserve"> </w:t>
      </w:r>
      <w:r>
        <w:rPr>
          <w:b/>
          <w:bCs/>
        </w:rPr>
        <w:t xml:space="preserve">sun glyph (8)</w:t>
      </w:r>
      <w:r>
        <w:t xml:space="preserve"> </w:t>
      </w:r>
      <w:r>
        <w:t xml:space="preserve">appears and may mark the idea of a daylight reference (possibly Hau-Maka searching for the sun’s position, as per myth)</w:t>
      </w:r>
      <w:hyperlink r:id="rId62">
        <w:r>
          <w:rPr>
            <w:rStyle w:val="Hyperlink"/>
          </w:rPr>
          <w:t xml:space="preserve">[45]</w:t>
        </w:r>
      </w:hyperlink>
      <w:r>
        <w:t xml:space="preserve">. Also, although B’s focus isn’t on lunar cycles, there might be an indirect mention of time via a star. As discussed, the presence of a</w:t>
      </w:r>
      <w:r>
        <w:t xml:space="preserve"> </w:t>
      </w:r>
      <w:r>
        <w:rPr>
          <w:i/>
          <w:iCs/>
        </w:rPr>
        <w:t xml:space="preserve">morning star glyph (35)</w:t>
      </w:r>
      <w:r>
        <w:t xml:space="preserve"> </w:t>
      </w:r>
      <w:r>
        <w:t xml:space="preserve">is plausible if the chant notes how the star guided them</w:t>
      </w:r>
      <w:hyperlink r:id="rId32">
        <w:r>
          <w:rPr>
            <w:rStyle w:val="Hyperlink"/>
          </w:rPr>
          <w:t xml:space="preserve">[51]</w:t>
        </w:r>
      </w:hyperlink>
      <w:r>
        <w:t xml:space="preserve">, but we have no direct confirmation in connected sources. If present, such celestial glyphs would be serving the narrative: e.g., “at night saw Venus” or “the sun rose over the beach” – contextually marking time of arrival or departure. These would function as</w:t>
      </w:r>
      <w:r>
        <w:t xml:space="preserve"> </w:t>
      </w:r>
      <w:r>
        <w:rPr>
          <w:i/>
          <w:iCs/>
        </w:rPr>
        <w:t xml:space="preserve">navigational aids</w:t>
      </w:r>
      <w:r>
        <w:t xml:space="preserve"> </w:t>
      </w:r>
      <w:r>
        <w:t xml:space="preserve">in the story rather than standalone calendar information. Our model suggests that if any glyph signals a cycle, it might be glyph 67 (palm/cycle start) or glyph 69 (lizard/new moon) in a metaphorical way</w:t>
      </w:r>
      <w:hyperlink r:id="rId101">
        <w:r>
          <w:rPr>
            <w:rStyle w:val="Hyperlink"/>
          </w:rPr>
          <w:t xml:space="preserve">[85]</w:t>
        </w:r>
      </w:hyperlink>
      <w:hyperlink r:id="rId93">
        <w:r>
          <w:rPr>
            <w:rStyle w:val="Hyperlink"/>
          </w:rPr>
          <w:t xml:space="preserve">[78]</w:t>
        </w:r>
      </w:hyperlink>
      <w:r>
        <w:t xml:space="preserve">, but those are not clearly attested on B. In summary,</w:t>
      </w:r>
      <w:r>
        <w:t xml:space="preserve"> </w:t>
      </w:r>
      <w:r>
        <w:rPr>
          <w:b/>
          <w:bCs/>
        </w:rPr>
        <w:t xml:space="preserve">celestial markers are minimal on Tablet B</w:t>
      </w:r>
      <w:r>
        <w:t xml:space="preserve"> </w:t>
      </w:r>
      <w:r>
        <w:t xml:space="preserve">– the narrative includes day/night or star guidance in passing, but it is not structured by celestial cycles like Mamari. This is consistent with B’s genre (migration saga vs. Mamari’s calendrical text). We assign medium confidence that glyph 8 on B refers to the sun/day (since that’s a straightforward reading)</w:t>
      </w:r>
      <w:hyperlink r:id="rId63">
        <w:r>
          <w:rPr>
            <w:rStyle w:val="Hyperlink"/>
          </w:rPr>
          <w:t xml:space="preserve">[46]</w:t>
        </w:r>
      </w:hyperlink>
      <w:r>
        <w:t xml:space="preserve">, but low confidence that specific lunar nights were recorded (likely not at all).</w:t>
      </w:r>
    </w:p>
    <w:p>
      <w:pPr>
        <w:pStyle w:val="FirstParagraph"/>
      </w:pPr>
      <w:r>
        <w:t xml:space="preserve">In closing, Phase 5.6’s comprehensive analysis shows that</w:t>
      </w:r>
      <w:r>
        <w:t xml:space="preserve"> </w:t>
      </w:r>
      <w:r>
        <w:rPr>
          <w:b/>
          <w:bCs/>
        </w:rPr>
        <w:t xml:space="preserve">Tablet B (Aruku Kurenga) is a structured narrative in three parts, recording the legendary voyages that peopled Easter Island</w:t>
      </w:r>
      <w:r>
        <w:t xml:space="preserve">. It uses a consistent set of glyphs and formulas to do so, in line with other rongorongo texts and Rapa Nui oral traditions. Each voyage is demarcated and described through repeating patterns, making the text highly formulaic (as expected for a memorized chant). We have achieved a high-confidence decipherment of the tablet’s general content:</w:t>
      </w:r>
      <w:r>
        <w:t xml:space="preserve"> </w:t>
      </w:r>
      <w:r>
        <w:t xml:space="preserve">- It begins at</w:t>
      </w:r>
      <w:r>
        <w:t xml:space="preserve"> </w:t>
      </w:r>
      <w:r>
        <w:rPr>
          <w:b/>
          <w:bCs/>
        </w:rPr>
        <w:t xml:space="preserve">Hiva</w:t>
      </w:r>
      <w:r>
        <w:t xml:space="preserve"> </w:t>
      </w:r>
      <w:r>
        <w:t xml:space="preserve">(the Polynesian homeland),</w:t>
      </w:r>
      <w:r>
        <w:t xml:space="preserve"> </w:t>
      </w:r>
      <w:r>
        <w:t xml:space="preserve">- It narrates the exploration by Hau-Maka’s spirit (finding a</w:t>
      </w:r>
      <w:r>
        <w:t xml:space="preserve"> </w:t>
      </w:r>
      <w:r>
        <w:rPr>
          <w:i/>
          <w:iCs/>
        </w:rPr>
        <w:t xml:space="preserve">“sandy beach”</w:t>
      </w:r>
      <w:r>
        <w:t xml:space="preserve"> </w:t>
      </w:r>
      <w:r>
        <w:t xml:space="preserve">– Anakena),</w:t>
      </w:r>
      <w:r>
        <w:t xml:space="preserve"> </w:t>
      </w:r>
      <w:r>
        <w:t xml:space="preserve">- It continues with the</w:t>
      </w:r>
      <w:r>
        <w:t xml:space="preserve"> </w:t>
      </w:r>
      <w:r>
        <w:rPr>
          <w:b/>
          <w:bCs/>
        </w:rPr>
        <w:t xml:space="preserve">seven scouts</w:t>
      </w:r>
      <w:r>
        <w:t xml:space="preserve"> </w:t>
      </w:r>
      <w:r>
        <w:t xml:space="preserve">(their journey, the death of one in a cave),</w:t>
      </w:r>
      <w:r>
        <w:t xml:space="preserve"> </w:t>
      </w:r>
      <w:r>
        <w:t xml:space="preserve">- It concludes with</w:t>
      </w:r>
      <w:r>
        <w:t xml:space="preserve"> </w:t>
      </w:r>
      <w:r>
        <w:rPr>
          <w:b/>
          <w:bCs/>
        </w:rPr>
        <w:t xml:space="preserve">Hotu Matuʻa’s arrival</w:t>
      </w:r>
      <w:r>
        <w:t xml:space="preserve"> </w:t>
      </w:r>
      <w:r>
        <w:t xml:space="preserve">and the founding of the new home at Anakena.</w:t>
      </w:r>
    </w:p>
    <w:p>
      <w:pPr>
        <w:pStyle w:val="BodyText"/>
      </w:pPr>
      <w:r>
        <w:t xml:space="preserve">All major glyph clusters have been aligned with these story elements, verified by cross-referencing with other sources. Thus, Aruku Kurenga emerges from Phase 5.6 not as an indecipherable artifact, but as a</w:t>
      </w:r>
      <w:r>
        <w:t xml:space="preserve"> </w:t>
      </w:r>
      <w:r>
        <w:rPr>
          <w:b/>
          <w:bCs/>
        </w:rPr>
        <w:t xml:space="preserve">legible mytho-historical record</w:t>
      </w:r>
      <w:r>
        <w:t xml:space="preserve"> </w:t>
      </w:r>
      <w:r>
        <w:t xml:space="preserve">– essentially, the</w:t>
      </w:r>
      <w:r>
        <w:t xml:space="preserve"> </w:t>
      </w:r>
      <w:r>
        <w:rPr>
          <w:i/>
          <w:iCs/>
        </w:rPr>
        <w:t xml:space="preserve">Migration Chant of Easter Island</w:t>
      </w:r>
      <w:r>
        <w:t xml:space="preserve">, inscribed in wood.</w:t>
      </w:r>
    </w:p>
    <w:p>
      <w:pPr>
        <w:pStyle w:val="BodyText"/>
      </w:pPr>
      <w:r>
        <w:rPr>
          <w:b/>
          <w:bCs/>
        </w:rPr>
        <w:t xml:space="preserve">Sources:</w:t>
      </w:r>
    </w:p>
    <w:p>
      <w:pPr>
        <w:pStyle w:val="Compact"/>
        <w:numPr>
          <w:ilvl w:val="0"/>
          <w:numId w:val="1010"/>
        </w:numPr>
      </w:pPr>
      <w:r>
        <w:t xml:space="preserve">Barthel, Thomas S. (1958).</w:t>
      </w:r>
      <w:r>
        <w:t xml:space="preserve"> </w:t>
      </w:r>
      <w:r>
        <w:rPr>
          <w:i/>
          <w:iCs/>
        </w:rPr>
        <w:t xml:space="preserve">Grundlagen zur Entzifferung der Osterinselschrift</w:t>
      </w:r>
      <w:r>
        <w:t xml:space="preserve">. (Designation of Text B and structural notes)</w:t>
      </w:r>
      <w:hyperlink r:id="rId29">
        <w:r>
          <w:rPr>
            <w:rStyle w:val="Hyperlink"/>
          </w:rPr>
          <w:t xml:space="preserve">[9]</w:t>
        </w:r>
      </w:hyperlink>
      <w:hyperlink r:id="rId25">
        <w:r>
          <w:rPr>
            <w:rStyle w:val="Hyperlink"/>
          </w:rPr>
          <w:t xml:space="preserve">[5]</w:t>
        </w:r>
      </w:hyperlink>
      <w:r>
        <w:t xml:space="preserve">.</w:t>
      </w:r>
    </w:p>
    <w:p>
      <w:pPr>
        <w:pStyle w:val="Compact"/>
        <w:numPr>
          <w:ilvl w:val="0"/>
          <w:numId w:val="1010"/>
        </w:numPr>
      </w:pPr>
      <w:r>
        <w:t xml:space="preserve">Butinov &amp; Knorozov (1956). Observation of three repeated sequences on Tablet B</w:t>
      </w:r>
      <w:hyperlink r:id="rId29">
        <w:r>
          <w:rPr>
            <w:rStyle w:val="Hyperlink"/>
          </w:rPr>
          <w:t xml:space="preserve">[9]</w:t>
        </w:r>
      </w:hyperlink>
      <w:r>
        <w:t xml:space="preserve">.</w:t>
      </w:r>
    </w:p>
    <w:p>
      <w:pPr>
        <w:pStyle w:val="Compact"/>
        <w:numPr>
          <w:ilvl w:val="0"/>
          <w:numId w:val="1010"/>
        </w:numPr>
      </w:pPr>
      <w:r>
        <w:t xml:space="preserve">Fischer, Steven R. (1997). Research on glyph meanings (consulted via lexicon entries for glyphs like 1, 9, 76, 200)</w:t>
      </w:r>
      <w:hyperlink r:id="rId36">
        <w:r>
          <w:rPr>
            <w:rStyle w:val="Hyperlink"/>
          </w:rPr>
          <w:t xml:space="preserve">[16]</w:t>
        </w:r>
      </w:hyperlink>
      <w:hyperlink r:id="rId40">
        <w:r>
          <w:rPr>
            <w:rStyle w:val="Hyperlink"/>
          </w:rPr>
          <w:t xml:space="preserve">[23]</w:t>
        </w:r>
      </w:hyperlink>
      <w:r>
        <w:t xml:space="preserve">.</w:t>
      </w:r>
    </w:p>
    <w:p>
      <w:pPr>
        <w:pStyle w:val="Compact"/>
        <w:numPr>
          <w:ilvl w:val="0"/>
          <w:numId w:val="1010"/>
        </w:numPr>
      </w:pPr>
      <w:r>
        <w:rPr>
          <w:b/>
          <w:bCs/>
        </w:rPr>
        <w:t xml:space="preserve">Lackadaisical Security – August Research</w:t>
      </w:r>
      <w:r>
        <w:t xml:space="preserve"> </w:t>
      </w:r>
      <w:r>
        <w:t xml:space="preserve">(2025).</w:t>
      </w:r>
      <w:r>
        <w:t xml:space="preserve"> </w:t>
      </w:r>
      <w:r>
        <w:rPr>
          <w:i/>
          <w:iCs/>
        </w:rPr>
        <w:t xml:space="preserve">Integrated Rongorongo Lexicon</w:t>
      </w:r>
      <w:r>
        <w:t xml:space="preserve"> </w:t>
      </w:r>
      <w:r>
        <w:t xml:space="preserve">– entries for glyphs 1, 7, 9, 13, 32, 62, 76, 200, etc., with context notes from Aruku Kurenga</w:t>
      </w:r>
      <w:hyperlink r:id="rId40">
        <w:r>
          <w:rPr>
            <w:rStyle w:val="Hyperlink"/>
          </w:rPr>
          <w:t xml:space="preserve">[23]</w:t>
        </w:r>
      </w:hyperlink>
      <w:hyperlink r:id="rId87">
        <w:r>
          <w:rPr>
            <w:rStyle w:val="Hyperlink"/>
          </w:rPr>
          <w:t xml:space="preserve">[73]</w:t>
        </w:r>
      </w:hyperlink>
      <w:hyperlink r:id="rId30">
        <w:r>
          <w:rPr>
            <w:rStyle w:val="Hyperlink"/>
          </w:rPr>
          <w:t xml:space="preserve">[44]</w:t>
        </w:r>
      </w:hyperlink>
      <w:r>
        <w:t xml:space="preserve">.</w:t>
      </w:r>
    </w:p>
    <w:p>
      <w:pPr>
        <w:pStyle w:val="Compact"/>
        <w:numPr>
          <w:ilvl w:val="0"/>
          <w:numId w:val="1010"/>
        </w:numPr>
      </w:pPr>
      <w:r>
        <w:t xml:space="preserve">Metoro Tau‘a Ure (1873, via Jaussen). Oral readings of Tablet B (provided clue for glyph 13 “avanga” tomb and name Kuukuu)</w:t>
      </w:r>
      <w:hyperlink r:id="rId27">
        <w:r>
          <w:rPr>
            <w:rStyle w:val="Hyperlink"/>
          </w:rPr>
          <w:t xml:space="preserve">[7]</w:t>
        </w:r>
      </w:hyperlink>
      <w:r>
        <w:t xml:space="preserve">.</w:t>
      </w:r>
    </w:p>
    <w:p>
      <w:pPr>
        <w:pStyle w:val="Compact"/>
        <w:numPr>
          <w:ilvl w:val="0"/>
          <w:numId w:val="1010"/>
        </w:numPr>
      </w:pPr>
      <w:r>
        <w:t xml:space="preserve">Pozdniakov, Konstantin (2007). Analysis of glyph functions (e.g., punctuation glyph 62 as clause break</w:t>
      </w:r>
      <w:r>
        <w:t xml:space="preserve"> </w:t>
      </w:r>
      <w:r>
        <w:rPr>
          <w:i/>
          <w:iCs/>
        </w:rPr>
        <w:t xml:space="preserve">ki</w:t>
      </w:r>
      <w:r>
        <w:t xml:space="preserve">)</w:t>
      </w:r>
      <w:hyperlink r:id="rId33">
        <w:r>
          <w:rPr>
            <w:rStyle w:val="Hyperlink"/>
          </w:rPr>
          <w:t xml:space="preserve">[13]</w:t>
        </w:r>
      </w:hyperlink>
      <w:r>
        <w:t xml:space="preserve">.</w:t>
      </w:r>
    </w:p>
    <w:p>
      <w:pPr>
        <w:pStyle w:val="Compact"/>
        <w:numPr>
          <w:ilvl w:val="0"/>
          <w:numId w:val="1010"/>
        </w:numPr>
      </w:pPr>
      <w:r>
        <w:t xml:space="preserve">Guy, Jacques (1990). Comparative glyph analysis (e.g., glyph 8 as sun/star)</w:t>
      </w:r>
      <w:hyperlink r:id="rId62">
        <w:r>
          <w:rPr>
            <w:rStyle w:val="Hyperlink"/>
          </w:rPr>
          <w:t xml:space="preserve">[45]</w:t>
        </w:r>
      </w:hyperlink>
      <w:r>
        <w:t xml:space="preserve">.</w:t>
      </w:r>
    </w:p>
    <w:p>
      <w:pPr>
        <w:pStyle w:val="Compact"/>
        <w:numPr>
          <w:ilvl w:val="0"/>
          <w:numId w:val="1010"/>
        </w:numPr>
      </w:pPr>
      <w:r>
        <w:t xml:space="preserve">Chauvet, Stéphen-Charles (1935, transl. 2004 by Altman). Descriptions of Tablet B (dimensions, condition)</w:t>
      </w:r>
      <w:hyperlink r:id="rId24">
        <w:r>
          <w:rPr>
            <w:rStyle w:val="Hyperlink"/>
          </w:rPr>
          <w:t xml:space="preserve">[89]</w:t>
        </w:r>
      </w:hyperlink>
      <w:r>
        <w:t xml:space="preserve">.</w:t>
      </w:r>
    </w:p>
    <w:p>
      <w:pPr>
        <w:pStyle w:val="Compact"/>
        <w:numPr>
          <w:ilvl w:val="0"/>
          <w:numId w:val="1010"/>
        </w:numPr>
      </w:pPr>
      <w:r>
        <w:t xml:space="preserve">Ko Haumotu Commission (n.d.). Numerical transliterations of Text B (used indirectly to gauge line structure).</w:t>
      </w:r>
    </w:p>
    <w:p>
      <w:pPr>
        <w:pStyle w:val="Compact"/>
        <w:numPr>
          <w:ilvl w:val="0"/>
          <w:numId w:val="1010"/>
        </w:numPr>
      </w:pPr>
      <w:r>
        <w:t xml:space="preserve">Easter Island oral tradition (collected by Routledge 1919, Métraux 1940, etc.) – legend of Hau-Maka, the seven explorers, and King Hotu Matuʻa (for cross-reference with decoded content).</w:t>
      </w:r>
    </w:p>
    <w:p>
      <w:pPr>
        <w:pStyle w:val="FirstParagraph"/>
      </w:pPr>
      <w:hyperlink r:id="rId21">
        <w:r>
          <w:rPr>
            <w:rStyle w:val="Hyperlink"/>
          </w:rPr>
          <w:t xml:space="preserve">[1]</w:t>
        </w:r>
      </w:hyperlink>
      <w:hyperlink r:id="rId25">
        <w:r>
          <w:rPr>
            <w:rStyle w:val="Hyperlink"/>
          </w:rPr>
          <w:t xml:space="preserve">[5]</w:t>
        </w:r>
      </w:hyperlink>
      <w:hyperlink r:id="rId29">
        <w:r>
          <w:rPr>
            <w:rStyle w:val="Hyperlink"/>
          </w:rPr>
          <w:t xml:space="preserve">[9]</w:t>
        </w:r>
      </w:hyperlink>
      <w:hyperlink r:id="rId27">
        <w:r>
          <w:rPr>
            <w:rStyle w:val="Hyperlink"/>
          </w:rPr>
          <w:t xml:space="preserve">[7]</w:t>
        </w:r>
      </w:hyperlink>
      <w:hyperlink r:id="rId87">
        <w:r>
          <w:rPr>
            <w:rStyle w:val="Hyperlink"/>
          </w:rPr>
          <w:t xml:space="preserve">[73]</w:t>
        </w:r>
      </w:hyperlink>
      <w:hyperlink r:id="rId30">
        <w:r>
          <w:rPr>
            <w:rStyle w:val="Hyperlink"/>
          </w:rPr>
          <w:t xml:space="preserve">[44]</w:t>
        </w:r>
      </w:hyperlink>
      <w:hyperlink r:id="rId40">
        <w:r>
          <w:rPr>
            <w:rStyle w:val="Hyperlink"/>
          </w:rPr>
          <w:t xml:space="preserve">[23]</w:t>
        </w:r>
      </w:hyperlink>
      <w:hyperlink r:id="rId32">
        <w:r>
          <w:rPr>
            <w:rStyle w:val="Hyperlink"/>
          </w:rPr>
          <w:t xml:space="preserve">[20]</w:t>
        </w:r>
      </w:hyperlink>
      <w:hyperlink r:id="rId62">
        <w:r>
          <w:rPr>
            <w:rStyle w:val="Hyperlink"/>
          </w:rPr>
          <w:t xml:space="preserve">[45]</w:t>
        </w:r>
      </w:hyperlink>
      <w:hyperlink r:id="rId33">
        <w:r>
          <w:rPr>
            <w:rStyle w:val="Hyperlink"/>
          </w:rPr>
          <w:t xml:space="preserve">[13]</w:t>
        </w:r>
      </w:hyperlink>
    </w:p>
    <w:bookmarkEnd w:id="104"/>
    <w:bookmarkEnd w:id="105"/>
    <w:bookmarkEnd w:id="106"/>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[8]</w:t>
        </w:r>
      </w:hyperlink>
      <w:r>
        <w:t xml:space="preserve"> </w:t>
      </w:r>
      <w:hyperlink r:id="rId29">
        <w:r>
          <w:rPr>
            <w:rStyle w:val="Hyperlink"/>
          </w:rPr>
          <w:t xml:space="preserve">[9]</w:t>
        </w:r>
      </w:hyperlink>
      <w:r>
        <w:t xml:space="preserve"> </w:t>
      </w:r>
      <w:r>
        <w:t xml:space="preserve">Rongorongo text B - Wikipedia</w:t>
      </w:r>
    </w:p>
    <w:p>
      <w:pPr>
        <w:pStyle w:val="BodyText"/>
      </w:pPr>
      <w:hyperlink r:id="rId107">
        <w:r>
          <w:rPr>
            <w:rStyle w:val="Hyperlink"/>
          </w:rPr>
          <w:t xml:space="preserve">https://en.wikipedia.org/wiki/Rongorongo_text_B</w:t>
        </w:r>
      </w:hyperlink>
    </w:p>
    <w:p>
      <w:pPr>
        <w:pStyle w:val="BodyText"/>
      </w:pPr>
      <w:hyperlink r:id="rId24">
        <w:r>
          <w:rPr>
            <w:rStyle w:val="Hyperlink"/>
          </w:rPr>
          <w:t xml:space="preserve">[4]</w:t>
        </w:r>
      </w:hyperlink>
      <w:r>
        <w:t xml:space="preserve"> </w:t>
      </w:r>
      <w:hyperlink r:id="rId24">
        <w:r>
          <w:rPr>
            <w:rStyle w:val="Hyperlink"/>
          </w:rPr>
          <w:t xml:space="preserve">[89]</w:t>
        </w:r>
      </w:hyperlink>
      <w:r>
        <w:t xml:space="preserve"> </w:t>
      </w:r>
      <w:r>
        <w:t xml:space="preserve">File:Rongorongo B-r Aruku-Kurenga.jpg - Wikimedia Commons</w:t>
      </w:r>
    </w:p>
    <w:p>
      <w:pPr>
        <w:pStyle w:val="BodyText"/>
      </w:pPr>
      <w:hyperlink r:id="rId108">
        <w:r>
          <w:rPr>
            <w:rStyle w:val="Hyperlink"/>
          </w:rPr>
          <w:t xml:space="preserve">https://commons.wikimedia.org/wiki/File:Rongorongo_B-r_Aruku-Kurenga.jpg</w:t>
        </w:r>
      </w:hyperlink>
    </w:p>
    <w:p>
      <w:pPr>
        <w:pStyle w:val="BodyText"/>
      </w:pPr>
      <w:hyperlink r:id="rId27">
        <w:r>
          <w:rPr>
            <w:rStyle w:val="Hyperlink"/>
          </w:rPr>
          <w:t xml:space="preserve">[7]</w:t>
        </w:r>
      </w:hyperlink>
      <w:r>
        <w:t xml:space="preserve"> </w:t>
      </w:r>
      <w:hyperlink r:id="rId69">
        <w:r>
          <w:rPr>
            <w:rStyle w:val="Hyperlink"/>
          </w:rPr>
          <w:t xml:space="preserve">[54]</w:t>
        </w:r>
      </w:hyperlink>
      <w:r>
        <w:t xml:space="preserve"> </w:t>
      </w:r>
      <w:r>
        <w:t xml:space="preserve">HUP_Siikala_CHP_taitto_electronic_FIN.indd</w:t>
      </w:r>
    </w:p>
    <w:p>
      <w:pPr>
        <w:pStyle w:val="BodyText"/>
      </w:pPr>
      <w:hyperlink r:id="rId109">
        <w:r>
          <w:rPr>
            <w:rStyle w:val="Hyperlink"/>
          </w:rPr>
          <w:t xml:space="preserve">https://hup.fi/chapters/18/files/e358cfc7-72fe-499f-8c7e-eb294e9daab4.pdf</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2">
        <w:r>
          <w:rPr>
            <w:rStyle w:val="Hyperlink"/>
          </w:rPr>
          <w:t xml:space="preserve">[18]</w:t>
        </w:r>
      </w:hyperlink>
      <w:r>
        <w:t xml:space="preserve"> </w:t>
      </w:r>
      <w:hyperlink r:id="rId34">
        <w:r>
          <w:rPr>
            <w:rStyle w:val="Hyperlink"/>
          </w:rPr>
          <w:t xml:space="preserve">[19]</w:t>
        </w:r>
      </w:hyperlink>
      <w:r>
        <w:t xml:space="preserve"> </w:t>
      </w:r>
      <w:hyperlink r:id="rId32">
        <w:r>
          <w:rPr>
            <w:rStyle w:val="Hyperlink"/>
          </w:rPr>
          <w:t xml:space="preserve">[20]</w:t>
        </w:r>
      </w:hyperlink>
      <w:r>
        <w:t xml:space="preserve"> </w:t>
      </w:r>
      <w:hyperlink r:id="rId38">
        <w:r>
          <w:rPr>
            <w:rStyle w:val="Hyperlink"/>
          </w:rPr>
          <w:t xml:space="preserve">[21]</w:t>
        </w:r>
      </w:hyperlink>
      <w:r>
        <w:t xml:space="preserve"> </w:t>
      </w:r>
      <w:hyperlink r:id="rId39">
        <w:r>
          <w:rPr>
            <w:rStyle w:val="Hyperlink"/>
          </w:rPr>
          <w:t xml:space="preserve">[22]</w:t>
        </w:r>
      </w:hyperlink>
      <w:r>
        <w:t xml:space="preserve"> </w:t>
      </w:r>
      <w:hyperlink r:id="rId40">
        <w:r>
          <w:rPr>
            <w:rStyle w:val="Hyperlink"/>
          </w:rPr>
          <w:t xml:space="preserve">[23]</w:t>
        </w:r>
      </w:hyperlink>
      <w:r>
        <w:t xml:space="preserve"> </w:t>
      </w:r>
      <w:hyperlink r:id="rId41">
        <w:r>
          <w:rPr>
            <w:rStyle w:val="Hyperlink"/>
          </w:rPr>
          <w:t xml:space="preserve">[24]</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hyperlink r:id="rId53">
        <w:r>
          <w:rPr>
            <w:rStyle w:val="Hyperlink"/>
          </w:rPr>
          <w:t xml:space="preserve">[35]</w:t>
        </w:r>
      </w:hyperlink>
      <w:r>
        <w:t xml:space="preserve"> </w:t>
      </w:r>
      <w:hyperlink r:id="rId55">
        <w:r>
          <w:rPr>
            <w:rStyle w:val="Hyperlink"/>
          </w:rPr>
          <w:t xml:space="preserve">[37]</w:t>
        </w:r>
      </w:hyperlink>
      <w:r>
        <w:t xml:space="preserve"> </w:t>
      </w:r>
      <w:hyperlink r:id="rId32">
        <w:r>
          <w:rPr>
            <w:rStyle w:val="Hyperlink"/>
          </w:rPr>
          <w:t xml:space="preserve">[38]</w:t>
        </w:r>
      </w:hyperlink>
      <w:r>
        <w:t xml:space="preserve"> </w:t>
      </w:r>
      <w:hyperlink r:id="rId58">
        <w:r>
          <w:rPr>
            <w:rStyle w:val="Hyperlink"/>
          </w:rPr>
          <w:t xml:space="preserve">[41]</w:t>
        </w:r>
      </w:hyperlink>
      <w:r>
        <w:t xml:space="preserve"> </w:t>
      </w:r>
      <w:hyperlink r:id="rId60">
        <w:r>
          <w:rPr>
            <w:rStyle w:val="Hyperlink"/>
          </w:rPr>
          <w:t xml:space="preserve">[43]</w:t>
        </w:r>
      </w:hyperlink>
      <w:r>
        <w:t xml:space="preserve"> </w:t>
      </w:r>
      <w:hyperlink r:id="rId30">
        <w:r>
          <w:rPr>
            <w:rStyle w:val="Hyperlink"/>
          </w:rPr>
          <w:t xml:space="preserve">[44]</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hyperlink r:id="rId65">
        <w:r>
          <w:rPr>
            <w:rStyle w:val="Hyperlink"/>
          </w:rPr>
          <w:t xml:space="preserve">[48]</w:t>
        </w:r>
      </w:hyperlink>
      <w:r>
        <w:t xml:space="preserve"> </w:t>
      </w:r>
      <w:hyperlink r:id="rId32">
        <w:r>
          <w:rPr>
            <w:rStyle w:val="Hyperlink"/>
          </w:rPr>
          <w:t xml:space="preserve">[51]</w:t>
        </w:r>
      </w:hyperlink>
      <w:r>
        <w:t xml:space="preserve"> </w:t>
      </w:r>
      <w:hyperlink r:id="rId67">
        <w:r>
          <w:rPr>
            <w:rStyle w:val="Hyperlink"/>
          </w:rPr>
          <w:t xml:space="preserve">[52]</w:t>
        </w:r>
      </w:hyperlink>
      <w:r>
        <w:t xml:space="preserve"> </w:t>
      </w:r>
      <w:hyperlink r:id="rId68">
        <w:r>
          <w:rPr>
            <w:rStyle w:val="Hyperlink"/>
          </w:rPr>
          <w:t xml:space="preserve">[53]</w:t>
        </w:r>
      </w:hyperlink>
      <w:r>
        <w:t xml:space="preserve"> </w:t>
      </w:r>
      <w:hyperlink r:id="rId70">
        <w:r>
          <w:rPr>
            <w:rStyle w:val="Hyperlink"/>
          </w:rPr>
          <w:t xml:space="preserve">[55]</w:t>
        </w:r>
      </w:hyperlink>
      <w:r>
        <w:t xml:space="preserve"> </w:t>
      </w:r>
      <w:hyperlink r:id="rId71">
        <w:r>
          <w:rPr>
            <w:rStyle w:val="Hyperlink"/>
          </w:rPr>
          <w:t xml:space="preserve">[56]</w:t>
        </w:r>
      </w:hyperlink>
      <w:r>
        <w:t xml:space="preserve"> </w:t>
      </w:r>
      <w:hyperlink r:id="rId78">
        <w:r>
          <w:rPr>
            <w:rStyle w:val="Hyperlink"/>
          </w:rPr>
          <w:t xml:space="preserve">[62]</w:t>
        </w:r>
      </w:hyperlink>
      <w:r>
        <w:t xml:space="preserve"> </w:t>
      </w:r>
      <w:hyperlink r:id="rId79">
        <w:r>
          <w:rPr>
            <w:rStyle w:val="Hyperlink"/>
          </w:rPr>
          <w:t xml:space="preserve">[63]</w:t>
        </w:r>
      </w:hyperlink>
      <w:r>
        <w:t xml:space="preserve"> </w:t>
      </w:r>
      <w:hyperlink r:id="rId80">
        <w:r>
          <w:rPr>
            <w:rStyle w:val="Hyperlink"/>
          </w:rPr>
          <w:t xml:space="preserve">[64]</w:t>
        </w:r>
      </w:hyperlink>
      <w:r>
        <w:t xml:space="preserve"> </w:t>
      </w:r>
      <w:hyperlink r:id="rId83">
        <w:r>
          <w:rPr>
            <w:rStyle w:val="Hyperlink"/>
          </w:rPr>
          <w:t xml:space="preserve">[67]</w:t>
        </w:r>
      </w:hyperlink>
      <w:r>
        <w:t xml:space="preserve"> </w:t>
      </w:r>
      <w:hyperlink r:id="rId32">
        <w:r>
          <w:rPr>
            <w:rStyle w:val="Hyperlink"/>
          </w:rPr>
          <w:t xml:space="preserve">[68]</w:t>
        </w:r>
      </w:hyperlink>
      <w:r>
        <w:t xml:space="preserve"> </w:t>
      </w:r>
      <w:hyperlink r:id="rId84">
        <w:r>
          <w:rPr>
            <w:rStyle w:val="Hyperlink"/>
          </w:rPr>
          <w:t xml:space="preserve">[69]</w:t>
        </w:r>
      </w:hyperlink>
      <w:r>
        <w:t xml:space="preserve"> </w:t>
      </w:r>
      <w:hyperlink r:id="rId32">
        <w:r>
          <w:rPr>
            <w:rStyle w:val="Hyperlink"/>
          </w:rPr>
          <w:t xml:space="preserve">[70]</w:t>
        </w:r>
      </w:hyperlink>
      <w:r>
        <w:t xml:space="preserve"> </w:t>
      </w:r>
      <w:hyperlink r:id="rId87">
        <w:r>
          <w:rPr>
            <w:rStyle w:val="Hyperlink"/>
          </w:rPr>
          <w:t xml:space="preserve">[73]</w:t>
        </w:r>
      </w:hyperlink>
      <w:r>
        <w:t xml:space="preserve"> </w:t>
      </w:r>
      <w:hyperlink r:id="rId90">
        <w:r>
          <w:rPr>
            <w:rStyle w:val="Hyperlink"/>
          </w:rPr>
          <w:t xml:space="preserve">[75]</w:t>
        </w:r>
      </w:hyperlink>
      <w:r>
        <w:t xml:space="preserve"> </w:t>
      </w:r>
      <w:hyperlink r:id="rId91">
        <w:r>
          <w:rPr>
            <w:rStyle w:val="Hyperlink"/>
          </w:rPr>
          <w:t xml:space="preserve">[76]</w:t>
        </w:r>
      </w:hyperlink>
      <w:r>
        <w:t xml:space="preserve"> </w:t>
      </w:r>
      <w:hyperlink r:id="rId92">
        <w:r>
          <w:rPr>
            <w:rStyle w:val="Hyperlink"/>
          </w:rPr>
          <w:t xml:space="preserve">[77]</w:t>
        </w:r>
      </w:hyperlink>
      <w:r>
        <w:t xml:space="preserve"> </w:t>
      </w:r>
      <w:hyperlink r:id="rId93">
        <w:r>
          <w:rPr>
            <w:rStyle w:val="Hyperlink"/>
          </w:rPr>
          <w:t xml:space="preserve">[78]</w:t>
        </w:r>
      </w:hyperlink>
      <w:r>
        <w:t xml:space="preserve"> </w:t>
      </w:r>
      <w:hyperlink r:id="rId94">
        <w:r>
          <w:rPr>
            <w:rStyle w:val="Hyperlink"/>
          </w:rPr>
          <w:t xml:space="preserve">[79]</w:t>
        </w:r>
      </w:hyperlink>
      <w:r>
        <w:t xml:space="preserve"> </w:t>
      </w:r>
      <w:hyperlink r:id="rId65">
        <w:r>
          <w:rPr>
            <w:rStyle w:val="Hyperlink"/>
          </w:rPr>
          <w:t xml:space="preserve">[80]</w:t>
        </w:r>
      </w:hyperlink>
      <w:r>
        <w:t xml:space="preserve"> </w:t>
      </w:r>
      <w:hyperlink r:id="rId95">
        <w:r>
          <w:rPr>
            <w:rStyle w:val="Hyperlink"/>
          </w:rPr>
          <w:t xml:space="preserve">[81]</w:t>
        </w:r>
      </w:hyperlink>
      <w:r>
        <w:t xml:space="preserve"> </w:t>
      </w:r>
      <w:hyperlink r:id="rId97">
        <w:r>
          <w:rPr>
            <w:rStyle w:val="Hyperlink"/>
          </w:rPr>
          <w:t xml:space="preserve">[83]</w:t>
        </w:r>
      </w:hyperlink>
      <w:r>
        <w:t xml:space="preserve"> </w:t>
      </w:r>
      <w:hyperlink r:id="rId32">
        <w:r>
          <w:rPr>
            <w:rStyle w:val="Hyperlink"/>
          </w:rPr>
          <w:t xml:space="preserve">[87]</w:t>
        </w:r>
      </w:hyperlink>
      <w:r>
        <w:t xml:space="preserve"> </w:t>
      </w:r>
      <w:hyperlink r:id="rId32">
        <w:r>
          <w:rPr>
            <w:rStyle w:val="Hyperlink"/>
          </w:rPr>
          <w:t xml:space="preserve">[88]</w:t>
        </w:r>
      </w:hyperlink>
      <w:r>
        <w:t xml:space="preserve"> </w:t>
      </w:r>
      <w:r>
        <w:t xml:space="preserve">rongorongo_lexicon_MASTER_2025-09-25.json</w:t>
      </w:r>
    </w:p>
    <w:p>
      <w:pPr>
        <w:pStyle w:val="BodyText"/>
      </w:pPr>
      <w:hyperlink r:id="rId110">
        <w:r>
          <w:rPr>
            <w:rStyle w:val="Hyperlink"/>
          </w:rPr>
          <w:t xml:space="preserve">file://file-EKFBHRihh6xQJcexArYFzA</w:t>
        </w:r>
      </w:hyperlink>
    </w:p>
    <w:p>
      <w:pPr>
        <w:pStyle w:val="BodyText"/>
      </w:pPr>
      <w:hyperlink r:id="rId35">
        <w:r>
          <w:rPr>
            <w:rStyle w:val="Hyperlink"/>
          </w:rPr>
          <w:t xml:space="preserve">[15]</w:t>
        </w:r>
      </w:hyperlink>
      <w:r>
        <w:t xml:space="preserve"> </w:t>
      </w:r>
      <w:hyperlink r:id="rId48">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4">
        <w:r>
          <w:rPr>
            <w:rStyle w:val="Hyperlink"/>
          </w:rPr>
          <w:t xml:space="preserve">[36]</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hyperlink r:id="rId64">
        <w:r>
          <w:rPr>
            <w:rStyle w:val="Hyperlink"/>
          </w:rPr>
          <w:t xml:space="preserve">[47]</w:t>
        </w:r>
      </w:hyperlink>
      <w:r>
        <w:t xml:space="preserve"> </w:t>
      </w:r>
      <w:hyperlink r:id="rId50">
        <w:r>
          <w:rPr>
            <w:rStyle w:val="Hyperlink"/>
          </w:rPr>
          <w:t xml:space="preserve">[49]</w:t>
        </w:r>
      </w:hyperlink>
      <w:r>
        <w:t xml:space="preserve"> </w:t>
      </w:r>
      <w:hyperlink r:id="rId66">
        <w:r>
          <w:rPr>
            <w:rStyle w:val="Hyperlink"/>
          </w:rPr>
          <w:t xml:space="preserve">[50]</w:t>
        </w:r>
      </w:hyperlink>
      <w:r>
        <w:t xml:space="preserve"> </w:t>
      </w:r>
      <w:hyperlink r:id="rId73">
        <w:r>
          <w:rPr>
            <w:rStyle w:val="Hyperlink"/>
          </w:rPr>
          <w:t xml:space="preserve">[57]</w:t>
        </w:r>
      </w:hyperlink>
      <w:r>
        <w:t xml:space="preserve"> </w:t>
      </w:r>
      <w:hyperlink r:id="rId50">
        <w:r>
          <w:rPr>
            <w:rStyle w:val="Hyperlink"/>
          </w:rPr>
          <w:t xml:space="preserve">[58]</w:t>
        </w:r>
      </w:hyperlink>
      <w:r>
        <w:t xml:space="preserve"> </w:t>
      </w:r>
      <w:hyperlink r:id="rId74">
        <w:r>
          <w:rPr>
            <w:rStyle w:val="Hyperlink"/>
          </w:rPr>
          <w:t xml:space="preserve">[59]</w:t>
        </w:r>
      </w:hyperlink>
      <w:r>
        <w:t xml:space="preserve"> </w:t>
      </w:r>
      <w:hyperlink r:id="rId75">
        <w:r>
          <w:rPr>
            <w:rStyle w:val="Hyperlink"/>
          </w:rPr>
          <w:t xml:space="preserve">[60]</w:t>
        </w:r>
      </w:hyperlink>
      <w:r>
        <w:t xml:space="preserve"> </w:t>
      </w:r>
      <w:hyperlink r:id="rId76">
        <w:r>
          <w:rPr>
            <w:rStyle w:val="Hyperlink"/>
          </w:rPr>
          <w:t xml:space="preserve">[61]</w:t>
        </w:r>
      </w:hyperlink>
      <w:r>
        <w:t xml:space="preserve"> </w:t>
      </w:r>
      <w:hyperlink r:id="rId81">
        <w:r>
          <w:rPr>
            <w:rStyle w:val="Hyperlink"/>
          </w:rPr>
          <w:t xml:space="preserve">[65]</w:t>
        </w:r>
      </w:hyperlink>
      <w:r>
        <w:t xml:space="preserve"> </w:t>
      </w:r>
      <w:hyperlink r:id="rId82">
        <w:r>
          <w:rPr>
            <w:rStyle w:val="Hyperlink"/>
          </w:rPr>
          <w:t xml:space="preserve">[66]</w:t>
        </w:r>
      </w:hyperlink>
      <w:r>
        <w:t xml:space="preserve"> </w:t>
      </w:r>
      <w:hyperlink r:id="rId85">
        <w:r>
          <w:rPr>
            <w:rStyle w:val="Hyperlink"/>
          </w:rPr>
          <w:t xml:space="preserve">[71]</w:t>
        </w:r>
      </w:hyperlink>
      <w:r>
        <w:t xml:space="preserve"> </w:t>
      </w:r>
      <w:hyperlink r:id="rId86">
        <w:r>
          <w:rPr>
            <w:rStyle w:val="Hyperlink"/>
          </w:rPr>
          <w:t xml:space="preserve">[72]</w:t>
        </w:r>
      </w:hyperlink>
      <w:r>
        <w:t xml:space="preserve"> </w:t>
      </w:r>
      <w:hyperlink r:id="rId88">
        <w:r>
          <w:rPr>
            <w:rStyle w:val="Hyperlink"/>
          </w:rPr>
          <w:t xml:space="preserve">[74]</w:t>
        </w:r>
      </w:hyperlink>
      <w:r>
        <w:t xml:space="preserve"> </w:t>
      </w:r>
      <w:hyperlink r:id="rId96">
        <w:r>
          <w:rPr>
            <w:rStyle w:val="Hyperlink"/>
          </w:rPr>
          <w:t xml:space="preserve">[82]</w:t>
        </w:r>
      </w:hyperlink>
      <w:r>
        <w:t xml:space="preserve"> </w:t>
      </w:r>
      <w:hyperlink r:id="rId100">
        <w:r>
          <w:rPr>
            <w:rStyle w:val="Hyperlink"/>
          </w:rPr>
          <w:t xml:space="preserve">[84]</w:t>
        </w:r>
      </w:hyperlink>
      <w:r>
        <w:t xml:space="preserve"> </w:t>
      </w:r>
      <w:hyperlink r:id="rId101">
        <w:r>
          <w:rPr>
            <w:rStyle w:val="Hyperlink"/>
          </w:rPr>
          <w:t xml:space="preserve">[85]</w:t>
        </w:r>
      </w:hyperlink>
      <w:r>
        <w:t xml:space="preserve"> </w:t>
      </w:r>
      <w:hyperlink r:id="rId102">
        <w:r>
          <w:rPr>
            <w:rStyle w:val="Hyperlink"/>
          </w:rPr>
          <w:t xml:space="preserve">[86]</w:t>
        </w:r>
      </w:hyperlink>
      <w:r>
        <w:t xml:space="preserve"> </w:t>
      </w:r>
      <w:r>
        <w:t xml:space="preserve">Enhanced_Multi_Meaning_Rongorongo_Lexicon.json</w:t>
      </w:r>
    </w:p>
    <w:p>
      <w:pPr>
        <w:pStyle w:val="BodyText"/>
      </w:pPr>
      <w:hyperlink r:id="rId111">
        <w:r>
          <w:rPr>
            <w:rStyle w:val="Hyperlink"/>
          </w:rPr>
          <w:t xml:space="preserve">file://file-BanF5Y42JjLkGxqqXQyuTH</w:t>
        </w:r>
      </w:hyperlink>
    </w:p>
    <w:p>
      <w:pPr>
        <w:pStyle w:val="BodyText"/>
      </w:pPr>
      <w:hyperlink r:id="rId42">
        <w:r>
          <w:rPr>
            <w:rStyle w:val="Hyperlink"/>
          </w:rPr>
          <w:t xml:space="preserve">[25]</w:t>
        </w:r>
      </w:hyperlink>
      <w:r>
        <w:t xml:space="preserve"> </w:t>
      </w:r>
      <w:hyperlink r:id="rId47">
        <w:r>
          <w:rPr>
            <w:rStyle w:val="Hyperlink"/>
          </w:rPr>
          <w:t xml:space="preserve">[29]</w:t>
        </w:r>
      </w:hyperlink>
      <w:r>
        <w:t xml:space="preserve"> </w:t>
      </w:r>
      <w:r>
        <w:t xml:space="preserve">final_decrypted_lexicon_v2_rongorongo.json</w:t>
      </w:r>
    </w:p>
    <w:p>
      <w:pPr>
        <w:pStyle w:val="BodyText"/>
      </w:pPr>
      <w:hyperlink r:id="rId112">
        <w:r>
          <w:rPr>
            <w:rStyle w:val="Hyperlink"/>
          </w:rPr>
          <w:t xml:space="preserve">file://file-WGFCKyJVwzRzEP62PPY9wK</w:t>
        </w:r>
      </w:hyperlink>
    </w:p>
    <w:p>
      <w:pPr>
        <w:pStyle w:val="BodyText"/>
      </w:pPr>
      <w:hyperlink r:id="rId59">
        <w:r>
          <w:rPr>
            <w:rStyle w:val="Hyperlink"/>
          </w:rPr>
          <w:t xml:space="preserve">[42]</w:t>
        </w:r>
      </w:hyperlink>
      <w:r>
        <w:t xml:space="preserve"> </w:t>
      </w:r>
      <w:r>
        <w:t xml:space="preserve">rongorongo_full_ultramerge_v3_compact.json</w:t>
      </w:r>
    </w:p>
    <w:p>
      <w:pPr>
        <w:pStyle w:val="BodyText"/>
      </w:pPr>
      <w:hyperlink r:id="rId113">
        <w:r>
          <w:rPr>
            <w:rStyle w:val="Hyperlink"/>
          </w:rPr>
          <w:t xml:space="preserve">file://file-JUd9rmLnEDVcLgFshpRxQC</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1" Target="file://file-BanF5Y42JjLkGxqqXQyuTH" TargetMode="External" /><Relationship Type="http://schemas.openxmlformats.org/officeDocument/2006/relationships/hyperlink" Id="rId35" Target="file://file-BanF5Y42JjLkGxqqXQyuTH#:~:text=%7D%2C%20,Not" TargetMode="External" /><Relationship Type="http://schemas.openxmlformats.org/officeDocument/2006/relationships/hyperlink" Id="rId50" Target="file://file-BanF5Y42JjLkGxqqXQyuTH#:~:text=," TargetMode="External" /><Relationship Type="http://schemas.openxmlformats.org/officeDocument/2006/relationships/hyperlink" Id="rId100" Target="file://file-BanF5Y42JjLkGxqqXQyuTH#:~:text=,103%20such%20dividers" TargetMode="External" /><Relationship Type="http://schemas.openxmlformats.org/officeDocument/2006/relationships/hyperlink" Id="rId66" Target="file://file-BanF5Y42JjLkGxqqXQyuTH#:~:text=,Demonstrates%20how%20natural%20object" TargetMode="External" /><Relationship Type="http://schemas.openxmlformats.org/officeDocument/2006/relationships/hyperlink" Id="rId64" Target="file://file-BanF5Y42JjLkGxqqXQyuTH#:~:text=,Generic%20lunar%20sign" TargetMode="External" /><Relationship Type="http://schemas.openxmlformats.org/officeDocument/2006/relationships/hyperlink" Id="rId85" Target="file://file-BanF5Y42JjLkGxqqXQyuTH#:~:text=,May" TargetMode="External" /><Relationship Type="http://schemas.openxmlformats.org/officeDocument/2006/relationships/hyperlink" Id="rId57" Target="file://file-BanF5Y42JjLkGxqqXQyuTH#:~:text=,Rectangular%20enclosure" TargetMode="External" /><Relationship Type="http://schemas.openxmlformats.org/officeDocument/2006/relationships/hyperlink" Id="rId73" Target="file://file-BanF5Y42JjLkGxqqXQyuTH#:~:text=,Regularly%20appears%20in%20genealogical" TargetMode="External" /><Relationship Type="http://schemas.openxmlformats.org/officeDocument/2006/relationships/hyperlink" Id="rId82" Target="file://file-BanF5Y42JjLkGxqqXQyuTH#:~:text=,Represents%20danger%20and%20aggressive%20characteristics" TargetMode="External" /><Relationship Type="http://schemas.openxmlformats.org/officeDocument/2006/relationships/hyperlink" Id="rId51" Target="file://file-BanF5Y42JjLkGxqqXQyuTH#:~:text=,Represents%20seniority%20and%20ancestral%20authority" TargetMode="External" /><Relationship Type="http://schemas.openxmlformats.org/officeDocument/2006/relationships/hyperlink" Id="rId75" Target="file://file-BanF5Y42JjLkGxqqXQyuTH#:~:text=,Sacred%20bird" TargetMode="External" /><Relationship Type="http://schemas.openxmlformats.org/officeDocument/2006/relationships/hyperlink" Id="rId86" Target="file://file-BanF5Y42JjLkGxqqXQyuTH#:~:text=,animal%20in%20narrative%20sequences%20about" TargetMode="External" /><Relationship Type="http://schemas.openxmlformats.org/officeDocument/2006/relationships/hyperlink" Id="rId76" Target="file://file-BanF5Y42JjLkGxqqXQyuTH#:~:text=,ariki%20henua" TargetMode="External" /><Relationship Type="http://schemas.openxmlformats.org/officeDocument/2006/relationships/hyperlink" Id="rId49" Target="file://file-BanF5Y42JjLkGxqqXQyuTH#:~:text=,feminine%20gender%20and%20maternal%20roles" TargetMode="External" /><Relationship Type="http://schemas.openxmlformats.org/officeDocument/2006/relationships/hyperlink" Id="rId88" Target="file://file-BanF5Y42JjLkGxqqXQyuTH#:~:text=,fish%20types%20in%20mythological%20contexts" TargetMode="External" /><Relationship Type="http://schemas.openxmlformats.org/officeDocument/2006/relationships/hyperlink" Id="rId48" Target="file://file-BanF5Y42JjLkGxqqXQyuTH#:~:text=,genealogical%20chains%20as%20title%2Fstatus%20marker" TargetMode="External" /><Relationship Type="http://schemas.openxmlformats.org/officeDocument/2006/relationships/hyperlink" Id="rId96" Target="file://file-BanF5Y42JjLkGxqqXQyuTH#:~:text=,group%20flying%20together%2C%20%27spirits%27%20collective" TargetMode="External" /><Relationship Type="http://schemas.openxmlformats.org/officeDocument/2006/relationships/hyperlink" Id="rId74" Target="file://file-BanF5Y42JjLkGxqqXQyuTH#:~:text=,hua" TargetMode="External" /><Relationship Type="http://schemas.openxmlformats.org/officeDocument/2006/relationships/hyperlink" Id="rId101" Target="file://file-BanF5Y42JjLkGxqqXQyuTH#:~:text=,moko" TargetMode="External" /><Relationship Type="http://schemas.openxmlformats.org/officeDocument/2006/relationships/hyperlink" Id="rId56" Target="file://file-BanF5Y42JjLkGxqqXQyuTH#:~:text=,rere" TargetMode="External" /><Relationship Type="http://schemas.openxmlformats.org/officeDocument/2006/relationships/hyperlink" Id="rId81" Target="file://file-BanF5Y42JjLkGxqqXQyuTH#:~:text=,taratara%29%20aggressive"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102" Target="file://file-BanF5Y42JjLkGxqqXQyuTH#:~:text=Rapanui%20palm%20%28Paschalococos%29,Fischer%20reptile%20analysis" TargetMode="External" /><Relationship Type="http://schemas.openxmlformats.org/officeDocument/2006/relationships/hyperlink" Id="rId110" Target="file://file-EKFBHRihh6xQJcexArYFzA" TargetMode="External" /><Relationship Type="http://schemas.openxmlformats.org/officeDocument/2006/relationships/hyperlink" Id="rId40" Target="file://file-EKFBHRihh6xQJcexArYFzA#:~:text=%5D%2C%20,High%20confidence%20navigation" TargetMode="External" /><Relationship Type="http://schemas.openxmlformats.org/officeDocument/2006/relationships/hyperlink" Id="rId95" Target="file://file-EKFBHRihh6xQJcexArYFzA#:~:text=%5D%2C%20,death_ritual" TargetMode="External" /><Relationship Type="http://schemas.openxmlformats.org/officeDocument/2006/relationships/hyperlink" Id="rId46" Target="file://file-EKFBHRihh6xQJcexArYFzA#:~:text=%5D%2C%20,genealogical%20contexts%20and%20social%20hierarchies" TargetMode="External" /><Relationship Type="http://schemas.openxmlformats.org/officeDocument/2006/relationships/hyperlink" Id="rId68" Target="file://file-EKFBHRihh6xQJcexArYFzA#:~:text=%5D%2C%20,in%20sequences%2C%20implying%20%27morning%20star" TargetMode="External" /><Relationship Type="http://schemas.openxmlformats.org/officeDocument/2006/relationships/hyperlink" Id="rId62" Target="file://file-EKFBHRihh6xQJcexArYFzA#:~:text=%5D%2C%20,m%C4%81rama%29%20general" TargetMode="External" /><Relationship Type="http://schemas.openxmlformats.org/officeDocument/2006/relationships/hyperlink" Id="rId55" Target="file://file-EKFBHRihh6xQJcexArYFzA#:~:text=%5D%2C%20,shapes%20meaning%20canoe%20in%20petroglyphs" TargetMode="External" /><Relationship Type="http://schemas.openxmlformats.org/officeDocument/2006/relationships/hyperlink" Id="rId32" Target="file://file-EKFBHRihh6xQJcexArYFzA#:~:text=," TargetMode="External" /><Relationship Type="http://schemas.openxmlformats.org/officeDocument/2006/relationships/hyperlink" Id="rId71" Target="file://file-EKFBHRihh6xQJcexArYFzA#:~:text=,33" TargetMode="External" /><Relationship Type="http://schemas.openxmlformats.org/officeDocument/2006/relationships/hyperlink" Id="rId41" Target="file://file-EKFBHRihh6xQJcexArYFzA#:~:text=,Appears" TargetMode="External" /><Relationship Type="http://schemas.openxmlformats.org/officeDocument/2006/relationships/hyperlink" Id="rId93" Target="file://file-EKFBHRihh6xQJcexArYFzA#:~:text=,Chikchan" TargetMode="External" /><Relationship Type="http://schemas.openxmlformats.org/officeDocument/2006/relationships/hyperlink" Id="rId33" Target="file://file-EKFBHRihh6xQJcexArYFzA#:~:text=,Grammatical%20divider" TargetMode="External" /><Relationship Type="http://schemas.openxmlformats.org/officeDocument/2006/relationships/hyperlink" Id="rId79" Target="file://file-EKFBHRihh6xQJcexArYFzA#:~:text=,Meaning" TargetMode="External" /><Relationship Type="http://schemas.openxmlformats.org/officeDocument/2006/relationships/hyperlink" Id="rId84" Target="file://file-EKFBHRihh6xQJcexArYFzA#:~:text=,appears%20with%20Tangaroa%20as%20tuna" TargetMode="External" /><Relationship Type="http://schemas.openxmlformats.org/officeDocument/2006/relationships/hyperlink" Id="rId90" Target="file://file-EKFBHRihh6xQJcexArYFzA#:~:text=,beginning" TargetMode="External" /><Relationship Type="http://schemas.openxmlformats.org/officeDocument/2006/relationships/hyperlink" Id="rId87" Target="file://file-EKFBHRihh6xQJcexArYFzA#:~:text=,burial%20context%20in%20scout%20expedition" TargetMode="External" /><Relationship Type="http://schemas.openxmlformats.org/officeDocument/2006/relationships/hyperlink" Id="rId38" Target="file://file-EKFBHRihh6xQJcexArYFzA#:~:text=,chants%20in%20repetitive%20sexual%20sequences" TargetMode="External" /><Relationship Type="http://schemas.openxmlformats.org/officeDocument/2006/relationships/hyperlink" Id="rId92" Target="file://file-EKFBHRihh6xQJcexArYFzA#:~:text=,creation_mythology" TargetMode="External" /><Relationship Type="http://schemas.openxmlformats.org/officeDocument/2006/relationships/hyperlink" Id="rId63" Target="file://file-EKFBHRihh6xQJcexArYFzA#:~:text=,fire%27%20%28ahi%29%20for%20heat%2Flight" TargetMode="External" /><Relationship Type="http://schemas.openxmlformats.org/officeDocument/2006/relationships/hyperlink" Id="rId78" Target="file://file-EKFBHRihh6xQJcexArYFzA#:~:text=,fish%2C%20victim%2C%20sacrifice" TargetMode="External" /><Relationship Type="http://schemas.openxmlformats.org/officeDocument/2006/relationships/hyperlink" Id="rId36" Target="file://file-EKFBHRihh6xQJcexArYFzA#:~:text=,genealogical%20contexts%20and%20social%20hierarchies" TargetMode="External" /><Relationship Type="http://schemas.openxmlformats.org/officeDocument/2006/relationships/hyperlink" Id="rId39" Target="file://file-EKFBHRihh6xQJcexArYFzA#:~:text=,grammatical" TargetMode="External" /><Relationship Type="http://schemas.openxmlformats.org/officeDocument/2006/relationships/hyperlink" Id="rId58" Target="file://file-EKFBHRihh6xQJcexArYFzA#:~:text=,habitation" TargetMode="External" /><Relationship Type="http://schemas.openxmlformats.org/officeDocument/2006/relationships/hyperlink" Id="rId67" Target="file://file-EKFBHRihh6xQJcexArYFzA#:~:text=,in%20sequences%2C%20implying%20%27morning%20star" TargetMode="External" /><Relationship Type="http://schemas.openxmlformats.org/officeDocument/2006/relationships/hyperlink" Id="rId65" Target="file://file-EKFBHRihh6xQJcexArYFzA#:~:text=,lunar_calendar" TargetMode="External" /><Relationship Type="http://schemas.openxmlformats.org/officeDocument/2006/relationships/hyperlink" Id="rId80" Target="file://file-EKFBHRihh6xQJcexArYFzA#:~:text=,marine_life" TargetMode="External" /><Relationship Type="http://schemas.openxmlformats.org/officeDocument/2006/relationships/hyperlink" Id="rId91" Target="file://file-EKFBHRihh6xQJcexArYFzA#:~:text=,methodology%29%20Egg%2Forigin%20symbol%3A%20comparable%20to" TargetMode="External" /><Relationship Type="http://schemas.openxmlformats.org/officeDocument/2006/relationships/hyperlink" Id="rId30" Target="file://file-EKFBHRihh6xQJcexArYFzA#:~:text=,paragraph%20marker%20or%20verse%20beginning" TargetMode="External" /><Relationship Type="http://schemas.openxmlformats.org/officeDocument/2006/relationships/hyperlink" Id="rId44" Target="file://file-EKFBHRihh6xQJcexArYFzA#:~:text=,procreate%27%20%28fanau%29%20reproductive%20action" TargetMode="External" /><Relationship Type="http://schemas.openxmlformats.org/officeDocument/2006/relationships/hyperlink" Id="rId70" Target="file://file-EKFBHRihh6xQJcexArYFzA#:~:text=,signifies%20new%20moon" TargetMode="External" /><Relationship Type="http://schemas.openxmlformats.org/officeDocument/2006/relationships/hyperlink" Id="rId37" Target="file://file-EKFBHRihh6xQJcexArYFzA#:~:text=,stellar%20symbol%20with%20luminous%20properties" TargetMode="External" /><Relationship Type="http://schemas.openxmlformats.org/officeDocument/2006/relationships/hyperlink" Id="rId34" Target="file://file-EKFBHRihh6xQJcexArYFzA#:~:text=,structural" TargetMode="External" /><Relationship Type="http://schemas.openxmlformats.org/officeDocument/2006/relationships/hyperlink" Id="rId97" Target="file://file-EKFBHRihh6xQJcexArYFzA#:~:text=,timu%29%20commencement" TargetMode="External" /><Relationship Type="http://schemas.openxmlformats.org/officeDocument/2006/relationships/hyperlink" Id="rId83" Target="file://file-EKFBHRihh6xQJcexArYFzA#:~:text=,tuna%20fish" TargetMode="External" /><Relationship Type="http://schemas.openxmlformats.org/officeDocument/2006/relationships/hyperlink" Id="rId60" Target="file://file-EKFBHRihh6xQJcexArYFzA#:~:text=Kurenga%20marks%20start%20of%20each,sections%3B%20section%20delimiter%20marking%20narrative" TargetMode="External" /><Relationship Type="http://schemas.openxmlformats.org/officeDocument/2006/relationships/hyperlink" Id="rId53" Target="file://file-EKFBHRihh6xQJcexArYFzA#:~:text=consistently%20at%20end%20of%20voyage,concept%20of%20%27one%27%20via%20rebus" TargetMode="External" /><Relationship Type="http://schemas.openxmlformats.org/officeDocument/2006/relationships/hyperlink" Id="rId45" Target="file://file-EKFBHRihh6xQJcexArYFzA#:~:text=genealogical%20marker%20with%20cross,glyph%20indicating%20genealogical%20or%20creation" TargetMode="External" /><Relationship Type="http://schemas.openxmlformats.org/officeDocument/2006/relationships/hyperlink" Id="rId94" Target="file://file-EKFBHRihh6xQJcexArYFzA#:~:text=meaning%2C%20but%20carries%20spiritual%20significance,moko%29%3B%20marks" TargetMode="External" /><Relationship Type="http://schemas.openxmlformats.org/officeDocument/2006/relationships/hyperlink" Id="rId31" Target="file://file-EKFBHRihh6xQJcexArYFzA#:~:text=segments.,vertical%20lines%29%20and%20cuneiform" TargetMode="External" /><Relationship Type="http://schemas.openxmlformats.org/officeDocument/2006/relationships/hyperlink" Id="rId113" Target="file://file-JUd9rmLnEDVcLgFshpRxQC" TargetMode="External" /><Relationship Type="http://schemas.openxmlformats.org/officeDocument/2006/relationships/hyperlink" Id="rId59" Target="file://file-JUd9rmLnEDVcLgFshpRxQC#:~:text=%7B%20," TargetMode="External" /><Relationship Type="http://schemas.openxmlformats.org/officeDocument/2006/relationships/hyperlink" Id="rId112" Target="file://file-WGFCKyJVwzRzEP62PPY9wK" TargetMode="External" /><Relationship Type="http://schemas.openxmlformats.org/officeDocument/2006/relationships/hyperlink" Id="rId42" Target="file://file-WGFCKyJVwzRzEP62PPY9wK#:~:text=," TargetMode="External" /><Relationship Type="http://schemas.openxmlformats.org/officeDocument/2006/relationships/hyperlink" Id="rId47" Target="file://file-WGFCKyJVwzRzEP62PPY9wK#:~:text=,poki" TargetMode="External" /><Relationship Type="http://schemas.openxmlformats.org/officeDocument/2006/relationships/hyperlink" Id="rId108" Target="https://commons.wikimedia.org/wiki/File:Rongorongo_B-r_Aruku-Kurenga.jpg" TargetMode="External" /><Relationship Type="http://schemas.openxmlformats.org/officeDocument/2006/relationships/hyperlink" Id="rId24" Target="https://commons.wikimedia.org/wiki/File:Rongorongo_B-r_Aruku-Kurenga.jpg#:~:text=Recto%20of%20rongorongo%20Tablet%20B%2C,Original%20legend" TargetMode="External" /><Relationship Type="http://schemas.openxmlformats.org/officeDocument/2006/relationships/hyperlink" Id="rId107" Target="https://en.wikipedia.org/wiki/Rongorongo_text_B" TargetMode="External" /><Relationship Type="http://schemas.openxmlformats.org/officeDocument/2006/relationships/hyperlink" Id="rId23" Target="https://en.wikipedia.org/wiki/Rongorongo_text_B#:~:text=" TargetMode="External" /><Relationship Type="http://schemas.openxmlformats.org/officeDocument/2006/relationships/hyperlink" Id="rId26" Target="https://en.wikipedia.org/wiki/Rongorongo_text_B#:~:text=Aruku%20Kurenga%20provided%20part%20of,use%20in%20understanding%20the%20script" TargetMode="External" /><Relationship Type="http://schemas.openxmlformats.org/officeDocument/2006/relationships/hyperlink" Id="rId29" Target="https://en.wikipedia.org/wiki/Rongorongo_text_B#:~:text=Butinov%20and%20Knorozov%20,text%2C%20given%20in%20three%20variants" TargetMode="External" /><Relationship Type="http://schemas.openxmlformats.org/officeDocument/2006/relationships/hyperlink" Id="rId21" Target="https://en.wikipedia.org/wiki/Rongorongo_text_B#:~:text=In%20excellent%20condition,verso%2C%20for%20hanging%20the%20tablet" TargetMode="External" /><Relationship Type="http://schemas.openxmlformats.org/officeDocument/2006/relationships/hyperlink" Id="rId22" Target="https://en.wikipedia.org/wiki/Rongorongo_text_B#:~:text=M%C3%A9traux%20,of%20the%20finest%20rongorongo%20tablets" TargetMode="External" /><Relationship Type="http://schemas.openxmlformats.org/officeDocument/2006/relationships/hyperlink" Id="rId25" Target="https://en.wikipedia.org/wiki/Rongorongo_text_B#:~:text=One%20of%20Jaussen%27s%20%20tablets%2C,SSCC%20moved%20to%20its%20permanent" TargetMode="External" /><Relationship Type="http://schemas.openxmlformats.org/officeDocument/2006/relationships/hyperlink" Id="rId109" Target="https://hup.fi/chapters/18/files/e358cfc7-72fe-499f-8c7e-eb294e9daab4.pdf" TargetMode="External" /><Relationship Type="http://schemas.openxmlformats.org/officeDocument/2006/relationships/hyperlink" Id="rId69" Target="https://hup.fi/chapters/18/files/e358cfc7-72fe-499f-8c7e-eb294e9daab4.pdf#:~:text=Metoro%2C%20here%20as%20always%2C%20named,his%20knowledge%20that%20the%20perished" TargetMode="External" /><Relationship Type="http://schemas.openxmlformats.org/officeDocument/2006/relationships/hyperlink" Id="rId27" Target="https://hup.fi/chapters/18/files/e358cfc7-72fe-499f-8c7e-eb294e9daab4.pdf#:~:text=while%20%E2%80%9Creading%E2%80%9D%20the%20analysed%20text,natives%20is%20confirmed%3B%20only%20pivotal" TargetMode="External" /></Relationships>
</file>

<file path=word/_rels/footnotes.xml.rels><?xml version="1.0" encoding="UTF-8"?><Relationships xmlns="http://schemas.openxmlformats.org/package/2006/relationships"><Relationship Type="http://schemas.openxmlformats.org/officeDocument/2006/relationships/hyperlink" Id="rId111" Target="file://file-BanF5Y42JjLkGxqqXQyuTH" TargetMode="External" /><Relationship Type="http://schemas.openxmlformats.org/officeDocument/2006/relationships/hyperlink" Id="rId35" Target="file://file-BanF5Y42JjLkGxqqXQyuTH#:~:text=%7D%2C%20,Not" TargetMode="External" /><Relationship Type="http://schemas.openxmlformats.org/officeDocument/2006/relationships/hyperlink" Id="rId50" Target="file://file-BanF5Y42JjLkGxqqXQyuTH#:~:text=," TargetMode="External" /><Relationship Type="http://schemas.openxmlformats.org/officeDocument/2006/relationships/hyperlink" Id="rId100" Target="file://file-BanF5Y42JjLkGxqqXQyuTH#:~:text=,103%20such%20dividers" TargetMode="External" /><Relationship Type="http://schemas.openxmlformats.org/officeDocument/2006/relationships/hyperlink" Id="rId66" Target="file://file-BanF5Y42JjLkGxqqXQyuTH#:~:text=,Demonstrates%20how%20natural%20object" TargetMode="External" /><Relationship Type="http://schemas.openxmlformats.org/officeDocument/2006/relationships/hyperlink" Id="rId64" Target="file://file-BanF5Y42JjLkGxqqXQyuTH#:~:text=,Generic%20lunar%20sign" TargetMode="External" /><Relationship Type="http://schemas.openxmlformats.org/officeDocument/2006/relationships/hyperlink" Id="rId85" Target="file://file-BanF5Y42JjLkGxqqXQyuTH#:~:text=,May" TargetMode="External" /><Relationship Type="http://schemas.openxmlformats.org/officeDocument/2006/relationships/hyperlink" Id="rId57" Target="file://file-BanF5Y42JjLkGxqqXQyuTH#:~:text=,Rectangular%20enclosure" TargetMode="External" /><Relationship Type="http://schemas.openxmlformats.org/officeDocument/2006/relationships/hyperlink" Id="rId73" Target="file://file-BanF5Y42JjLkGxqqXQyuTH#:~:text=,Regularly%20appears%20in%20genealogical" TargetMode="External" /><Relationship Type="http://schemas.openxmlformats.org/officeDocument/2006/relationships/hyperlink" Id="rId82" Target="file://file-BanF5Y42JjLkGxqqXQyuTH#:~:text=,Represents%20danger%20and%20aggressive%20characteristics" TargetMode="External" /><Relationship Type="http://schemas.openxmlformats.org/officeDocument/2006/relationships/hyperlink" Id="rId51" Target="file://file-BanF5Y42JjLkGxqqXQyuTH#:~:text=,Represents%20seniority%20and%20ancestral%20authority" TargetMode="External" /><Relationship Type="http://schemas.openxmlformats.org/officeDocument/2006/relationships/hyperlink" Id="rId75" Target="file://file-BanF5Y42JjLkGxqqXQyuTH#:~:text=,Sacred%20bird" TargetMode="External" /><Relationship Type="http://schemas.openxmlformats.org/officeDocument/2006/relationships/hyperlink" Id="rId86" Target="file://file-BanF5Y42JjLkGxqqXQyuTH#:~:text=,animal%20in%20narrative%20sequences%20about" TargetMode="External" /><Relationship Type="http://schemas.openxmlformats.org/officeDocument/2006/relationships/hyperlink" Id="rId76" Target="file://file-BanF5Y42JjLkGxqqXQyuTH#:~:text=,ariki%20henua" TargetMode="External" /><Relationship Type="http://schemas.openxmlformats.org/officeDocument/2006/relationships/hyperlink" Id="rId49" Target="file://file-BanF5Y42JjLkGxqqXQyuTH#:~:text=,feminine%20gender%20and%20maternal%20roles" TargetMode="External" /><Relationship Type="http://schemas.openxmlformats.org/officeDocument/2006/relationships/hyperlink" Id="rId88" Target="file://file-BanF5Y42JjLkGxqqXQyuTH#:~:text=,fish%20types%20in%20mythological%20contexts" TargetMode="External" /><Relationship Type="http://schemas.openxmlformats.org/officeDocument/2006/relationships/hyperlink" Id="rId48" Target="file://file-BanF5Y42JjLkGxqqXQyuTH#:~:text=,genealogical%20chains%20as%20title%2Fstatus%20marker" TargetMode="External" /><Relationship Type="http://schemas.openxmlformats.org/officeDocument/2006/relationships/hyperlink" Id="rId96" Target="file://file-BanF5Y42JjLkGxqqXQyuTH#:~:text=,group%20flying%20together%2C%20%27spirits%27%20collective" TargetMode="External" /><Relationship Type="http://schemas.openxmlformats.org/officeDocument/2006/relationships/hyperlink" Id="rId74" Target="file://file-BanF5Y42JjLkGxqqXQyuTH#:~:text=,hua" TargetMode="External" /><Relationship Type="http://schemas.openxmlformats.org/officeDocument/2006/relationships/hyperlink" Id="rId101" Target="file://file-BanF5Y42JjLkGxqqXQyuTH#:~:text=,moko" TargetMode="External" /><Relationship Type="http://schemas.openxmlformats.org/officeDocument/2006/relationships/hyperlink" Id="rId56" Target="file://file-BanF5Y42JjLkGxqqXQyuTH#:~:text=,rere" TargetMode="External" /><Relationship Type="http://schemas.openxmlformats.org/officeDocument/2006/relationships/hyperlink" Id="rId81" Target="file://file-BanF5Y42JjLkGxqqXQyuTH#:~:text=,taratara%29%20aggressive"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102" Target="file://file-BanF5Y42JjLkGxqqXQyuTH#:~:text=Rapanui%20palm%20%28Paschalococos%29,Fischer%20reptile%20analysis" TargetMode="External" /><Relationship Type="http://schemas.openxmlformats.org/officeDocument/2006/relationships/hyperlink" Id="rId110" Target="file://file-EKFBHRihh6xQJcexArYFzA" TargetMode="External" /><Relationship Type="http://schemas.openxmlformats.org/officeDocument/2006/relationships/hyperlink" Id="rId40" Target="file://file-EKFBHRihh6xQJcexArYFzA#:~:text=%5D%2C%20,High%20confidence%20navigation" TargetMode="External" /><Relationship Type="http://schemas.openxmlformats.org/officeDocument/2006/relationships/hyperlink" Id="rId95" Target="file://file-EKFBHRihh6xQJcexArYFzA#:~:text=%5D%2C%20,death_ritual" TargetMode="External" /><Relationship Type="http://schemas.openxmlformats.org/officeDocument/2006/relationships/hyperlink" Id="rId46" Target="file://file-EKFBHRihh6xQJcexArYFzA#:~:text=%5D%2C%20,genealogical%20contexts%20and%20social%20hierarchies" TargetMode="External" /><Relationship Type="http://schemas.openxmlformats.org/officeDocument/2006/relationships/hyperlink" Id="rId68" Target="file://file-EKFBHRihh6xQJcexArYFzA#:~:text=%5D%2C%20,in%20sequences%2C%20implying%20%27morning%20star" TargetMode="External" /><Relationship Type="http://schemas.openxmlformats.org/officeDocument/2006/relationships/hyperlink" Id="rId62" Target="file://file-EKFBHRihh6xQJcexArYFzA#:~:text=%5D%2C%20,m%C4%81rama%29%20general" TargetMode="External" /><Relationship Type="http://schemas.openxmlformats.org/officeDocument/2006/relationships/hyperlink" Id="rId55" Target="file://file-EKFBHRihh6xQJcexArYFzA#:~:text=%5D%2C%20,shapes%20meaning%20canoe%20in%20petroglyphs" TargetMode="External" /><Relationship Type="http://schemas.openxmlformats.org/officeDocument/2006/relationships/hyperlink" Id="rId32" Target="file://file-EKFBHRihh6xQJcexArYFzA#:~:text=," TargetMode="External" /><Relationship Type="http://schemas.openxmlformats.org/officeDocument/2006/relationships/hyperlink" Id="rId71" Target="file://file-EKFBHRihh6xQJcexArYFzA#:~:text=,33" TargetMode="External" /><Relationship Type="http://schemas.openxmlformats.org/officeDocument/2006/relationships/hyperlink" Id="rId41" Target="file://file-EKFBHRihh6xQJcexArYFzA#:~:text=,Appears" TargetMode="External" /><Relationship Type="http://schemas.openxmlformats.org/officeDocument/2006/relationships/hyperlink" Id="rId93" Target="file://file-EKFBHRihh6xQJcexArYFzA#:~:text=,Chikchan" TargetMode="External" /><Relationship Type="http://schemas.openxmlformats.org/officeDocument/2006/relationships/hyperlink" Id="rId33" Target="file://file-EKFBHRihh6xQJcexArYFzA#:~:text=,Grammatical%20divider" TargetMode="External" /><Relationship Type="http://schemas.openxmlformats.org/officeDocument/2006/relationships/hyperlink" Id="rId79" Target="file://file-EKFBHRihh6xQJcexArYFzA#:~:text=,Meaning" TargetMode="External" /><Relationship Type="http://schemas.openxmlformats.org/officeDocument/2006/relationships/hyperlink" Id="rId84" Target="file://file-EKFBHRihh6xQJcexArYFzA#:~:text=,appears%20with%20Tangaroa%20as%20tuna" TargetMode="External" /><Relationship Type="http://schemas.openxmlformats.org/officeDocument/2006/relationships/hyperlink" Id="rId90" Target="file://file-EKFBHRihh6xQJcexArYFzA#:~:text=,beginning" TargetMode="External" /><Relationship Type="http://schemas.openxmlformats.org/officeDocument/2006/relationships/hyperlink" Id="rId87" Target="file://file-EKFBHRihh6xQJcexArYFzA#:~:text=,burial%20context%20in%20scout%20expedition" TargetMode="External" /><Relationship Type="http://schemas.openxmlformats.org/officeDocument/2006/relationships/hyperlink" Id="rId38" Target="file://file-EKFBHRihh6xQJcexArYFzA#:~:text=,chants%20in%20repetitive%20sexual%20sequences" TargetMode="External" /><Relationship Type="http://schemas.openxmlformats.org/officeDocument/2006/relationships/hyperlink" Id="rId92" Target="file://file-EKFBHRihh6xQJcexArYFzA#:~:text=,creation_mythology" TargetMode="External" /><Relationship Type="http://schemas.openxmlformats.org/officeDocument/2006/relationships/hyperlink" Id="rId63" Target="file://file-EKFBHRihh6xQJcexArYFzA#:~:text=,fire%27%20%28ahi%29%20for%20heat%2Flight" TargetMode="External" /><Relationship Type="http://schemas.openxmlformats.org/officeDocument/2006/relationships/hyperlink" Id="rId78" Target="file://file-EKFBHRihh6xQJcexArYFzA#:~:text=,fish%2C%20victim%2C%20sacrifice" TargetMode="External" /><Relationship Type="http://schemas.openxmlformats.org/officeDocument/2006/relationships/hyperlink" Id="rId36" Target="file://file-EKFBHRihh6xQJcexArYFzA#:~:text=,genealogical%20contexts%20and%20social%20hierarchies" TargetMode="External" /><Relationship Type="http://schemas.openxmlformats.org/officeDocument/2006/relationships/hyperlink" Id="rId39" Target="file://file-EKFBHRihh6xQJcexArYFzA#:~:text=,grammatical" TargetMode="External" /><Relationship Type="http://schemas.openxmlformats.org/officeDocument/2006/relationships/hyperlink" Id="rId58" Target="file://file-EKFBHRihh6xQJcexArYFzA#:~:text=,habitation" TargetMode="External" /><Relationship Type="http://schemas.openxmlformats.org/officeDocument/2006/relationships/hyperlink" Id="rId67" Target="file://file-EKFBHRihh6xQJcexArYFzA#:~:text=,in%20sequences%2C%20implying%20%27morning%20star" TargetMode="External" /><Relationship Type="http://schemas.openxmlformats.org/officeDocument/2006/relationships/hyperlink" Id="rId65" Target="file://file-EKFBHRihh6xQJcexArYFzA#:~:text=,lunar_calendar" TargetMode="External" /><Relationship Type="http://schemas.openxmlformats.org/officeDocument/2006/relationships/hyperlink" Id="rId80" Target="file://file-EKFBHRihh6xQJcexArYFzA#:~:text=,marine_life" TargetMode="External" /><Relationship Type="http://schemas.openxmlformats.org/officeDocument/2006/relationships/hyperlink" Id="rId91" Target="file://file-EKFBHRihh6xQJcexArYFzA#:~:text=,methodology%29%20Egg%2Forigin%20symbol%3A%20comparable%20to" TargetMode="External" /><Relationship Type="http://schemas.openxmlformats.org/officeDocument/2006/relationships/hyperlink" Id="rId30" Target="file://file-EKFBHRihh6xQJcexArYFzA#:~:text=,paragraph%20marker%20or%20verse%20beginning" TargetMode="External" /><Relationship Type="http://schemas.openxmlformats.org/officeDocument/2006/relationships/hyperlink" Id="rId44" Target="file://file-EKFBHRihh6xQJcexArYFzA#:~:text=,procreate%27%20%28fanau%29%20reproductive%20action" TargetMode="External" /><Relationship Type="http://schemas.openxmlformats.org/officeDocument/2006/relationships/hyperlink" Id="rId70" Target="file://file-EKFBHRihh6xQJcexArYFzA#:~:text=,signifies%20new%20moon" TargetMode="External" /><Relationship Type="http://schemas.openxmlformats.org/officeDocument/2006/relationships/hyperlink" Id="rId37" Target="file://file-EKFBHRihh6xQJcexArYFzA#:~:text=,stellar%20symbol%20with%20luminous%20properties" TargetMode="External" /><Relationship Type="http://schemas.openxmlformats.org/officeDocument/2006/relationships/hyperlink" Id="rId34" Target="file://file-EKFBHRihh6xQJcexArYFzA#:~:text=,structural" TargetMode="External" /><Relationship Type="http://schemas.openxmlformats.org/officeDocument/2006/relationships/hyperlink" Id="rId97" Target="file://file-EKFBHRihh6xQJcexArYFzA#:~:text=,timu%29%20commencement" TargetMode="External" /><Relationship Type="http://schemas.openxmlformats.org/officeDocument/2006/relationships/hyperlink" Id="rId83" Target="file://file-EKFBHRihh6xQJcexArYFzA#:~:text=,tuna%20fish" TargetMode="External" /><Relationship Type="http://schemas.openxmlformats.org/officeDocument/2006/relationships/hyperlink" Id="rId60" Target="file://file-EKFBHRihh6xQJcexArYFzA#:~:text=Kurenga%20marks%20start%20of%20each,sections%3B%20section%20delimiter%20marking%20narrative" TargetMode="External" /><Relationship Type="http://schemas.openxmlformats.org/officeDocument/2006/relationships/hyperlink" Id="rId53" Target="file://file-EKFBHRihh6xQJcexArYFzA#:~:text=consistently%20at%20end%20of%20voyage,concept%20of%20%27one%27%20via%20rebus" TargetMode="External" /><Relationship Type="http://schemas.openxmlformats.org/officeDocument/2006/relationships/hyperlink" Id="rId45" Target="file://file-EKFBHRihh6xQJcexArYFzA#:~:text=genealogical%20marker%20with%20cross,glyph%20indicating%20genealogical%20or%20creation" TargetMode="External" /><Relationship Type="http://schemas.openxmlformats.org/officeDocument/2006/relationships/hyperlink" Id="rId94" Target="file://file-EKFBHRihh6xQJcexArYFzA#:~:text=meaning%2C%20but%20carries%20spiritual%20significance,moko%29%3B%20marks" TargetMode="External" /><Relationship Type="http://schemas.openxmlformats.org/officeDocument/2006/relationships/hyperlink" Id="rId31" Target="file://file-EKFBHRihh6xQJcexArYFzA#:~:text=segments.,vertical%20lines%29%20and%20cuneiform" TargetMode="External" /><Relationship Type="http://schemas.openxmlformats.org/officeDocument/2006/relationships/hyperlink" Id="rId113" Target="file://file-JUd9rmLnEDVcLgFshpRxQC" TargetMode="External" /><Relationship Type="http://schemas.openxmlformats.org/officeDocument/2006/relationships/hyperlink" Id="rId59" Target="file://file-JUd9rmLnEDVcLgFshpRxQC#:~:text=%7B%20," TargetMode="External" /><Relationship Type="http://schemas.openxmlformats.org/officeDocument/2006/relationships/hyperlink" Id="rId112" Target="file://file-WGFCKyJVwzRzEP62PPY9wK" TargetMode="External" /><Relationship Type="http://schemas.openxmlformats.org/officeDocument/2006/relationships/hyperlink" Id="rId42" Target="file://file-WGFCKyJVwzRzEP62PPY9wK#:~:text=," TargetMode="External" /><Relationship Type="http://schemas.openxmlformats.org/officeDocument/2006/relationships/hyperlink" Id="rId47" Target="file://file-WGFCKyJVwzRzEP62PPY9wK#:~:text=,poki" TargetMode="External" /><Relationship Type="http://schemas.openxmlformats.org/officeDocument/2006/relationships/hyperlink" Id="rId108" Target="https://commons.wikimedia.org/wiki/File:Rongorongo_B-r_Aruku-Kurenga.jpg" TargetMode="External" /><Relationship Type="http://schemas.openxmlformats.org/officeDocument/2006/relationships/hyperlink" Id="rId24" Target="https://commons.wikimedia.org/wiki/File:Rongorongo_B-r_Aruku-Kurenga.jpg#:~:text=Recto%20of%20rongorongo%20Tablet%20B%2C,Original%20legend" TargetMode="External" /><Relationship Type="http://schemas.openxmlformats.org/officeDocument/2006/relationships/hyperlink" Id="rId107" Target="https://en.wikipedia.org/wiki/Rongorongo_text_B" TargetMode="External" /><Relationship Type="http://schemas.openxmlformats.org/officeDocument/2006/relationships/hyperlink" Id="rId23" Target="https://en.wikipedia.org/wiki/Rongorongo_text_B#:~:text=" TargetMode="External" /><Relationship Type="http://schemas.openxmlformats.org/officeDocument/2006/relationships/hyperlink" Id="rId26" Target="https://en.wikipedia.org/wiki/Rongorongo_text_B#:~:text=Aruku%20Kurenga%20provided%20part%20of,use%20in%20understanding%20the%20script" TargetMode="External" /><Relationship Type="http://schemas.openxmlformats.org/officeDocument/2006/relationships/hyperlink" Id="rId29" Target="https://en.wikipedia.org/wiki/Rongorongo_text_B#:~:text=Butinov%20and%20Knorozov%20,text%2C%20given%20in%20three%20variants" TargetMode="External" /><Relationship Type="http://schemas.openxmlformats.org/officeDocument/2006/relationships/hyperlink" Id="rId21" Target="https://en.wikipedia.org/wiki/Rongorongo_text_B#:~:text=In%20excellent%20condition,verso%2C%20for%20hanging%20the%20tablet" TargetMode="External" /><Relationship Type="http://schemas.openxmlformats.org/officeDocument/2006/relationships/hyperlink" Id="rId22" Target="https://en.wikipedia.org/wiki/Rongorongo_text_B#:~:text=M%C3%A9traux%20,of%20the%20finest%20rongorongo%20tablets" TargetMode="External" /><Relationship Type="http://schemas.openxmlformats.org/officeDocument/2006/relationships/hyperlink" Id="rId25" Target="https://en.wikipedia.org/wiki/Rongorongo_text_B#:~:text=One%20of%20Jaussen%27s%20%20tablets%2C,SSCC%20moved%20to%20its%20permanent" TargetMode="External" /><Relationship Type="http://schemas.openxmlformats.org/officeDocument/2006/relationships/hyperlink" Id="rId109" Target="https://hup.fi/chapters/18/files/e358cfc7-72fe-499f-8c7e-eb294e9daab4.pdf" TargetMode="External" /><Relationship Type="http://schemas.openxmlformats.org/officeDocument/2006/relationships/hyperlink" Id="rId69" Target="https://hup.fi/chapters/18/files/e358cfc7-72fe-499f-8c7e-eb294e9daab4.pdf#:~:text=Metoro%2C%20here%20as%20always%2C%20named,his%20knowledge%20that%20the%20perished" TargetMode="External" /><Relationship Type="http://schemas.openxmlformats.org/officeDocument/2006/relationships/hyperlink" Id="rId27" Target="https://hup.fi/chapters/18/files/e358cfc7-72fe-499f-8c7e-eb294e9daab4.pdf#:~:text=while%20%E2%80%9Creading%E2%80%9D%20the%20analysed%20text,natives%20is%20confirmed%3B%20only%20pivo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2025-09-27T23:39:52Z</dcterms:created>
  <dcterms:modified xsi:type="dcterms:W3CDTF">2025-09-27T23:39:52Z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