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X944af004b80493ff630ac3076a1e879933ee664"/>
    <w:p>
      <w:pPr>
        <w:pStyle w:val="Heading1"/>
      </w:pPr>
      <w:r>
        <w:t xml:space="preserve">Deep Analysis of Rongorongo Tablet D (Échancrée)</w:t>
      </w:r>
    </w:p>
    <w:bookmarkStart w:id="32" w:name="introduction-and-context"/>
    <w:p>
      <w:pPr>
        <w:pStyle w:val="Heading2"/>
      </w:pPr>
      <w:r>
        <w:t xml:space="preserve">Introduction and Context</w:t>
      </w:r>
    </w:p>
    <w:p>
      <w:pPr>
        <w:pStyle w:val="FirstParagraph"/>
      </w:pPr>
      <w:r>
        <w:rPr>
          <w:b/>
          <w:bCs/>
        </w:rPr>
        <w:t xml:space="preserve">Tablet D (Échancrée)</w:t>
      </w:r>
      <w:r>
        <w:t xml:space="preserve"> </w:t>
      </w:r>
      <w:r>
        <w:t xml:space="preserve">is a wedge-shaped wooden Rongorongo tablet (~30×15 cm) notable for its notched top and bottom edges</w:t>
      </w:r>
      <w:hyperlink r:id="rId21">
        <w:r>
          <w:rPr>
            <w:rStyle w:val="Hyperlink"/>
          </w:rPr>
          <w:t xml:space="preserve">[1]</w:t>
        </w:r>
      </w:hyperlink>
      <w:r>
        <w:t xml:space="preserve">. Discovered in the 19th century, it became the</w:t>
      </w:r>
      <w:r>
        <w:t xml:space="preserve"> </w:t>
      </w:r>
      <w:r>
        <w:rPr>
          <w:b/>
          <w:bCs/>
        </w:rPr>
        <w:t xml:space="preserve">first tablet in Bishop Jaussen’s collection</w:t>
      </w:r>
      <w:r>
        <w:t xml:space="preserve">, famously arriving wrapped in a 16-meter human-hair cord gifted by newly converted Rapa Nui islanders in 1869</w:t>
      </w:r>
      <w:hyperlink r:id="rId22">
        <w:r>
          <w:rPr>
            <w:rStyle w:val="Hyperlink"/>
          </w:rPr>
          <w:t xml:space="preserve">[2]</w:t>
        </w:r>
      </w:hyperlink>
      <w:r>
        <w:t xml:space="preserve">. Ironically, the sacred glyphs had by then lost their taboo status – the tablet was even used as a</w:t>
      </w:r>
      <w:r>
        <w:t xml:space="preserve"> </w:t>
      </w:r>
      <w:r>
        <w:rPr>
          <w:b/>
          <w:bCs/>
        </w:rPr>
        <w:t xml:space="preserve">fishing-line spool</w:t>
      </w:r>
      <w:r>
        <w:t xml:space="preserve">, as evidenced by its notches</w:t>
      </w:r>
      <w:hyperlink r:id="rId23">
        <w:r>
          <w:rPr>
            <w:rStyle w:val="Hyperlink"/>
          </w:rPr>
          <w:t xml:space="preserve">[3]</w:t>
        </w:r>
      </w:hyperlink>
      <w:hyperlink r:id="rId24">
        <w:r>
          <w:rPr>
            <w:rStyle w:val="Hyperlink"/>
          </w:rPr>
          <w:t xml:space="preserve">[4]</w:t>
        </w:r>
      </w:hyperlink>
      <w:r>
        <w:t xml:space="preserve">. This context underscores the cultural decline of the script’s prestige, but the inscriptions themselves preserve invaluable information. Tablet D is on long-term loan in Tahiti, with replicas in Rome, Paris, Brussels, and Auckland</w:t>
      </w:r>
      <w:hyperlink r:id="rId25">
        <w:r>
          <w:rPr>
            <w:rStyle w:val="Hyperlink"/>
          </w:rPr>
          <w:t xml:space="preserve">[5]</w:t>
        </w:r>
      </w:hyperlink>
      <w:hyperlink r:id="rId26">
        <w:r>
          <w:rPr>
            <w:rStyle w:val="Hyperlink"/>
          </w:rPr>
          <w:t xml:space="preserve">[6]</w:t>
        </w:r>
      </w:hyperlink>
      <w:r>
        <w:t xml:space="preserve">. Steven Fischer hypothesized the wood might be</w:t>
      </w:r>
      <w:r>
        <w:t xml:space="preserve"> </w:t>
      </w:r>
      <w:r>
        <w:rPr>
          <w:b/>
          <w:bCs/>
        </w:rPr>
        <w:t xml:space="preserve">foreign ship planking</w:t>
      </w:r>
      <w:r>
        <w:t xml:space="preserve">, given its material (Podocarpus wood not native to Easter Island)</w:t>
      </w:r>
      <w:hyperlink r:id="rId21">
        <w:r>
          <w:rPr>
            <w:rStyle w:val="Hyperlink"/>
          </w:rPr>
          <w:t xml:space="preserve">[1]</w:t>
        </w:r>
      </w:hyperlink>
      <w:hyperlink r:id="rId27">
        <w:r>
          <w:rPr>
            <w:rStyle w:val="Hyperlink"/>
          </w:rPr>
          <w:t xml:space="preserve">[7]</w:t>
        </w:r>
      </w:hyperlink>
      <w:r>
        <w:t xml:space="preserve">. Despite its turbulent history, Tablet D’s text remains one of the keys to unlocking Rongorongo’s meaning.</w:t>
      </w:r>
    </w:p>
    <w:p>
      <w:pPr>
        <w:pStyle w:val="BodyText"/>
      </w:pPr>
      <w:r>
        <w:rPr>
          <w:b/>
          <w:bCs/>
        </w:rPr>
        <w:t xml:space="preserve">Textual Layout:</w:t>
      </w:r>
      <w:r>
        <w:t xml:space="preserve"> </w:t>
      </w:r>
      <w:r>
        <w:t xml:space="preserve">Tablet D carries inscriptions on both sides – conventionally labeled</w:t>
      </w:r>
      <w:r>
        <w:t xml:space="preserve"> </w:t>
      </w:r>
      <w:r>
        <w:rPr>
          <w:i/>
          <w:iCs/>
        </w:rPr>
        <w:t xml:space="preserve">side a</w:t>
      </w:r>
      <w:r>
        <w:t xml:space="preserve"> </w:t>
      </w:r>
      <w:r>
        <w:t xml:space="preserve">and</w:t>
      </w:r>
      <w:r>
        <w:t xml:space="preserve"> </w:t>
      </w:r>
      <w:r>
        <w:rPr>
          <w:i/>
          <w:iCs/>
        </w:rPr>
        <w:t xml:space="preserve">side b</w:t>
      </w:r>
      <w:r>
        <w:t xml:space="preserve">. There are</w:t>
      </w:r>
      <w:r>
        <w:t xml:space="preserve"> </w:t>
      </w:r>
      <w:r>
        <w:rPr>
          <w:b/>
          <w:bCs/>
        </w:rPr>
        <w:t xml:space="preserve">seven lines of finely carved glyphs on side a</w:t>
      </w:r>
      <w:r>
        <w:t xml:space="preserve"> </w:t>
      </w:r>
      <w:r>
        <w:t xml:space="preserve">(with traces of an eighth line along a beveled edge) and</w:t>
      </w:r>
      <w:r>
        <w:t xml:space="preserve"> </w:t>
      </w:r>
      <w:r>
        <w:rPr>
          <w:b/>
          <w:bCs/>
        </w:rPr>
        <w:t xml:space="preserve">six lines of larger, cruder glyphs on side b</w:t>
      </w:r>
      <w:r>
        <w:t xml:space="preserve">, totaling roughly 270 glyphs (including damaged portions)</w:t>
      </w:r>
      <w:hyperlink r:id="rId28">
        <w:r>
          <w:rPr>
            <w:rStyle w:val="Hyperlink"/>
          </w:rPr>
          <w:t xml:space="preserve">[8]</w:t>
        </w:r>
      </w:hyperlink>
      <w:r>
        <w:t xml:space="preserve">. The stark contrast in carving skill suggests that</w:t>
      </w:r>
      <w:r>
        <w:t xml:space="preserve"> </w:t>
      </w:r>
      <w:r>
        <w:rPr>
          <w:b/>
          <w:bCs/>
        </w:rPr>
        <w:t xml:space="preserve">each side was inscribed by a different scribe</w:t>
      </w:r>
      <w:r>
        <w:t xml:space="preserve">, potentially at different times</w:t>
      </w:r>
      <w:hyperlink r:id="rId29">
        <w:r>
          <w:rPr>
            <w:rStyle w:val="Hyperlink"/>
          </w:rPr>
          <w:t xml:space="preserve">[9]</w:t>
        </w:r>
      </w:hyperlink>
      <w:r>
        <w:t xml:space="preserve">. In fact, side a’s script is small and expert, whereas side b’s glyphs are larger and less polished</w:t>
      </w:r>
      <w:hyperlink r:id="rId29">
        <w:r>
          <w:rPr>
            <w:rStyle w:val="Hyperlink"/>
          </w:rPr>
          <w:t xml:space="preserve">[9]</w:t>
        </w:r>
      </w:hyperlink>
      <w:r>
        <w:t xml:space="preserve">. This implies the two sides likely</w:t>
      </w:r>
      <w:r>
        <w:t xml:space="preserve"> </w:t>
      </w:r>
      <w:r>
        <w:rPr>
          <w:b/>
          <w:bCs/>
        </w:rPr>
        <w:t xml:space="preserve">contain distinct texts</w:t>
      </w:r>
      <w:r>
        <w:t xml:space="preserve"> </w:t>
      </w:r>
      <w:r>
        <w:t xml:space="preserve">rather than one continuous narrative, so the usual notion of recto-verso orientation may not apply</w:t>
      </w:r>
      <w:hyperlink r:id="rId30">
        <w:r>
          <w:rPr>
            <w:rStyle w:val="Hyperlink"/>
          </w:rPr>
          <w:t xml:space="preserve">[10]</w:t>
        </w:r>
      </w:hyperlink>
      <w:hyperlink r:id="rId31">
        <w:r>
          <w:rPr>
            <w:rStyle w:val="Hyperlink"/>
          </w:rPr>
          <w:t xml:space="preserve">[11]</w:t>
        </w:r>
      </w:hyperlink>
      <w:r>
        <w:t xml:space="preserve">. Any analysis must therefore treat side a and side b somewhat independently, while still considering possible thematic links. Below, we apply a</w:t>
      </w:r>
      <w:r>
        <w:t xml:space="preserve"> </w:t>
      </w:r>
      <w:r>
        <w:rPr>
          <w:b/>
          <w:bCs/>
        </w:rPr>
        <w:t xml:space="preserve">multi-method decipherment approach</w:t>
      </w:r>
      <w:r>
        <w:t xml:space="preserve"> </w:t>
      </w:r>
      <w:r>
        <w:t xml:space="preserve">– combining lexical matching, glyph-by-glyph analysis, cluster pattern recognition, cross-table comparisons, and external cultural correlations – to unravel the content of each side of Tablet D.</w:t>
      </w:r>
    </w:p>
    <w:bookmarkEnd w:id="32"/>
    <w:bookmarkStart w:id="44" w:name="methodological-approach"/>
    <w:p>
      <w:pPr>
        <w:pStyle w:val="Heading2"/>
      </w:pPr>
      <w:r>
        <w:t xml:space="preserve">Methodological Approach</w:t>
      </w:r>
    </w:p>
    <w:p>
      <w:pPr>
        <w:pStyle w:val="FirstParagraph"/>
      </w:pPr>
      <w:r>
        <w:t xml:space="preserve">To thoroughly decode Tablet D, researchers employed a</w:t>
      </w:r>
      <w:r>
        <w:t xml:space="preserve"> </w:t>
      </w:r>
      <w:r>
        <w:rPr>
          <w:b/>
          <w:bCs/>
        </w:rPr>
        <w:t xml:space="preserve">multi-methodology</w:t>
      </w:r>
      <w:r>
        <w:t xml:space="preserve">, leveraging several complementary strategies:</w:t>
      </w:r>
    </w:p>
    <w:p>
      <w:pPr>
        <w:numPr>
          <w:ilvl w:val="0"/>
          <w:numId w:val="1001"/>
        </w:numPr>
      </w:pPr>
      <w:r>
        <w:rPr>
          <w:b/>
          <w:bCs/>
        </w:rPr>
        <w:t xml:space="preserve">Lexical Identification:</w:t>
      </w:r>
      <w:r>
        <w:t xml:space="preserve"> </w:t>
      </w:r>
      <w:r>
        <w:t xml:space="preserve">Using the 2025 breakthrough Rongorongo lexicon, analysts match each glyph to proposed Rapa Nui meanings. For example, the</w:t>
      </w:r>
      <w:r>
        <w:t xml:space="preserve"> </w:t>
      </w:r>
      <w:r>
        <w:rPr>
          <w:b/>
          <w:bCs/>
        </w:rPr>
        <w:t xml:space="preserve">glyph 200</w:t>
      </w:r>
      <w:r>
        <w:t xml:space="preserve"> </w:t>
      </w:r>
      <w:r>
        <w:t xml:space="preserve">– a human figure often shown holding an implement – has been deciphered to mean</w:t>
      </w:r>
      <w:r>
        <w:t xml:space="preserve"> </w:t>
      </w:r>
      <w:r>
        <w:rPr>
          <w:i/>
          <w:iCs/>
        </w:rPr>
        <w:t xml:space="preserve">“chief, ruler, king”</w:t>
      </w:r>
      <w:r>
        <w:t xml:space="preserve"> </w:t>
      </w:r>
      <w:r>
        <w:t xml:space="preserve">(Rapa Nui</w:t>
      </w:r>
      <w:r>
        <w:t xml:space="preserve"> </w:t>
      </w:r>
      <w:r>
        <w:rPr>
          <w:i/>
          <w:iCs/>
        </w:rPr>
        <w:t xml:space="preserve">ariki</w:t>
      </w:r>
      <w:r>
        <w:t xml:space="preserve">,</w:t>
      </w:r>
      <w:r>
        <w:t xml:space="preserve"> </w:t>
      </w:r>
      <w:r>
        <w:rPr>
          <w:i/>
          <w:iCs/>
        </w:rPr>
        <w:t xml:space="preserve">ariki henua</w:t>
      </w:r>
      <w:r>
        <w:t xml:space="preserve">)</w:t>
      </w:r>
      <w:hyperlink r:id="rId33">
        <w:r>
          <w:rPr>
            <w:rStyle w:val="Hyperlink"/>
          </w:rPr>
          <w:t xml:space="preserve">[12]</w:t>
        </w:r>
      </w:hyperlink>
      <w:r>
        <w:t xml:space="preserve">. Likewise,</w:t>
      </w:r>
      <w:r>
        <w:t xml:space="preserve"> </w:t>
      </w:r>
      <w:r>
        <w:rPr>
          <w:b/>
          <w:bCs/>
        </w:rPr>
        <w:t xml:space="preserve">glyph 300</w:t>
      </w:r>
      <w:r>
        <w:t xml:space="preserve"> </w:t>
      </w:r>
      <w:r>
        <w:t xml:space="preserve">represents a</w:t>
      </w:r>
      <w:r>
        <w:t xml:space="preserve"> </w:t>
      </w:r>
      <w:r>
        <w:rPr>
          <w:i/>
          <w:iCs/>
        </w:rPr>
        <w:t xml:space="preserve">“woman/mother”</w:t>
      </w:r>
      <w:r>
        <w:t xml:space="preserve"> </w:t>
      </w:r>
      <w:r>
        <w:t xml:space="preserve">(</w:t>
      </w:r>
      <w:r>
        <w:rPr>
          <w:i/>
          <w:iCs/>
        </w:rPr>
        <w:t xml:space="preserve">vi’e</w:t>
      </w:r>
      <w:r>
        <w:t xml:space="preserve">,</w:t>
      </w:r>
      <w:r>
        <w:t xml:space="preserve"> </w:t>
      </w:r>
      <w:r>
        <w:rPr>
          <w:i/>
          <w:iCs/>
        </w:rPr>
        <w:t xml:space="preserve">māmā</w:t>
      </w:r>
      <w:r>
        <w:t xml:space="preserve">)</w:t>
      </w:r>
      <w:hyperlink r:id="rId34">
        <w:r>
          <w:rPr>
            <w:rStyle w:val="Hyperlink"/>
          </w:rPr>
          <w:t xml:space="preserve">[13]</w:t>
        </w:r>
      </w:hyperlink>
      <w:r>
        <w:t xml:space="preserve">,</w:t>
      </w:r>
      <w:r>
        <w:t xml:space="preserve"> </w:t>
      </w:r>
      <w:r>
        <w:rPr>
          <w:b/>
          <w:bCs/>
        </w:rPr>
        <w:t xml:space="preserve">glyph 400</w:t>
      </w:r>
      <w:r>
        <w:t xml:space="preserve"> </w:t>
      </w:r>
      <w:r>
        <w:t xml:space="preserve">a</w:t>
      </w:r>
      <w:r>
        <w:t xml:space="preserve"> </w:t>
      </w:r>
      <w:r>
        <w:rPr>
          <w:i/>
          <w:iCs/>
        </w:rPr>
        <w:t xml:space="preserve">“child/offspring”</w:t>
      </w:r>
      <w:r>
        <w:t xml:space="preserve"> </w:t>
      </w:r>
      <w:r>
        <w:t xml:space="preserve">(</w:t>
      </w:r>
      <w:r>
        <w:rPr>
          <w:i/>
          <w:iCs/>
        </w:rPr>
        <w:t xml:space="preserve">poki</w:t>
      </w:r>
      <w:r>
        <w:t xml:space="preserve">,</w:t>
      </w:r>
      <w:r>
        <w:t xml:space="preserve"> </w:t>
      </w:r>
      <w:r>
        <w:rPr>
          <w:i/>
          <w:iCs/>
        </w:rPr>
        <w:t xml:space="preserve">ui</w:t>
      </w:r>
      <w:r>
        <w:t xml:space="preserve">)</w:t>
      </w:r>
      <w:hyperlink r:id="rId35">
        <w:r>
          <w:rPr>
            <w:rStyle w:val="Hyperlink"/>
          </w:rPr>
          <w:t xml:space="preserve">[14]</w:t>
        </w:r>
      </w:hyperlink>
      <w:r>
        <w:t xml:space="preserve">, and</w:t>
      </w:r>
      <w:r>
        <w:t xml:space="preserve"> </w:t>
      </w:r>
      <w:r>
        <w:rPr>
          <w:b/>
          <w:bCs/>
        </w:rPr>
        <w:t xml:space="preserve">glyph 500</w:t>
      </w:r>
      <w:r>
        <w:t xml:space="preserve"> </w:t>
      </w:r>
      <w:r>
        <w:t xml:space="preserve">an</w:t>
      </w:r>
      <w:r>
        <w:t xml:space="preserve"> </w:t>
      </w:r>
      <w:r>
        <w:rPr>
          <w:i/>
          <w:iCs/>
        </w:rPr>
        <w:t xml:space="preserve">“elder/ancestor”</w:t>
      </w:r>
      <w:r>
        <w:t xml:space="preserve"> </w:t>
      </w:r>
      <w:r>
        <w:t xml:space="preserve">(</w:t>
      </w:r>
      <w:r>
        <w:rPr>
          <w:i/>
          <w:iCs/>
        </w:rPr>
        <w:t xml:space="preserve">tupuna</w:t>
      </w:r>
      <w:r>
        <w:t xml:space="preserve">,</w:t>
      </w:r>
      <w:r>
        <w:t xml:space="preserve"> </w:t>
      </w:r>
      <w:r>
        <w:rPr>
          <w:i/>
          <w:iCs/>
        </w:rPr>
        <w:t xml:space="preserve">koroua</w:t>
      </w:r>
      <w:r>
        <w:t xml:space="preserve">)</w:t>
      </w:r>
      <w:hyperlink r:id="rId36">
        <w:r>
          <w:rPr>
            <w:rStyle w:val="Hyperlink"/>
          </w:rPr>
          <w:t xml:space="preserve">[15]</w:t>
        </w:r>
      </w:hyperlink>
      <w:r>
        <w:t xml:space="preserve">. These identifications map onto known Polynesian social categories, giving us a starting vocabulary of people and roles. Many simpler signs depict natural objects or body parts: e.g.</w:t>
      </w:r>
      <w:r>
        <w:t xml:space="preserve"> </w:t>
      </w:r>
      <w:r>
        <w:rPr>
          <w:b/>
          <w:bCs/>
        </w:rPr>
        <w:t xml:space="preserve">glyph 1</w:t>
      </w:r>
      <w:r>
        <w:t xml:space="preserve"> </w:t>
      </w:r>
      <w:r>
        <w:t xml:space="preserve">is a basic</w:t>
      </w:r>
      <w:r>
        <w:t xml:space="preserve"> </w:t>
      </w:r>
      <w:r>
        <w:rPr>
          <w:i/>
          <w:iCs/>
        </w:rPr>
        <w:t xml:space="preserve">“person/human”</w:t>
      </w:r>
      <w:r>
        <w:t xml:space="preserve"> </w:t>
      </w:r>
      <w:r>
        <w:t xml:space="preserve">figure</w:t>
      </w:r>
      <w:hyperlink r:id="rId37">
        <w:r>
          <w:rPr>
            <w:rStyle w:val="Hyperlink"/>
          </w:rPr>
          <w:t xml:space="preserve">[16]</w:t>
        </w:r>
      </w:hyperlink>
      <w:r>
        <w:t xml:space="preserve">,</w:t>
      </w:r>
      <w:r>
        <w:t xml:space="preserve"> </w:t>
      </w:r>
      <w:r>
        <w:rPr>
          <w:b/>
          <w:bCs/>
        </w:rPr>
        <w:t xml:space="preserve">glyph 2</w:t>
      </w:r>
      <w:r>
        <w:t xml:space="preserve"> </w:t>
      </w:r>
      <w:r>
        <w:t xml:space="preserve">is a</w:t>
      </w:r>
      <w:r>
        <w:t xml:space="preserve"> </w:t>
      </w:r>
      <w:r>
        <w:rPr>
          <w:i/>
          <w:iCs/>
        </w:rPr>
        <w:t xml:space="preserve">“head/face”</w:t>
      </w:r>
      <w:r>
        <w:t xml:space="preserve"> </w:t>
      </w:r>
      <w:r>
        <w:t xml:space="preserve">(</w:t>
      </w:r>
      <w:r>
        <w:rPr>
          <w:i/>
          <w:iCs/>
        </w:rPr>
        <w:t xml:space="preserve">poʻo</w:t>
      </w:r>
      <w:r>
        <w:t xml:space="preserve">,</w:t>
      </w:r>
      <w:r>
        <w:t xml:space="preserve"> </w:t>
      </w:r>
      <w:r>
        <w:rPr>
          <w:i/>
          <w:iCs/>
        </w:rPr>
        <w:t xml:space="preserve">mata</w:t>
      </w:r>
      <w:r>
        <w:t xml:space="preserve">)</w:t>
      </w:r>
      <w:hyperlink r:id="rId38">
        <w:r>
          <w:rPr>
            <w:rStyle w:val="Hyperlink"/>
          </w:rPr>
          <w:t xml:space="preserve">[17]</w:t>
        </w:r>
      </w:hyperlink>
      <w:r>
        <w:t xml:space="preserve">,</w:t>
      </w:r>
      <w:r>
        <w:t xml:space="preserve"> </w:t>
      </w:r>
      <w:r>
        <w:rPr>
          <w:b/>
          <w:bCs/>
        </w:rPr>
        <w:t xml:space="preserve">glyph 3</w:t>
      </w:r>
      <w:r>
        <w:t xml:space="preserve"> </w:t>
      </w:r>
      <w:r>
        <w:t xml:space="preserve">an</w:t>
      </w:r>
      <w:r>
        <w:t xml:space="preserve"> </w:t>
      </w:r>
      <w:r>
        <w:rPr>
          <w:i/>
          <w:iCs/>
        </w:rPr>
        <w:t xml:space="preserve">“eye”</w:t>
      </w:r>
      <w:r>
        <w:t xml:space="preserve"> </w:t>
      </w:r>
      <w:r>
        <w:t xml:space="preserve">(</w:t>
      </w:r>
      <w:r>
        <w:rPr>
          <w:i/>
          <w:iCs/>
        </w:rPr>
        <w:t xml:space="preserve">mata</w:t>
      </w:r>
      <w:r>
        <w:t xml:space="preserve"> </w:t>
      </w:r>
      <w:r>
        <w:t xml:space="preserve">– also “to see”)</w:t>
      </w:r>
      <w:hyperlink r:id="rId39">
        <w:r>
          <w:rPr>
            <w:rStyle w:val="Hyperlink"/>
          </w:rPr>
          <w:t xml:space="preserve">[18]</w:t>
        </w:r>
      </w:hyperlink>
      <w:r>
        <w:t xml:space="preserve">,</w:t>
      </w:r>
      <w:r>
        <w:t xml:space="preserve"> </w:t>
      </w:r>
      <w:r>
        <w:rPr>
          <w:b/>
          <w:bCs/>
        </w:rPr>
        <w:t xml:space="preserve">glyph 4</w:t>
      </w:r>
      <w:r>
        <w:t xml:space="preserve"> </w:t>
      </w:r>
      <w:r>
        <w:t xml:space="preserve">a</w:t>
      </w:r>
      <w:r>
        <w:t xml:space="preserve"> </w:t>
      </w:r>
      <w:r>
        <w:rPr>
          <w:i/>
          <w:iCs/>
        </w:rPr>
        <w:t xml:space="preserve">“mouth”</w:t>
      </w:r>
      <w:r>
        <w:t xml:space="preserve"> </w:t>
      </w:r>
      <w:r>
        <w:t xml:space="preserve">(with extensions meaning “speak/word”)</w:t>
      </w:r>
      <w:hyperlink r:id="rId40">
        <w:r>
          <w:rPr>
            <w:rStyle w:val="Hyperlink"/>
          </w:rPr>
          <w:t xml:space="preserve">[19]</w:t>
        </w:r>
      </w:hyperlink>
      <w:r>
        <w:t xml:space="preserve">, etc. This lexicon – compiled from Barthel’s catalog, Fischer’s 1997 work, and recent 2025 multi-method discoveries – allows us to assign provisional meanings to many of Tablet D’s signs.</w:t>
      </w:r>
    </w:p>
    <w:p>
      <w:pPr>
        <w:numPr>
          <w:ilvl w:val="0"/>
          <w:numId w:val="1001"/>
        </w:numPr>
      </w:pPr>
      <w:r>
        <w:rPr>
          <w:b/>
          <w:bCs/>
        </w:rPr>
        <w:t xml:space="preserve">Structural &amp; Cluster Analysis:</w:t>
      </w:r>
      <w:r>
        <w:t xml:space="preserve"> </w:t>
      </w:r>
      <w:r>
        <w:t xml:space="preserve">We examine how glyphs combine into clusters and repeat across the text. Certain</w:t>
      </w:r>
      <w:r>
        <w:t xml:space="preserve"> </w:t>
      </w:r>
      <w:r>
        <w:rPr>
          <w:b/>
          <w:bCs/>
        </w:rPr>
        <w:t xml:space="preserve">recurrent glyph sequences</w:t>
      </w:r>
      <w:r>
        <w:t xml:space="preserve"> </w:t>
      </w:r>
      <w:r>
        <w:t xml:space="preserve">can indicate phrases or grammatical structures. On Tablet D, one standout pattern occurs on side a, line 3: a</w:t>
      </w:r>
      <w:r>
        <w:t xml:space="preserve"> </w:t>
      </w:r>
      <w:r>
        <w:rPr>
          <w:b/>
          <w:bCs/>
        </w:rPr>
        <w:t xml:space="preserve">repeated sequence of a “chief” figure (glyph 200) holding various object glyphs, separated by a frigatebird glyph (glyph 600)</w:t>
      </w:r>
      <w:hyperlink r:id="rId41">
        <w:r>
          <w:rPr>
            <w:rStyle w:val="Hyperlink"/>
          </w:rPr>
          <w:t xml:space="preserve">[20]</w:t>
        </w:r>
      </w:hyperlink>
      <w:r>
        <w:t xml:space="preserve">. By analyzing this cluster (200 + object + 600) iteratively, we infer it represents an</w:t>
      </w:r>
      <w:r>
        <w:t xml:space="preserve"> </w:t>
      </w:r>
      <w:r>
        <w:rPr>
          <w:b/>
          <w:bCs/>
        </w:rPr>
        <w:t xml:space="preserve">enumerated list</w:t>
      </w:r>
      <w:r>
        <w:t xml:space="preserve"> </w:t>
      </w:r>
      <w:r>
        <w:t xml:space="preserve">(more on this below). We also look for</w:t>
      </w:r>
      <w:r>
        <w:t xml:space="preserve"> </w:t>
      </w:r>
      <w:r>
        <w:rPr>
          <w:b/>
          <w:bCs/>
        </w:rPr>
        <w:t xml:space="preserve">reduplication</w:t>
      </w:r>
      <w:r>
        <w:t xml:space="preserve"> </w:t>
      </w:r>
      <w:r>
        <w:t xml:space="preserve">(paired identical glyphs) and affixes. For instance, glyph</w:t>
      </w:r>
      <w:r>
        <w:t xml:space="preserve"> </w:t>
      </w:r>
      <w:r>
        <w:rPr>
          <w:b/>
          <w:bCs/>
        </w:rPr>
        <w:t xml:space="preserve">6 (“hand”)</w:t>
      </w:r>
      <w:r>
        <w:t xml:space="preserve"> </w:t>
      </w:r>
      <w:r>
        <w:t xml:space="preserve">is understood as a</w:t>
      </w:r>
      <w:r>
        <w:t xml:space="preserve"> </w:t>
      </w:r>
      <w:r>
        <w:rPr>
          <w:b/>
          <w:bCs/>
        </w:rPr>
        <w:t xml:space="preserve">plural marker</w:t>
      </w:r>
      <w:r>
        <w:t xml:space="preserve"> </w:t>
      </w:r>
      <w:r>
        <w:t xml:space="preserve">when attached to another glyph</w:t>
      </w:r>
      <w:hyperlink r:id="rId37">
        <w:r>
          <w:rPr>
            <w:rStyle w:val="Hyperlink"/>
          </w:rPr>
          <w:t xml:space="preserve">[21]</w:t>
        </w:r>
      </w:hyperlink>
      <w:r>
        <w:t xml:space="preserve"> </w:t>
      </w:r>
      <w:r>
        <w:t xml:space="preserve">– an insight gained by observing it consistently suffixed to nouns to indicate plural or collective forms in various texts. Identifying such patterns on Tablet D helps discern where the text lists plural entities (groups, multiples) versus singular items. The cluster method also checks if certain lines share the same endings or beginnings, hinting at refrains or syntactic markers.</w:t>
      </w:r>
    </w:p>
    <w:p>
      <w:pPr>
        <w:numPr>
          <w:ilvl w:val="0"/>
          <w:numId w:val="1001"/>
        </w:numPr>
      </w:pPr>
      <w:r>
        <w:rPr>
          <w:b/>
          <w:bCs/>
        </w:rPr>
        <w:t xml:space="preserve">Cross-Tablet Correlation:</w:t>
      </w:r>
      <w:r>
        <w:t xml:space="preserve"> </w:t>
      </w:r>
      <w:r>
        <w:t xml:space="preserve">Any decipherment hypothesis is strengthened if the same glyph combinations appear in other Rongorongo texts with a consistent context. Tablet D’s content does not exist in isolation – researchers compare it to parallel passages on other tablets. For example, the</w:t>
      </w:r>
      <w:r>
        <w:t xml:space="preserve"> </w:t>
      </w:r>
      <w:r>
        <w:rPr>
          <w:b/>
          <w:bCs/>
        </w:rPr>
        <w:t xml:space="preserve">“chief + object” listing pattern on Tablet D (side a line 3)</w:t>
      </w:r>
      <w:r>
        <w:t xml:space="preserve"> </w:t>
      </w:r>
      <w:r>
        <w:t xml:space="preserve">has also been observed on at least two other major texts (Barthel texts H and P, the Large Santiago and Large St. Petersburg tablets)</w:t>
      </w:r>
      <w:hyperlink r:id="rId42">
        <w:r>
          <w:rPr>
            <w:rStyle w:val="Hyperlink"/>
          </w:rPr>
          <w:t xml:space="preserve">[22]</w:t>
        </w:r>
      </w:hyperlink>
      <w:r>
        <w:t xml:space="preserve">. All three instances show sequences of</w:t>
      </w:r>
      <w:r>
        <w:t xml:space="preserve"> </w:t>
      </w:r>
      <w:r>
        <w:rPr>
          <w:b/>
          <w:bCs/>
        </w:rPr>
        <w:t xml:space="preserve">chief glyphs separated by the bird glyph</w:t>
      </w:r>
      <w:r>
        <w:t xml:space="preserve">, strongly suggesting a common list or genealogical formula across tablets. Such corroboration boosts confidence that we’re reading the structure correctly (i.e. as a list of successive chiefs or items). Similarly, we note that some glyphs serve</w:t>
      </w:r>
      <w:r>
        <w:t xml:space="preserve"> </w:t>
      </w:r>
      <w:r>
        <w:rPr>
          <w:b/>
          <w:bCs/>
        </w:rPr>
        <w:t xml:space="preserve">structural roles</w:t>
      </w:r>
      <w:r>
        <w:t xml:space="preserve"> </w:t>
      </w:r>
      <w:r>
        <w:t xml:space="preserve">in multiple texts: for instance, the frigatebird sign (glyph 600) appears to function as a</w:t>
      </w:r>
      <w:r>
        <w:t xml:space="preserve"> </w:t>
      </w:r>
      <w:r>
        <w:rPr>
          <w:b/>
          <w:bCs/>
        </w:rPr>
        <w:t xml:space="preserve">separator or enumerator</w:t>
      </w:r>
      <w:r>
        <w:t xml:space="preserve"> </w:t>
      </w:r>
      <w:r>
        <w:t xml:space="preserve">on Tablet D, much like another glyph – the</w:t>
      </w:r>
      <w:r>
        <w:t xml:space="preserve"> </w:t>
      </w:r>
      <w:r>
        <w:rPr>
          <w:i/>
          <w:iCs/>
        </w:rPr>
        <w:t xml:space="preserve">“sand/beach”</w:t>
      </w:r>
      <w:r>
        <w:t xml:space="preserve"> </w:t>
      </w:r>
      <w:r>
        <w:t xml:space="preserve">sign (glyph 9,</w:t>
      </w:r>
      <w:r>
        <w:t xml:space="preserve"> </w:t>
      </w:r>
      <w:r>
        <w:rPr>
          <w:i/>
          <w:iCs/>
        </w:rPr>
        <w:t xml:space="preserve">one</w:t>
      </w:r>
      <w:r>
        <w:t xml:space="preserve"> </w:t>
      </w:r>
      <w:r>
        <w:t xml:space="preserve">= sand) – reliably marks the</w:t>
      </w:r>
      <w:r>
        <w:t xml:space="preserve"> </w:t>
      </w:r>
      <w:r>
        <w:rPr>
          <w:b/>
          <w:bCs/>
        </w:rPr>
        <w:t xml:space="preserve">end of voyage narratives</w:t>
      </w:r>
      <w:r>
        <w:t xml:space="preserve"> </w:t>
      </w:r>
      <w:r>
        <w:t xml:space="preserve">on other tablets by indicating landfall</w:t>
      </w:r>
      <w:hyperlink r:id="rId41">
        <w:r>
          <w:rPr>
            <w:rStyle w:val="Hyperlink"/>
          </w:rPr>
          <w:t xml:space="preserve">[20]</w:t>
        </w:r>
      </w:hyperlink>
      <w:hyperlink r:id="rId43">
        <w:r>
          <w:rPr>
            <w:rStyle w:val="Hyperlink"/>
          </w:rPr>
          <w:t xml:space="preserve">[23]</w:t>
        </w:r>
      </w:hyperlink>
      <w:r>
        <w:t xml:space="preserve">. Identifying these structural or “punctuation” glyphs by cross-comparison is key to parsing Rongorongo sentences.</w:t>
      </w:r>
    </w:p>
    <w:p>
      <w:pPr>
        <w:numPr>
          <w:ilvl w:val="0"/>
          <w:numId w:val="1001"/>
        </w:numPr>
      </w:pPr>
      <w:r>
        <w:rPr>
          <w:b/>
          <w:bCs/>
        </w:rPr>
        <w:t xml:space="preserve">External Correlation &amp; Cultural Context:</w:t>
      </w:r>
      <w:r>
        <w:t xml:space="preserve"> </w:t>
      </w:r>
      <w:r>
        <w:t xml:space="preserve">Decipherment also draws on our knowledge of Rapa Nui language, oral traditions, and broader Polynesian culture. Many glyph values align with Rapa Nui words (e.g.</w:t>
      </w:r>
      <w:r>
        <w:t xml:space="preserve"> </w:t>
      </w:r>
      <w:r>
        <w:rPr>
          <w:i/>
          <w:iCs/>
        </w:rPr>
        <w:t xml:space="preserve">manu</w:t>
      </w:r>
      <w:r>
        <w:t xml:space="preserve"> </w:t>
      </w:r>
      <w:r>
        <w:t xml:space="preserve">for bird,</w:t>
      </w:r>
      <w:r>
        <w:t xml:space="preserve"> </w:t>
      </w:r>
      <w:r>
        <w:rPr>
          <w:i/>
          <w:iCs/>
        </w:rPr>
        <w:t xml:space="preserve">ika</w:t>
      </w:r>
      <w:r>
        <w:t xml:space="preserve"> </w:t>
      </w:r>
      <w:r>
        <w:t xml:space="preserve">for fish), and many themes in the texts (genealogies, lunar calendars, creation chants) correspond to known Polynesian cultural elements. We use such outside information to guide interpretation. For example, Polynesian societies often preserved</w:t>
      </w:r>
      <w:r>
        <w:t xml:space="preserve"> </w:t>
      </w:r>
      <w:r>
        <w:rPr>
          <w:b/>
          <w:bCs/>
        </w:rPr>
        <w:t xml:space="preserve">genealogies of chiefs</w:t>
      </w:r>
      <w:r>
        <w:t xml:space="preserve"> </w:t>
      </w:r>
      <w:r>
        <w:t xml:space="preserve">in chants, enumerating each generation with stock phrases; this hints that Tablet D’s list of chiefs could be a</w:t>
      </w:r>
      <w:r>
        <w:t xml:space="preserve"> </w:t>
      </w:r>
      <w:r>
        <w:rPr>
          <w:b/>
          <w:bCs/>
        </w:rPr>
        <w:t xml:space="preserve">king-list or lineage chant</w:t>
      </w:r>
      <w:r>
        <w:t xml:space="preserve">. We also consider legends: if a glyph sequence could match a known Rapa Nui myth or historical account, that clue is explored. In practice, no direct “Rosetta Stone” translation exists, but even partial matches (like a glyph sequence that seems to enumerate the known royal succession) are pursued. Additionally, early colonial-era attempts at reading Rongorongo by native informant Metoro are consulted: notably, Metoro was recorded reciting “</w:t>
      </w:r>
      <w:r>
        <w:rPr>
          <w:b/>
          <w:bCs/>
        </w:rPr>
        <w:t xml:space="preserve">poki</w:t>
      </w:r>
      <w:r>
        <w:t xml:space="preserve">” (child) when pointing to a certain glyph</w:t>
      </w:r>
      <w:hyperlink r:id="rId37">
        <w:r>
          <w:rPr>
            <w:rStyle w:val="Hyperlink"/>
          </w:rPr>
          <w:t xml:space="preserve">[24]</w:t>
        </w:r>
      </w:hyperlink>
      <w:r>
        <w:t xml:space="preserve">, confirming glyph 7’s meaning as</w:t>
      </w:r>
      <w:r>
        <w:t xml:space="preserve"> </w:t>
      </w:r>
      <w:r>
        <w:rPr>
          <w:i/>
          <w:iCs/>
        </w:rPr>
        <w:t xml:space="preserve">“child/descendant”</w:t>
      </w:r>
      <w:r>
        <w:t xml:space="preserve"> </w:t>
      </w:r>
      <w:r>
        <w:t xml:space="preserve">in a lineage context. Such indigenous insights, though scarce, are treated as precious external validation of the emerging decipherment.</w:t>
      </w:r>
    </w:p>
    <w:p>
      <w:pPr>
        <w:pStyle w:val="FirstParagraph"/>
      </w:pPr>
      <w:r>
        <w:t xml:space="preserve">Using the above methods in concert – lexicon definitions, internal pattern analysis, cross-text consistency checks, and cultural intuition – we can now delve into</w:t>
      </w:r>
      <w:r>
        <w:t xml:space="preserve"> </w:t>
      </w:r>
      <w:r>
        <w:rPr>
          <w:b/>
          <w:bCs/>
        </w:rPr>
        <w:t xml:space="preserve">Tablet D’s content</w:t>
      </w:r>
      <w:r>
        <w:t xml:space="preserve">, side by side.</w:t>
      </w:r>
    </w:p>
    <w:bookmarkEnd w:id="44"/>
    <w:bookmarkStart w:id="55" w:name="side-a-structure-and-decipherment"/>
    <w:p>
      <w:pPr>
        <w:pStyle w:val="Heading2"/>
      </w:pPr>
      <w:r>
        <w:t xml:space="preserve">Side A: Structure and Decipherment</w:t>
      </w:r>
    </w:p>
    <w:p>
      <w:pPr>
        <w:pStyle w:val="FirstParagraph"/>
      </w:pPr>
      <w:r>
        <w:rPr>
          <w:b/>
          <w:bCs/>
        </w:rPr>
        <w:t xml:space="preserve">Overall Impression:</w:t>
      </w:r>
      <w:r>
        <w:t xml:space="preserve"> </w:t>
      </w:r>
      <w:r>
        <w:t xml:space="preserve">Side A of Tablet D is expertly carved and appears to contain a</w:t>
      </w:r>
      <w:r>
        <w:t xml:space="preserve"> </w:t>
      </w:r>
      <w:r>
        <w:rPr>
          <w:b/>
          <w:bCs/>
        </w:rPr>
        <w:t xml:space="preserve">coherent extended passage</w:t>
      </w:r>
      <w:r>
        <w:t xml:space="preserve">, likely of significant ceremonial or historical importance. The fine execution suggests the scribe was well-trained and perhaps copying from a revered source. The content on side A exhibits structured repetition, implying it is not a free-form narrative but rather a formatted list or chant.</w:t>
      </w:r>
    </w:p>
    <w:bookmarkStart w:id="51" w:name="X5b8be6398397db1c9ab1daa588caae82802f8fd"/>
    <w:p>
      <w:pPr>
        <w:pStyle w:val="Heading3"/>
      </w:pPr>
      <w:r>
        <w:t xml:space="preserve">Enumerated List of Chiefs (Line a3 Highlight)</w:t>
      </w:r>
    </w:p>
    <w:p>
      <w:pPr>
        <w:pStyle w:val="FirstParagraph"/>
      </w:pPr>
      <w:r>
        <w:t xml:space="preserve">The most striking feature on side A is found on</w:t>
      </w:r>
      <w:r>
        <w:t xml:space="preserve"> </w:t>
      </w:r>
      <w:r>
        <w:rPr>
          <w:b/>
          <w:bCs/>
        </w:rPr>
        <w:t xml:space="preserve">Line a3</w:t>
      </w:r>
      <w:r>
        <w:t xml:space="preserve">, which</w:t>
      </w:r>
      <w:r>
        <w:t xml:space="preserve"> </w:t>
      </w:r>
      <w:r>
        <w:rPr>
          <w:b/>
          <w:bCs/>
        </w:rPr>
        <w:t xml:space="preserve">“contains a series of figures (glyph 200) holding various objects and irregularly separated by frigatebirds (glyph 600)”</w:t>
      </w:r>
      <w:hyperlink r:id="rId41">
        <w:r>
          <w:rPr>
            <w:rStyle w:val="Hyperlink"/>
            <w:b/>
            <w:bCs/>
          </w:rPr>
          <w:t xml:space="preserve">[20]</w:t>
        </w:r>
      </w:hyperlink>
      <w:r>
        <w:t xml:space="preserve">. In plainer terms, this line repeatedly shows the</w:t>
      </w:r>
      <w:r>
        <w:t xml:space="preserve"> </w:t>
      </w:r>
      <w:r>
        <w:rPr>
          <w:i/>
          <w:iCs/>
        </w:rPr>
        <w:t xml:space="preserve">chief/king</w:t>
      </w:r>
      <w:r>
        <w:t xml:space="preserve"> </w:t>
      </w:r>
      <w:r>
        <w:t xml:space="preserve">glyph (an upright human figure with distinguishing features) followed by some other glyph (an object or symbol held by or adjacent to the figure), then after some space a</w:t>
      </w:r>
      <w:r>
        <w:t xml:space="preserve"> </w:t>
      </w:r>
      <w:r>
        <w:rPr>
          <w:i/>
          <w:iCs/>
        </w:rPr>
        <w:t xml:space="preserve">bird</w:t>
      </w:r>
      <w:r>
        <w:t xml:space="preserve"> </w:t>
      </w:r>
      <w:r>
        <w:t xml:space="preserve">glyph appears, then another chief glyph with an object, and so on. This pattern continues multiple times along the line. Steven Fischer (1997) speculated that these could</w:t>
      </w:r>
      <w:r>
        <w:t xml:space="preserve"> </w:t>
      </w:r>
      <w:r>
        <w:rPr>
          <w:b/>
          <w:bCs/>
        </w:rPr>
        <w:t xml:space="preserve">represent a numerical series</w:t>
      </w:r>
      <w:hyperlink r:id="rId41">
        <w:r>
          <w:rPr>
            <w:rStyle w:val="Hyperlink"/>
          </w:rPr>
          <w:t xml:space="preserve">[20]</w:t>
        </w:r>
      </w:hyperlink>
      <w:r>
        <w:t xml:space="preserve"> </w:t>
      </w:r>
      <w:r>
        <w:t xml:space="preserve">– an interpretation our multi-method analysis refines as a</w:t>
      </w:r>
      <w:r>
        <w:t xml:space="preserve"> </w:t>
      </w:r>
      <w:r>
        <w:rPr>
          <w:b/>
          <w:bCs/>
        </w:rPr>
        <w:t xml:space="preserve">genealogical or enumerative list</w:t>
      </w:r>
      <w:r>
        <w:t xml:space="preserve"> </w:t>
      </w:r>
      <w:r>
        <w:t xml:space="preserve">(likely of successive chiefs or important figures).</w:t>
      </w:r>
    </w:p>
    <w:p>
      <w:pPr>
        <w:pStyle w:val="BodyText"/>
      </w:pPr>
      <w:r>
        <w:t xml:space="preserve">Each segment of the sequence can be analyzed as follows:</w:t>
      </w:r>
    </w:p>
    <w:p>
      <w:pPr>
        <w:numPr>
          <w:ilvl w:val="0"/>
          <w:numId w:val="1002"/>
        </w:numPr>
      </w:pPr>
      <w:r>
        <w:rPr>
          <w:b/>
          <w:bCs/>
        </w:rPr>
        <w:t xml:space="preserve">Chief figure (glyph 200)</w:t>
      </w:r>
      <w:r>
        <w:t xml:space="preserve"> </w:t>
      </w:r>
      <w:r>
        <w:t xml:space="preserve">– Deciphered as</w:t>
      </w:r>
      <w:r>
        <w:t xml:space="preserve"> </w:t>
      </w:r>
      <w:r>
        <w:rPr>
          <w:i/>
          <w:iCs/>
        </w:rPr>
        <w:t xml:space="preserve">ariki</w:t>
      </w:r>
      <w:r>
        <w:t xml:space="preserve"> </w:t>
      </w:r>
      <w:r>
        <w:t xml:space="preserve">(high chief or king)</w:t>
      </w:r>
      <w:hyperlink r:id="rId33">
        <w:r>
          <w:rPr>
            <w:rStyle w:val="Hyperlink"/>
          </w:rPr>
          <w:t xml:space="preserve">[12]</w:t>
        </w:r>
      </w:hyperlink>
      <w:r>
        <w:t xml:space="preserve">. Its consistent repetition indicates each segment is talking about a chief or leader. That strongly suggests a list of</w:t>
      </w:r>
      <w:r>
        <w:t xml:space="preserve"> </w:t>
      </w:r>
      <w:r>
        <w:rPr>
          <w:b/>
          <w:bCs/>
        </w:rPr>
        <w:t xml:space="preserve">multiple chiefs</w:t>
      </w:r>
      <w:r>
        <w:t xml:space="preserve">, rather than a story about one person. In Rapa Nui tradition, genealogies or king-lists enumerate each ariki in order; line a3 appears to do exactly this in glyphic form.</w:t>
      </w:r>
    </w:p>
    <w:p>
      <w:pPr>
        <w:numPr>
          <w:ilvl w:val="0"/>
          <w:numId w:val="1002"/>
        </w:numPr>
      </w:pPr>
      <w:r>
        <w:rPr>
          <w:b/>
          <w:bCs/>
        </w:rPr>
        <w:t xml:space="preserve">Object held or associated</w:t>
      </w:r>
      <w:r>
        <w:t xml:space="preserve"> </w:t>
      </w:r>
      <w:r>
        <w:t xml:space="preserve">– The glyph immediately following each chief likely denotes something about that chief. Because the objects vary with each occurrence of glyph 200, they seem to function as</w:t>
      </w:r>
      <w:r>
        <w:t xml:space="preserve"> </w:t>
      </w:r>
      <w:r>
        <w:rPr>
          <w:b/>
          <w:bCs/>
        </w:rPr>
        <w:t xml:space="preserve">identifiers or attributes</w:t>
      </w:r>
      <w:r>
        <w:t xml:space="preserve"> </w:t>
      </w:r>
      <w:r>
        <w:t xml:space="preserve">for each individual in the list. In Polynesian genealogical chants, it’s common to append epithets or notable traits to each name. Here, instead of phonetic epithets, we have pictographic ones:</w:t>
      </w:r>
    </w:p>
    <w:p>
      <w:pPr>
        <w:pStyle w:val="Compact"/>
        <w:numPr>
          <w:ilvl w:val="0"/>
          <w:numId w:val="1002"/>
        </w:numPr>
      </w:pPr>
      <w:r>
        <w:t xml:space="preserve">In one segment, the chief may be associated with a</w:t>
      </w:r>
      <w:r>
        <w:t xml:space="preserve"> </w:t>
      </w:r>
      <w:r>
        <w:rPr>
          <w:b/>
          <w:bCs/>
        </w:rPr>
        <w:t xml:space="preserve">fish glyph</w:t>
      </w:r>
      <w:r>
        <w:t xml:space="preserve">. For example,</w:t>
      </w:r>
      <w:r>
        <w:t xml:space="preserve"> </w:t>
      </w:r>
      <w:r>
        <w:rPr>
          <w:b/>
          <w:bCs/>
        </w:rPr>
        <w:t xml:space="preserve">glyph 700</w:t>
      </w:r>
      <w:r>
        <w:t xml:space="preserve">, which depicts a fish, carries meanings</w:t>
      </w:r>
      <w:r>
        <w:t xml:space="preserve"> </w:t>
      </w:r>
      <w:r>
        <w:rPr>
          <w:i/>
          <w:iCs/>
        </w:rPr>
        <w:t xml:space="preserve">“fish”</w:t>
      </w:r>
      <w:r>
        <w:t xml:space="preserve"> </w:t>
      </w:r>
      <w:r>
        <w:t xml:space="preserve">(ika) or</w:t>
      </w:r>
      <w:r>
        <w:t xml:space="preserve"> </w:t>
      </w:r>
      <w:r>
        <w:rPr>
          <w:i/>
          <w:iCs/>
        </w:rPr>
        <w:t xml:space="preserve">“victim/sacrifice”</w:t>
      </w:r>
      <w:hyperlink r:id="rId45">
        <w:r>
          <w:rPr>
            <w:rStyle w:val="Hyperlink"/>
          </w:rPr>
          <w:t xml:space="preserve">[25]</w:t>
        </w:r>
      </w:hyperlink>
      <w:r>
        <w:t xml:space="preserve">. If a chief is shown with a fish glyph, it could imply</w:t>
      </w:r>
      <w:r>
        <w:t xml:space="preserve"> </w:t>
      </w:r>
      <w:r>
        <w:rPr>
          <w:i/>
          <w:iCs/>
        </w:rPr>
        <w:t xml:space="preserve">“Chief [So-and-so], the fisherman”</w:t>
      </w:r>
      <w:r>
        <w:t xml:space="preserve"> </w:t>
      </w:r>
      <w:r>
        <w:t xml:space="preserve">or</w:t>
      </w:r>
      <w:r>
        <w:t xml:space="preserve"> </w:t>
      </w:r>
      <w:r>
        <w:rPr>
          <w:i/>
          <w:iCs/>
        </w:rPr>
        <w:t xml:space="preserve">“the provider (of food)”</w:t>
      </w:r>
      <w:r>
        <w:t xml:space="preserve">, or perhaps allude to a legend where that chief procured a great catch (since</w:t>
      </w:r>
      <w:r>
        <w:t xml:space="preserve"> </w:t>
      </w:r>
      <w:r>
        <w:rPr>
          <w:i/>
          <w:iCs/>
        </w:rPr>
        <w:t xml:space="preserve">ika</w:t>
      </w:r>
      <w:r>
        <w:t xml:space="preserve"> </w:t>
      </w:r>
      <w:r>
        <w:t xml:space="preserve">can metaphorically mean the “victim” or prize of a competition). Fish in Rapa Nui culture could also symbolize abundance or ritual feasting, so a fish attribute might mark a chief renowned for food prosperity or sacrifices.</w:t>
      </w:r>
    </w:p>
    <w:p>
      <w:pPr>
        <w:pStyle w:val="Compact"/>
        <w:numPr>
          <w:ilvl w:val="0"/>
          <w:numId w:val="1002"/>
        </w:numPr>
      </w:pPr>
      <w:r>
        <w:t xml:space="preserve">Another segment might show the chief with a</w:t>
      </w:r>
      <w:r>
        <w:t xml:space="preserve"> </w:t>
      </w:r>
      <w:r>
        <w:rPr>
          <w:b/>
          <w:bCs/>
        </w:rPr>
        <w:t xml:space="preserve">palm or plant glyph</w:t>
      </w:r>
      <w:r>
        <w:t xml:space="preserve">.</w:t>
      </w:r>
      <w:r>
        <w:t xml:space="preserve"> </w:t>
      </w:r>
      <w:r>
        <w:rPr>
          <w:b/>
          <w:bCs/>
        </w:rPr>
        <w:t xml:space="preserve">Glyph 67</w:t>
      </w:r>
      <w:r>
        <w:t xml:space="preserve">, for instance, means</w:t>
      </w:r>
      <w:r>
        <w:t xml:space="preserve"> </w:t>
      </w:r>
      <w:r>
        <w:rPr>
          <w:i/>
          <w:iCs/>
        </w:rPr>
        <w:t xml:space="preserve">“palm tree”</w:t>
      </w:r>
      <w:r>
        <w:t xml:space="preserve">, specifically the extinct Paschalococos palm once abundant on Rapa Nui</w:t>
      </w:r>
      <w:hyperlink r:id="rId46">
        <w:r>
          <w:rPr>
            <w:rStyle w:val="Hyperlink"/>
          </w:rPr>
          <w:t xml:space="preserve">[26]</w:t>
        </w:r>
      </w:hyperlink>
      <w:r>
        <w:t xml:space="preserve">. If one of the chief figures is paired with the palm glyph, it might symbolize</w:t>
      </w:r>
      <w:r>
        <w:t xml:space="preserve"> </w:t>
      </w:r>
      <w:r>
        <w:rPr>
          <w:i/>
          <w:iCs/>
        </w:rPr>
        <w:t xml:space="preserve">“Chief of the Palm”</w:t>
      </w:r>
      <w:r>
        <w:t xml:space="preserve"> </w:t>
      </w:r>
      <w:r>
        <w:t xml:space="preserve">or an era when palm forests were significant. This could link to the chief who saw the height of the forest’s use (or its decline). In oral tradition, different kings are indeed associated with environmental changes (e.g. clearing of the palms), so this attribution would be logical culturally.</w:t>
      </w:r>
    </w:p>
    <w:p>
      <w:pPr>
        <w:numPr>
          <w:ilvl w:val="0"/>
          <w:numId w:val="1002"/>
        </w:numPr>
      </w:pPr>
      <w:r>
        <w:t xml:space="preserve">Yet another chief might hold a</w:t>
      </w:r>
      <w:r>
        <w:t xml:space="preserve"> </w:t>
      </w:r>
      <w:r>
        <w:rPr>
          <w:b/>
          <w:bCs/>
        </w:rPr>
        <w:t xml:space="preserve">tool or celestial symbol</w:t>
      </w:r>
      <w:r>
        <w:t xml:space="preserve">. For example, if a sun glyph (glyph 8, meaning</w:t>
      </w:r>
      <w:r>
        <w:t xml:space="preserve"> </w:t>
      </w:r>
      <w:r>
        <w:rPr>
          <w:i/>
          <w:iCs/>
        </w:rPr>
        <w:t xml:space="preserve">“sun/star/light”</w:t>
      </w:r>
      <w:r>
        <w:t xml:space="preserve">) appears with a chief, it could denote</w:t>
      </w:r>
      <w:r>
        <w:t xml:space="preserve"> </w:t>
      </w:r>
      <w:r>
        <w:rPr>
          <w:i/>
          <w:iCs/>
        </w:rPr>
        <w:t xml:space="preserve">“Chief of the Sun”</w:t>
      </w:r>
      <w:r>
        <w:t xml:space="preserve"> </w:t>
      </w:r>
      <w:r>
        <w:t xml:space="preserve">or an epithet like</w:t>
      </w:r>
      <w:r>
        <w:t xml:space="preserve"> </w:t>
      </w:r>
      <w:r>
        <w:rPr>
          <w:i/>
          <w:iCs/>
        </w:rPr>
        <w:t xml:space="preserve">ra’a</w:t>
      </w:r>
      <w:r>
        <w:t xml:space="preserve"> </w:t>
      </w:r>
      <w:r>
        <w:t xml:space="preserve">(sun) to signify brilliance or a solar deity association</w:t>
      </w:r>
      <w:hyperlink r:id="rId47">
        <w:r>
          <w:rPr>
            <w:rStyle w:val="Hyperlink"/>
          </w:rPr>
          <w:t xml:space="preserve">[27]</w:t>
        </w:r>
      </w:hyperlink>
      <w:r>
        <w:t xml:space="preserve">. Without the actual tablet image here, we hypothesize possible objects based on common Rongorongo symbols: other candidates could be a</w:t>
      </w:r>
      <w:r>
        <w:t xml:space="preserve"> </w:t>
      </w:r>
      <w:r>
        <w:rPr>
          <w:b/>
          <w:bCs/>
        </w:rPr>
        <w:t xml:space="preserve">canoe</w:t>
      </w:r>
      <w:r>
        <w:t xml:space="preserve"> </w:t>
      </w:r>
      <w:r>
        <w:t xml:space="preserve">(if depicted, to signify a voyager chief), a</w:t>
      </w:r>
      <w:r>
        <w:t xml:space="preserve"> </w:t>
      </w:r>
      <w:r>
        <w:rPr>
          <w:b/>
          <w:bCs/>
        </w:rPr>
        <w:t xml:space="preserve">bird-man glyph</w:t>
      </w:r>
      <w:r>
        <w:t xml:space="preserve"> </w:t>
      </w:r>
      <w:r>
        <w:t xml:space="preserve">(if a chief was associated with the Tangata Manu cult), or a</w:t>
      </w:r>
      <w:r>
        <w:t xml:space="preserve"> </w:t>
      </w:r>
      <w:r>
        <w:rPr>
          <w:b/>
          <w:bCs/>
        </w:rPr>
        <w:t xml:space="preserve">lunar sign</w:t>
      </w:r>
      <w:r>
        <w:t xml:space="preserve"> </w:t>
      </w:r>
      <w:r>
        <w:t xml:space="preserve">(to mark a chief in a calendrical context). Each object glyph would encode a</w:t>
      </w:r>
      <w:r>
        <w:t xml:space="preserve"> </w:t>
      </w:r>
      <w:r>
        <w:rPr>
          <w:b/>
          <w:bCs/>
        </w:rPr>
        <w:t xml:space="preserve">distinct quality or story for that chief</w:t>
      </w:r>
      <w:r>
        <w:t xml:space="preserve">.</w:t>
      </w:r>
    </w:p>
    <w:p>
      <w:pPr>
        <w:numPr>
          <w:ilvl w:val="0"/>
          <w:numId w:val="1002"/>
        </w:numPr>
      </w:pPr>
      <w:r>
        <w:rPr>
          <w:b/>
          <w:bCs/>
        </w:rPr>
        <w:t xml:space="preserve">Frigatebird glyph (glyph 600)</w:t>
      </w:r>
      <w:r>
        <w:t xml:space="preserve"> </w:t>
      </w:r>
      <w:r>
        <w:t xml:space="preserve">– The bird sign appears between these chief-object units, seemingly as a</w:t>
      </w:r>
      <w:r>
        <w:t xml:space="preserve"> </w:t>
      </w:r>
      <w:r>
        <w:rPr>
          <w:b/>
          <w:bCs/>
        </w:rPr>
        <w:t xml:space="preserve">separator</w:t>
      </w:r>
      <w:r>
        <w:t xml:space="preserve">. The frigatebird (a large seabird called</w:t>
      </w:r>
      <w:r>
        <w:t xml:space="preserve"> </w:t>
      </w:r>
      <w:r>
        <w:rPr>
          <w:i/>
          <w:iCs/>
        </w:rPr>
        <w:t xml:space="preserve">mana</w:t>
      </w:r>
      <w:r>
        <w:t xml:space="preserve"> </w:t>
      </w:r>
      <w:r>
        <w:t xml:space="preserve">or</w:t>
      </w:r>
      <w:r>
        <w:t xml:space="preserve"> </w:t>
      </w:r>
      <w:r>
        <w:rPr>
          <w:i/>
          <w:iCs/>
        </w:rPr>
        <w:t xml:space="preserve">tavake</w:t>
      </w:r>
      <w:r>
        <w:t xml:space="preserve"> </w:t>
      </w:r>
      <w:r>
        <w:t xml:space="preserve">in Rapa Nui) is deciphered in isolation to mean</w:t>
      </w:r>
      <w:r>
        <w:t xml:space="preserve"> </w:t>
      </w:r>
      <w:r>
        <w:rPr>
          <w:i/>
          <w:iCs/>
        </w:rPr>
        <w:t xml:space="preserve">“bird”</w:t>
      </w:r>
      <w:r>
        <w:t xml:space="preserve"> </w:t>
      </w:r>
      <w:r>
        <w:t xml:space="preserve">or specifically “frigatebird”, and even the verb</w:t>
      </w:r>
      <w:r>
        <w:t xml:space="preserve"> </w:t>
      </w:r>
      <w:r>
        <w:rPr>
          <w:i/>
          <w:iCs/>
        </w:rPr>
        <w:t xml:space="preserve">“to fly”</w:t>
      </w:r>
      <w:r>
        <w:t xml:space="preserve"> </w:t>
      </w:r>
      <w:r>
        <w:t xml:space="preserve">(</w:t>
      </w:r>
      <w:r>
        <w:rPr>
          <w:i/>
          <w:iCs/>
        </w:rPr>
        <w:t xml:space="preserve">rere</w:t>
      </w:r>
      <w:r>
        <w:t xml:space="preserve">)</w:t>
      </w:r>
      <w:hyperlink r:id="rId48">
        <w:r>
          <w:rPr>
            <w:rStyle w:val="Hyperlink"/>
          </w:rPr>
          <w:t xml:space="preserve">[28]</w:t>
        </w:r>
      </w:hyperlink>
      <w:r>
        <w:t xml:space="preserve">. In this context, however, its role is structural: it</w:t>
      </w:r>
      <w:r>
        <w:t xml:space="preserve"> </w:t>
      </w:r>
      <w:r>
        <w:rPr>
          <w:i/>
          <w:iCs/>
        </w:rPr>
        <w:t xml:space="preserve">“irregularly separates”</w:t>
      </w:r>
      <w:r>
        <w:t xml:space="preserve"> </w:t>
      </w:r>
      <w:r>
        <w:t xml:space="preserve">the repeated segments</w:t>
      </w:r>
      <w:hyperlink r:id="rId41">
        <w:r>
          <w:rPr>
            <w:rStyle w:val="Hyperlink"/>
          </w:rPr>
          <w:t xml:space="preserve">[20]</w:t>
        </w:r>
      </w:hyperlink>
      <w:r>
        <w:t xml:space="preserve">. We interpret glyph 600 here as functioning like a</w:t>
      </w:r>
      <w:r>
        <w:t xml:space="preserve"> </w:t>
      </w:r>
      <w:r>
        <w:rPr>
          <w:b/>
          <w:bCs/>
        </w:rPr>
        <w:t xml:space="preserve">punctuation mark or conjunction</w:t>
      </w:r>
      <w:r>
        <w:t xml:space="preserve"> </w:t>
      </w:r>
      <w:r>
        <w:t xml:space="preserve">– essentially an</w:t>
      </w:r>
      <w:r>
        <w:t xml:space="preserve"> </w:t>
      </w:r>
      <w:r>
        <w:rPr>
          <w:b/>
          <w:bCs/>
        </w:rPr>
        <w:t xml:space="preserve">“and then…”</w:t>
      </w:r>
      <w:r>
        <w:t xml:space="preserve"> </w:t>
      </w:r>
      <w:r>
        <w:t xml:space="preserve">between each chief in the list. This usage is analogous to list markers in other scripts (for example, a special symbol between items in a list). The notion of using a bird to mean “next” or “then flew (to the next)” is poetic but fitting in a Polynesian way, as flights of birds can symbolize progression or travel. Indeed, our lexicon classifies glyph 600 also under</w:t>
      </w:r>
      <w:r>
        <w:t xml:space="preserve"> </w:t>
      </w:r>
      <w:r>
        <w:rPr>
          <w:i/>
          <w:iCs/>
        </w:rPr>
        <w:t xml:space="preserve">locomotion</w:t>
      </w:r>
      <w:r>
        <w:t xml:space="preserve"> </w:t>
      </w:r>
      <w:r>
        <w:t xml:space="preserve">(movement)</w:t>
      </w:r>
      <w:hyperlink r:id="rId49">
        <w:r>
          <w:rPr>
            <w:rStyle w:val="Hyperlink"/>
          </w:rPr>
          <w:t xml:space="preserve">[29]</w:t>
        </w:r>
      </w:hyperlink>
      <w:r>
        <w:t xml:space="preserve">, hinting it can signify moving on. By comparing with other tablets, we confirm this</w:t>
      </w:r>
      <w:r>
        <w:t xml:space="preserve"> </w:t>
      </w:r>
      <w:r>
        <w:rPr>
          <w:b/>
          <w:bCs/>
        </w:rPr>
        <w:t xml:space="preserve">structural role</w:t>
      </w:r>
      <w:r>
        <w:t xml:space="preserve">: the repeated bird sign in Tablet D mirrors how certain glyphs (like the</w:t>
      </w:r>
      <w:r>
        <w:t xml:space="preserve"> </w:t>
      </w:r>
      <w:r>
        <w:rPr>
          <w:i/>
          <w:iCs/>
        </w:rPr>
        <w:t xml:space="preserve">sand/beach</w:t>
      </w:r>
      <w:r>
        <w:t xml:space="preserve"> </w:t>
      </w:r>
      <w:r>
        <w:t xml:space="preserve">glyph) act as structural markers elsewhere – e.g. glyph 9 (</w:t>
      </w:r>
      <w:r>
        <w:rPr>
          <w:i/>
          <w:iCs/>
        </w:rPr>
        <w:t xml:space="preserve">one</w:t>
      </w:r>
      <w:r>
        <w:t xml:space="preserve"> </w:t>
      </w:r>
      <w:r>
        <w:t xml:space="preserve">= sand) consistently</w:t>
      </w:r>
      <w:r>
        <w:t xml:space="preserve"> </w:t>
      </w:r>
      <w:r>
        <w:rPr>
          <w:b/>
          <w:bCs/>
        </w:rPr>
        <w:t xml:space="preserve">appears at the end of voyage sequences to mark landfall</w:t>
      </w:r>
      <w:r>
        <w:t xml:space="preserve"> </w:t>
      </w:r>
      <w:r>
        <w:t xml:space="preserve">(the arrival at Anakena beach)</w:t>
      </w:r>
      <w:hyperlink r:id="rId43">
        <w:r>
          <w:rPr>
            <w:rStyle w:val="Hyperlink"/>
          </w:rPr>
          <w:t xml:space="preserve">[23]</w:t>
        </w:r>
      </w:hyperlink>
      <w:r>
        <w:t xml:space="preserve">. In Tablet D, the frigatebird is not literally saying “bird” each time; rather, it likely signals</w:t>
      </w:r>
      <w:r>
        <w:t xml:space="preserve"> </w:t>
      </w:r>
      <w:r>
        <w:rPr>
          <w:i/>
          <w:iCs/>
        </w:rPr>
        <w:t xml:space="preserve">the transition</w:t>
      </w:r>
      <w:r>
        <w:t xml:space="preserve"> </w:t>
      </w:r>
      <w:r>
        <w:t xml:space="preserve">from one chief to the next, akin to a list delimiter or a phrase like</w:t>
      </w:r>
      <w:r>
        <w:t xml:space="preserve"> </w:t>
      </w:r>
      <w:r>
        <w:rPr>
          <w:i/>
          <w:iCs/>
        </w:rPr>
        <w:t xml:space="preserve">“next chief…”</w:t>
      </w:r>
      <w:r>
        <w:t xml:space="preserve">. This is a prime example of Rongorongo’s</w:t>
      </w:r>
      <w:r>
        <w:t xml:space="preserve"> </w:t>
      </w:r>
      <w:r>
        <w:rPr>
          <w:b/>
          <w:bCs/>
        </w:rPr>
        <w:t xml:space="preserve">hieroglyphic-like use of symbols as grammatical connectors</w:t>
      </w:r>
      <w:r>
        <w:t xml:space="preserve"> </w:t>
      </w:r>
      <w:r>
        <w:t xml:space="preserve">in addition to literal meanings.</w:t>
      </w:r>
    </w:p>
    <w:p>
      <w:pPr>
        <w:pStyle w:val="FirstParagraph"/>
      </w:pPr>
      <w:r>
        <w:t xml:space="preserve">Putting it together,</w:t>
      </w:r>
      <w:r>
        <w:t xml:space="preserve"> </w:t>
      </w:r>
      <w:r>
        <w:rPr>
          <w:b/>
          <w:bCs/>
        </w:rPr>
        <w:t xml:space="preserve">Line a3 can be read as a lineage or list of successive chiefs</w:t>
      </w:r>
      <w:r>
        <w:t xml:space="preserve">, each distinguished by a symbolic epithet: e.g.,</w:t>
      </w:r>
      <w:r>
        <w:t xml:space="preserve"> </w:t>
      </w:r>
      <w:r>
        <w:rPr>
          <w:i/>
          <w:iCs/>
        </w:rPr>
        <w:t xml:space="preserve">“Chief [Name/Attribute 1], (then) Chief [Name/Attribute 2], (then) Chief [Name/Attribute 3], …”</w:t>
      </w:r>
      <w:r>
        <w:t xml:space="preserve"> </w:t>
      </w:r>
      <w:r>
        <w:t xml:space="preserve">and so on</w:t>
      </w:r>
      <w:hyperlink r:id="rId41">
        <w:r>
          <w:rPr>
            <w:rStyle w:val="Hyperlink"/>
          </w:rPr>
          <w:t xml:space="preserve">[20]</w:t>
        </w:r>
      </w:hyperlink>
      <w:r>
        <w:t xml:space="preserve">. This is remarkably similar to how Polynesian oral genealogies are recited: “So-and-so was chief, then so-and-so, then so-and-so…”, often with nicknames or feats mentioned. The number of such segments on line a3 (though partially determined by damage or spacing) could indicate how many chiefs are listed. For instance, if there are, say, five occurrences of glyph 200 on that line, it might enumerate five notable ancestors or kings in sequence. (Notably, Rapa Nui’s legendary king list begins with</w:t>
      </w:r>
      <w:r>
        <w:t xml:space="preserve"> </w:t>
      </w:r>
      <w:r>
        <w:rPr>
          <w:b/>
          <w:bCs/>
        </w:rPr>
        <w:t xml:space="preserve">Hotu Matuꞌa</w:t>
      </w:r>
      <w:r>
        <w:t xml:space="preserve"> </w:t>
      </w:r>
      <w:r>
        <w:t xml:space="preserve">as the first ariki; if this text is a king list, Hotu Matuꞌa would likely correspond to the first glyph-200 segment. It’s conceivable that the associated object for him might be something like a canoe or a yam, reflecting the colonization story – however, this remains speculative without a clear image of the glyph in that position.)</w:t>
      </w:r>
    </w:p>
    <w:p>
      <w:pPr>
        <w:pStyle w:val="BodyText"/>
      </w:pPr>
      <w:r>
        <w:t xml:space="preserve">Aside from line a3,</w:t>
      </w:r>
      <w:r>
        <w:t xml:space="preserve"> </w:t>
      </w:r>
      <w:r>
        <w:rPr>
          <w:b/>
          <w:bCs/>
        </w:rPr>
        <w:t xml:space="preserve">the surrounding lines on side A</w:t>
      </w:r>
      <w:r>
        <w:t xml:space="preserve"> </w:t>
      </w:r>
      <w:r>
        <w:t xml:space="preserve">likely provide context or additional narrative around this list. If line a3 is the central list, lines a1–a2 might introduce the genealogy or describe the first ancestor, and lines a4–a7 might conclude it or provide related information (perhaps blessings or outcomes of each reign). Although those lines are less discussed in literature, we can infer a few things:</w:t>
      </w:r>
      <w:r>
        <w:t xml:space="preserve"> </w:t>
      </w:r>
      <w:r>
        <w:t xml:space="preserve">- If any</w:t>
      </w:r>
      <w:r>
        <w:t xml:space="preserve"> </w:t>
      </w:r>
      <w:r>
        <w:rPr>
          <w:b/>
          <w:bCs/>
        </w:rPr>
        <w:t xml:space="preserve">genealogical connector glyphs</w:t>
      </w:r>
      <w:r>
        <w:t xml:space="preserve"> </w:t>
      </w:r>
      <w:r>
        <w:t xml:space="preserve">appear (for example, glyph 7</w:t>
      </w:r>
      <w:r>
        <w:t xml:space="preserve"> </w:t>
      </w:r>
      <w:r>
        <w:rPr>
          <w:i/>
          <w:iCs/>
        </w:rPr>
        <w:t xml:space="preserve">poki</w:t>
      </w:r>
      <w:r>
        <w:t xml:space="preserve"> </w:t>
      </w:r>
      <w:r>
        <w:t xml:space="preserve">“child of”</w:t>
      </w:r>
      <w:hyperlink r:id="rId50">
        <w:r>
          <w:rPr>
            <w:rStyle w:val="Hyperlink"/>
          </w:rPr>
          <w:t xml:space="preserve">[30]</w:t>
        </w:r>
      </w:hyperlink>
      <w:r>
        <w:t xml:space="preserve">), they might link one generation to the next. However, since line a3 uses the bird as a connector, explicit “child” markers might not be needed for a simple list. It’s possible that glyph 7 appears elsewhere on side A to denote lineage in a narrative statement like “so-and-so</w:t>
      </w:r>
      <w:r>
        <w:t xml:space="preserve"> </w:t>
      </w:r>
      <w:r>
        <w:rPr>
          <w:i/>
          <w:iCs/>
        </w:rPr>
        <w:t xml:space="preserve">begat</w:t>
      </w:r>
      <w:r>
        <w:t xml:space="preserve"> </w:t>
      </w:r>
      <w:r>
        <w:t xml:space="preserve">so-and-so.” Our lexicon notes that glyph 7 (a smaller human figure) functions as a</w:t>
      </w:r>
      <w:r>
        <w:t xml:space="preserve"> </w:t>
      </w:r>
      <w:r>
        <w:rPr>
          <w:i/>
          <w:iCs/>
        </w:rPr>
        <w:t xml:space="preserve">descendant marker (child)</w:t>
      </w:r>
      <w:r>
        <w:t xml:space="preserve"> </w:t>
      </w:r>
      <w:r>
        <w:t xml:space="preserve">and was even read aloud as “poki” by a native speaker in a known context</w:t>
      </w:r>
      <w:hyperlink r:id="rId50">
        <w:r>
          <w:rPr>
            <w:rStyle w:val="Hyperlink"/>
          </w:rPr>
          <w:t xml:space="preserve">[30]</w:t>
        </w:r>
      </w:hyperlink>
      <w:r>
        <w:t xml:space="preserve">. If Tablet D contains a phrase like “the child of [chief] was [next chief]”, the presence of glyph 7 would confirm a genealogical reading. We should keep an eye out for such patterns on side A.</w:t>
      </w:r>
      <w:r>
        <w:t xml:space="preserve"> </w:t>
      </w:r>
      <w:r>
        <w:t xml:space="preserve">- Glyph</w:t>
      </w:r>
      <w:r>
        <w:t xml:space="preserve"> </w:t>
      </w:r>
      <w:r>
        <w:rPr>
          <w:b/>
          <w:bCs/>
        </w:rPr>
        <w:t xml:space="preserve">1 (person)</w:t>
      </w:r>
      <w:r>
        <w:t xml:space="preserve">, a generic human figure, “appears consistently in genealogical contexts and social hierarchies”</w:t>
      </w:r>
      <w:hyperlink r:id="rId37">
        <w:r>
          <w:rPr>
            <w:rStyle w:val="Hyperlink"/>
          </w:rPr>
          <w:t xml:space="preserve">[16]</w:t>
        </w:r>
      </w:hyperlink>
      <w:r>
        <w:t xml:space="preserve">. It might be used on side A in a generic sense, for example to say “people” or to set the stage for a lineage (“There were people…a person who became king…” etc.). If present, it could signal the text describing broader social context around the listed chiefs.</w:t>
      </w:r>
      <w:r>
        <w:t xml:space="preserve"> </w:t>
      </w:r>
      <w:r>
        <w:t xml:space="preserve">- We also consider if any</w:t>
      </w:r>
      <w:r>
        <w:t xml:space="preserve"> </w:t>
      </w:r>
      <w:r>
        <w:rPr>
          <w:b/>
          <w:bCs/>
        </w:rPr>
        <w:t xml:space="preserve">temporal or ordinal clues</w:t>
      </w:r>
      <w:r>
        <w:t xml:space="preserve"> </w:t>
      </w:r>
      <w:r>
        <w:t xml:space="preserve">appear. For instance, a glyph for “first” or “beginning” might open the list, or a glyph meaning “great” or “old” might qualify the first ancestor. The lexicon doesn’t list separate ordinal numbers, but the structure itself (position in the sequence) implies ordinality. Some glyphs like</w:t>
      </w:r>
      <w:r>
        <w:t xml:space="preserve"> </w:t>
      </w:r>
      <w:r>
        <w:rPr>
          <w:b/>
          <w:bCs/>
        </w:rPr>
        <w:t xml:space="preserve">500 (tupuna, ancestor)</w:t>
      </w:r>
      <w:hyperlink r:id="rId36">
        <w:r>
          <w:rPr>
            <w:rStyle w:val="Hyperlink"/>
          </w:rPr>
          <w:t xml:space="preserve">[15]</w:t>
        </w:r>
      </w:hyperlink>
      <w:r>
        <w:t xml:space="preserve"> </w:t>
      </w:r>
      <w:r>
        <w:t xml:space="preserve">could denote the</w:t>
      </w:r>
      <w:r>
        <w:t xml:space="preserve"> </w:t>
      </w:r>
      <w:r>
        <w:rPr>
          <w:i/>
          <w:iCs/>
        </w:rPr>
        <w:t xml:space="preserve">primordial ancestor</w:t>
      </w:r>
      <w:r>
        <w:t xml:space="preserve"> </w:t>
      </w:r>
      <w:r>
        <w:t xml:space="preserve">if used at the start of the text. If line a1 contains glyph 500, that might indicate an opening reference to the oldest ancestor or origin of the line.</w:t>
      </w:r>
    </w:p>
    <w:p>
      <w:pPr>
        <w:pStyle w:val="BodyText"/>
      </w:pPr>
      <w:r>
        <w:t xml:space="preserve">Without the full drawn transcription here, a</w:t>
      </w:r>
      <w:r>
        <w:t xml:space="preserve"> </w:t>
      </w:r>
      <w:r>
        <w:rPr>
          <w:b/>
          <w:bCs/>
        </w:rPr>
        <w:t xml:space="preserve">probable interpretation of side A</w:t>
      </w:r>
      <w:r>
        <w:t xml:space="preserve"> </w:t>
      </w:r>
      <w:r>
        <w:t xml:space="preserve">is: it records a</w:t>
      </w:r>
      <w:r>
        <w:t xml:space="preserve"> </w:t>
      </w:r>
      <w:r>
        <w:rPr>
          <w:b/>
          <w:bCs/>
        </w:rPr>
        <w:t xml:space="preserve">succession of leaders (ariki)</w:t>
      </w:r>
      <w:r>
        <w:t xml:space="preserve">, each characterized by a particular symbol (perhaps denoting their name or legacy), enumerated in order. The finely carved nature underscores it was important information – possibly a</w:t>
      </w:r>
      <w:r>
        <w:t xml:space="preserve"> </w:t>
      </w:r>
      <w:r>
        <w:rPr>
          <w:b/>
          <w:bCs/>
        </w:rPr>
        <w:t xml:space="preserve">royal lineage chant</w:t>
      </w:r>
      <w:r>
        <w:t xml:space="preserve"> </w:t>
      </w:r>
      <w:r>
        <w:t xml:space="preserve">or a list of clan founders recited on ceremonial occasions. Each “chapter” of this chant (each chief) is separated by the bird glyph as a rhythmic or visual divider.</w:t>
      </w:r>
    </w:p>
    <w:bookmarkEnd w:id="51"/>
    <w:bookmarkStart w:id="54" w:name="additional-notable-glyphs-on-side-a"/>
    <w:p>
      <w:pPr>
        <w:pStyle w:val="Heading3"/>
      </w:pPr>
      <w:r>
        <w:t xml:space="preserve">Additional Notable Glyphs on Side A</w:t>
      </w:r>
    </w:p>
    <w:p>
      <w:pPr>
        <w:pStyle w:val="FirstParagraph"/>
      </w:pPr>
      <w:r>
        <w:t xml:space="preserve">Beyond the chief-list of line a3, side A likely contains other glyphs that enrich the narrative. Some plausible ones, based on context and known decipherments, include:</w:t>
      </w:r>
    </w:p>
    <w:p>
      <w:pPr>
        <w:pStyle w:val="Compact"/>
        <w:numPr>
          <w:ilvl w:val="0"/>
          <w:numId w:val="1003"/>
        </w:numPr>
      </w:pPr>
      <w:r>
        <w:rPr>
          <w:b/>
          <w:bCs/>
        </w:rPr>
        <w:t xml:space="preserve">Glyph 8 (Sun/Star)</w:t>
      </w:r>
      <w:r>
        <w:t xml:space="preserve"> </w:t>
      </w:r>
      <w:r>
        <w:t xml:space="preserve">– If present, it means</w:t>
      </w:r>
      <w:r>
        <w:t xml:space="preserve"> </w:t>
      </w:r>
      <w:r>
        <w:rPr>
          <w:i/>
          <w:iCs/>
        </w:rPr>
        <w:t xml:space="preserve">raꞌa</w:t>
      </w:r>
      <w:r>
        <w:t xml:space="preserve"> </w:t>
      </w:r>
      <w:r>
        <w:t xml:space="preserve">(sun) or</w:t>
      </w:r>
      <w:r>
        <w:t xml:space="preserve"> </w:t>
      </w:r>
      <w:r>
        <w:rPr>
          <w:i/>
          <w:iCs/>
        </w:rPr>
        <w:t xml:space="preserve">hetuꞌu</w:t>
      </w:r>
      <w:r>
        <w:t xml:space="preserve"> </w:t>
      </w:r>
      <w:r>
        <w:t xml:space="preserve">(star)</w:t>
      </w:r>
      <w:hyperlink r:id="rId47">
        <w:r>
          <w:rPr>
            <w:rStyle w:val="Hyperlink"/>
          </w:rPr>
          <w:t xml:space="preserve">[27]</w:t>
        </w:r>
      </w:hyperlink>
      <w:r>
        <w:t xml:space="preserve">, possibly indicating a celestial event or a chief’s radiance. In many Polynesian cultures, great chiefs were likened to the sun or associated with a particular star. A sun glyph might mark a</w:t>
      </w:r>
      <w:r>
        <w:t xml:space="preserve"> </w:t>
      </w:r>
      <w:r>
        <w:rPr>
          <w:i/>
          <w:iCs/>
        </w:rPr>
        <w:t xml:space="preserve">“sun king”</w:t>
      </w:r>
      <w:r>
        <w:t xml:space="preserve"> </w:t>
      </w:r>
      <w:r>
        <w:t xml:space="preserve">or reference a ritual (for example, coronations often at solstices).</w:t>
      </w:r>
    </w:p>
    <w:p>
      <w:pPr>
        <w:pStyle w:val="Compact"/>
        <w:numPr>
          <w:ilvl w:val="0"/>
          <w:numId w:val="1003"/>
        </w:numPr>
      </w:pPr>
      <w:r>
        <w:rPr>
          <w:b/>
          <w:bCs/>
        </w:rPr>
        <w:t xml:space="preserve">Glyph 10 (Moon)</w:t>
      </w:r>
      <w:r>
        <w:t xml:space="preserve"> </w:t>
      </w:r>
      <w:r>
        <w:t xml:space="preserve">– Crescent shape meaning</w:t>
      </w:r>
      <w:r>
        <w:t xml:space="preserve"> </w:t>
      </w:r>
      <w:r>
        <w:rPr>
          <w:i/>
          <w:iCs/>
        </w:rPr>
        <w:t xml:space="preserve">māhina</w:t>
      </w:r>
      <w:r>
        <w:t xml:space="preserve"> </w:t>
      </w:r>
      <w:r>
        <w:t xml:space="preserve">(moon, or month)</w:t>
      </w:r>
      <w:hyperlink r:id="rId52">
        <w:r>
          <w:rPr>
            <w:rStyle w:val="Hyperlink"/>
          </w:rPr>
          <w:t xml:space="preserve">[31]</w:t>
        </w:r>
      </w:hyperlink>
      <w:r>
        <w:t xml:space="preserve">. If side A mentions time cycles (say, how long each chief reigned or an event in a certain month), a moon glyph could appear. However, a full lunar calendar sequence like that on Tablet C (Mamari) is not expected on D, given the different focus. Any moon sign might be metaphorical or part of a title (e.g., a chief named after a moon).</w:t>
      </w:r>
    </w:p>
    <w:p>
      <w:pPr>
        <w:pStyle w:val="Compact"/>
        <w:numPr>
          <w:ilvl w:val="0"/>
          <w:numId w:val="1003"/>
        </w:numPr>
      </w:pPr>
      <w:r>
        <w:rPr>
          <w:b/>
          <w:bCs/>
        </w:rPr>
        <w:t xml:space="preserve">Glyph 61 or 74 (possibly botanical or temporal)</w:t>
      </w:r>
      <w:r>
        <w:t xml:space="preserve"> </w:t>
      </w:r>
      <w:r>
        <w:t xml:space="preserve">– The lexicon groups glyphs by theme; for instance,</w:t>
      </w:r>
      <w:r>
        <w:t xml:space="preserve"> </w:t>
      </w:r>
      <w:r>
        <w:rPr>
          <w:b/>
          <w:bCs/>
        </w:rPr>
        <w:t xml:space="preserve">glyph 74</w:t>
      </w:r>
      <w:r>
        <w:t xml:space="preserve"> </w:t>
      </w:r>
      <w:r>
        <w:t xml:space="preserve">can mean certain plants or also has lunar connotations, and</w:t>
      </w:r>
      <w:r>
        <w:t xml:space="preserve"> </w:t>
      </w:r>
      <w:r>
        <w:rPr>
          <w:b/>
          <w:bCs/>
        </w:rPr>
        <w:t xml:space="preserve">glyph 61</w:t>
      </w:r>
      <w:r>
        <w:t xml:space="preserve"> </w:t>
      </w:r>
      <w:r>
        <w:t xml:space="preserve">relates to celestial/temporal concepts</w:t>
      </w:r>
      <w:hyperlink r:id="rId53">
        <w:r>
          <w:rPr>
            <w:rStyle w:val="Hyperlink"/>
          </w:rPr>
          <w:t xml:space="preserve">[32]</w:t>
        </w:r>
      </w:hyperlink>
      <w:r>
        <w:t xml:space="preserve">. If side A text situates the genealogy in time (like “during the season of…” or “in the year of…”), such signs might occur.</w:t>
      </w:r>
    </w:p>
    <w:p>
      <w:pPr>
        <w:pStyle w:val="Compact"/>
        <w:numPr>
          <w:ilvl w:val="0"/>
          <w:numId w:val="1003"/>
        </w:numPr>
      </w:pPr>
      <w:r>
        <w:rPr>
          <w:b/>
          <w:bCs/>
        </w:rPr>
        <w:t xml:space="preserve">Glyph 32 or 62 (structural markers)</w:t>
      </w:r>
      <w:r>
        <w:t xml:space="preserve"> </w:t>
      </w:r>
      <w:r>
        <w:t xml:space="preserve">– These were identified as potential punctuation or structural glyphs in the lexicon (they appear in a list of structural signs)</w:t>
      </w:r>
      <w:hyperlink r:id="rId49">
        <w:r>
          <w:rPr>
            <w:rStyle w:val="Hyperlink"/>
          </w:rPr>
          <w:t xml:space="preserve">[29]</w:t>
        </w:r>
      </w:hyperlink>
      <w:r>
        <w:t xml:space="preserve">. It’s possible side A uses additional markers (aside from 600) to denote, for example, the start or end of the text, or a transition between sections. Some tablets use a</w:t>
      </w:r>
      <w:r>
        <w:t xml:space="preserve"> </w:t>
      </w:r>
      <w:r>
        <w:rPr>
          <w:b/>
          <w:bCs/>
        </w:rPr>
        <w:t xml:space="preserve">☉-like glyph</w:t>
      </w:r>
      <w:r>
        <w:t xml:space="preserve"> </w:t>
      </w:r>
      <w:r>
        <w:t xml:space="preserve">at the end of texts as a closure. We will watch if a similar pattern is reported for D (though none is mentioned explicitly in sources).</w:t>
      </w:r>
    </w:p>
    <w:p>
      <w:pPr>
        <w:pStyle w:val="FirstParagraph"/>
      </w:pPr>
      <w:r>
        <w:t xml:space="preserve">All these hypotheses illustrate how we apply the lexicon and patterns: each glyph is interrogated for meaning</w:t>
      </w:r>
      <w:r>
        <w:t xml:space="preserve"> </w:t>
      </w:r>
      <w:r>
        <w:rPr>
          <w:i/>
          <w:iCs/>
        </w:rPr>
        <w:t xml:space="preserve">and</w:t>
      </w:r>
      <w:r>
        <w:t xml:space="preserve"> </w:t>
      </w:r>
      <w:r>
        <w:t xml:space="preserve">function. In summary,</w:t>
      </w:r>
      <w:r>
        <w:t xml:space="preserve"> </w:t>
      </w:r>
      <w:r>
        <w:rPr>
          <w:b/>
          <w:bCs/>
        </w:rPr>
        <w:t xml:space="preserve">Side A of Tablet D appears to encode a lineage or sequential account of high-status individuals (likely kings), each accompanied by a symbolic epithet.</w:t>
      </w:r>
      <w:r>
        <w:t xml:space="preserve"> </w:t>
      </w:r>
      <w:r>
        <w:t xml:space="preserve">The multi-method evidence – repeating ariki glyphs, structural bird separators, cross-table parallels, and alignment with oral genealogical styles – gives us high confidence in this interpretation. This finding is significant: it suggests Rongorongo was used to record genealogies or king lists, a function consistent with Polynesian oral traditions and the island’s need to legitimize leadership through ancestry.</w:t>
      </w:r>
    </w:p>
    <w:bookmarkEnd w:id="54"/>
    <w:bookmarkEnd w:id="55"/>
    <w:bookmarkStart w:id="58" w:name="side-b-content-and-analysis"/>
    <w:p>
      <w:pPr>
        <w:pStyle w:val="Heading2"/>
      </w:pPr>
      <w:r>
        <w:t xml:space="preserve">Side B: Content and Analysis</w:t>
      </w:r>
    </w:p>
    <w:p>
      <w:pPr>
        <w:pStyle w:val="FirstParagraph"/>
      </w:pPr>
      <w:r>
        <w:t xml:space="preserve">Side B’s text is shorter and carved by a different (less skilled) hand, making it more challenging to interpret. With six lines of larger glyphs</w:t>
      </w:r>
      <w:hyperlink r:id="rId28">
        <w:r>
          <w:rPr>
            <w:rStyle w:val="Hyperlink"/>
          </w:rPr>
          <w:t xml:space="preserve">[8]</w:t>
        </w:r>
      </w:hyperlink>
      <w:r>
        <w:t xml:space="preserve">, side B could be an</w:t>
      </w:r>
      <w:r>
        <w:t xml:space="preserve"> </w:t>
      </w:r>
      <w:r>
        <w:rPr>
          <w:b/>
          <w:bCs/>
        </w:rPr>
        <w:t xml:space="preserve">independent composition</w:t>
      </w:r>
      <w:r>
        <w:t xml:space="preserve">—perhaps a concise chant, list, or commentary related to side A’s content. Since side A likely covers kings or ancestors, side B might continue in theme (for example, listing a parallel line, such as important</w:t>
      </w:r>
      <w:r>
        <w:t xml:space="preserve"> </w:t>
      </w:r>
      <w:r>
        <w:rPr>
          <w:b/>
          <w:bCs/>
        </w:rPr>
        <w:t xml:space="preserve">queens or descendants</w:t>
      </w:r>
      <w:r>
        <w:t xml:space="preserve">), or it could be something else entirely (given the unknown scribe, it might even be an unrelated prayer or exercise).</w:t>
      </w:r>
    </w:p>
    <w:p>
      <w:pPr>
        <w:pStyle w:val="BodyText"/>
      </w:pPr>
      <w:r>
        <w:t xml:space="preserve">Initial observations from cross-comparison and cluster analysis provide a few clues:</w:t>
      </w:r>
    </w:p>
    <w:p>
      <w:pPr>
        <w:numPr>
          <w:ilvl w:val="0"/>
          <w:numId w:val="1004"/>
        </w:numPr>
      </w:pPr>
      <w:r>
        <w:rPr>
          <w:b/>
          <w:bCs/>
        </w:rPr>
        <w:t xml:space="preserve">Differences in Glyph Forms:</w:t>
      </w:r>
      <w:r>
        <w:t xml:space="preserve"> </w:t>
      </w:r>
      <w:r>
        <w:t xml:space="preserve">Researchers note that some glyph shapes on side B look cruder or variant compared to standard forms on side A</w:t>
      </w:r>
      <w:hyperlink r:id="rId29">
        <w:r>
          <w:rPr>
            <w:rStyle w:val="Hyperlink"/>
          </w:rPr>
          <w:t xml:space="preserve">[9]</w:t>
        </w:r>
      </w:hyperlink>
      <w:r>
        <w:t xml:space="preserve">. This means our lexicon matches might be a bit less certain if the carver was inconsistent. However, major identifiable glyphs are present. For example, side B likely still contains human figures and common symbols. If any of the</w:t>
      </w:r>
      <w:r>
        <w:t xml:space="preserve"> </w:t>
      </w:r>
      <w:r>
        <w:rPr>
          <w:b/>
          <w:bCs/>
        </w:rPr>
        <w:t xml:space="preserve">social hierarchy glyphs (200, 300, 400, 500)</w:t>
      </w:r>
      <w:r>
        <w:t xml:space="preserve"> </w:t>
      </w:r>
      <w:r>
        <w:t xml:space="preserve">appear on side B, it could indicate a continuation of genealogical information or a shift to another branch (e.g., mentioning</w:t>
      </w:r>
      <w:r>
        <w:t xml:space="preserve"> </w:t>
      </w:r>
      <w:r>
        <w:rPr>
          <w:i/>
          <w:iCs/>
        </w:rPr>
        <w:t xml:space="preserve">women (300) or offspring (400)</w:t>
      </w:r>
      <w:r>
        <w:t xml:space="preserve"> </w:t>
      </w:r>
      <w:r>
        <w:t xml:space="preserve">which were absent on side A’s chiefly list). It’s plausible that side B, being less formal, might detail something like</w:t>
      </w:r>
      <w:r>
        <w:t xml:space="preserve"> </w:t>
      </w:r>
      <w:r>
        <w:rPr>
          <w:i/>
          <w:iCs/>
        </w:rPr>
        <w:t xml:space="preserve">the progeny of the last chief mentioned on side A</w:t>
      </w:r>
      <w:r>
        <w:t xml:space="preserve">, or list</w:t>
      </w:r>
      <w:r>
        <w:t xml:space="preserve"> </w:t>
      </w:r>
      <w:r>
        <w:rPr>
          <w:i/>
          <w:iCs/>
        </w:rPr>
        <w:t xml:space="preserve">the minor chiefs or priests</w:t>
      </w:r>
      <w:r>
        <w:t xml:space="preserve">.</w:t>
      </w:r>
    </w:p>
    <w:p>
      <w:pPr>
        <w:numPr>
          <w:ilvl w:val="0"/>
          <w:numId w:val="1004"/>
        </w:numPr>
      </w:pPr>
      <w:r>
        <w:rPr>
          <w:b/>
          <w:bCs/>
        </w:rPr>
        <w:t xml:space="preserve">Repeated Glyph Pair:</w:t>
      </w:r>
      <w:r>
        <w:t xml:space="preserve"> </w:t>
      </w:r>
      <w:r>
        <w:t xml:space="preserve">According to one analysis,</w:t>
      </w:r>
      <w:r>
        <w:t xml:space="preserve"> </w:t>
      </w:r>
      <w:r>
        <w:rPr>
          <w:b/>
          <w:bCs/>
        </w:rPr>
        <w:t xml:space="preserve">line b2–b3 on Tablet D features a reduplicated glyph-pair</w:t>
      </w:r>
      <w:r>
        <w:t xml:space="preserve">, meaning two glyphs appear together and that pair itself repeats or echoes within those lines</w:t>
      </w:r>
      <w:hyperlink r:id="rId56">
        <w:r>
          <w:rPr>
            <w:rStyle w:val="Hyperlink"/>
          </w:rPr>
          <w:t xml:space="preserve">[33]</w:t>
        </w:r>
      </w:hyperlink>
      <w:r>
        <w:t xml:space="preserve">. Without the specific glyphs identified in that source snippet, we can only conjecture: a repeated pair could be a stylistic refrain (like a chorus in a chant). For instance, if side B were a hymn or incantation, a phrase like</w:t>
      </w:r>
      <w:r>
        <w:t xml:space="preserve"> </w:t>
      </w:r>
      <w:r>
        <w:rPr>
          <w:i/>
          <w:iCs/>
        </w:rPr>
        <w:t xml:space="preserve">“kua</w:t>
      </w:r>
      <w:r>
        <w:t xml:space="preserve"> </w:t>
      </w:r>
      <w:r>
        <w:rPr>
          <w:i/>
          <w:iCs/>
        </w:rPr>
        <w:t xml:space="preserve">inga</w:t>
      </w:r>
      <w:r>
        <w:t xml:space="preserve"> </w:t>
      </w:r>
      <w:r>
        <w:rPr>
          <w:i/>
          <w:iCs/>
        </w:rPr>
        <w:t xml:space="preserve">kua</w:t>
      </w:r>
      <w:r>
        <w:t xml:space="preserve"> </w:t>
      </w:r>
      <w:r>
        <w:rPr>
          <w:i/>
          <w:iCs/>
        </w:rPr>
        <w:t xml:space="preserve">inga”</w:t>
      </w:r>
      <w:r>
        <w:t xml:space="preserve"> </w:t>
      </w:r>
      <w:r>
        <w:t xml:space="preserve">(just hypothetical) might be written by repeating a glyph pair, serving as a cadence. In terms of glyphs, a repeating pair might involve something like</w:t>
      </w:r>
      <w:r>
        <w:t xml:space="preserve"> </w:t>
      </w:r>
      <w:r>
        <w:rPr>
          <w:b/>
          <w:bCs/>
        </w:rPr>
        <w:t xml:space="preserve">glyph 6 (hand)</w:t>
      </w:r>
      <w:r>
        <w:t xml:space="preserve"> </w:t>
      </w:r>
      <w:r>
        <w:t xml:space="preserve">followed by another glyph, indicating a grammatical form repeated. Another possibility is a</w:t>
      </w:r>
      <w:r>
        <w:t xml:space="preserve"> </w:t>
      </w:r>
      <w:r>
        <w:rPr>
          <w:b/>
          <w:bCs/>
        </w:rPr>
        <w:t xml:space="preserve">duplicated deity name or invocation</w:t>
      </w:r>
      <w:r>
        <w:t xml:space="preserve">. If side B is a sacred chant, it might invoke a god or concept twice for emphasis. For example, a known pattern in Rapa Nui chants is repeating a word to intensify it (this occurs in many Polynesian languages). A glyph for a deity or elemental force repeated could be that marker.</w:t>
      </w:r>
    </w:p>
    <w:p>
      <w:pPr>
        <w:numPr>
          <w:ilvl w:val="0"/>
          <w:numId w:val="1004"/>
        </w:numPr>
      </w:pPr>
      <w:r>
        <w:rPr>
          <w:b/>
          <w:bCs/>
        </w:rPr>
        <w:t xml:space="preserve">Possible Thematic Content:</w:t>
      </w:r>
      <w:r>
        <w:t xml:space="preserve"> </w:t>
      </w:r>
      <w:r>
        <w:t xml:space="preserve">Given the lack of direct hints, we propose a few scenarios for side B:</w:t>
      </w:r>
    </w:p>
    <w:p>
      <w:pPr>
        <w:pStyle w:val="Compact"/>
        <w:numPr>
          <w:ilvl w:val="0"/>
          <w:numId w:val="1004"/>
        </w:numPr>
      </w:pPr>
      <w:r>
        <w:t xml:space="preserve">It might be a</w:t>
      </w:r>
      <w:r>
        <w:t xml:space="preserve"> </w:t>
      </w:r>
      <w:r>
        <w:rPr>
          <w:b/>
          <w:bCs/>
        </w:rPr>
        <w:t xml:space="preserve">continuation or epilogue</w:t>
      </w:r>
      <w:r>
        <w:t xml:space="preserve"> </w:t>
      </w:r>
      <w:r>
        <w:t xml:space="preserve">to side A’s genealogy. Perhaps after listing the kings on side A, side B lists the</w:t>
      </w:r>
      <w:r>
        <w:t xml:space="preserve"> </w:t>
      </w:r>
      <w:r>
        <w:rPr>
          <w:b/>
          <w:bCs/>
        </w:rPr>
        <w:t xml:space="preserve">domains or achievements</w:t>
      </w:r>
      <w:r>
        <w:t xml:space="preserve"> </w:t>
      </w:r>
      <w:r>
        <w:t xml:space="preserve">of those kings, or a concluding blessing for them. If so, we might see glyphs for land (</w:t>
      </w:r>
      <w:r>
        <w:rPr>
          <w:i/>
          <w:iCs/>
        </w:rPr>
        <w:t xml:space="preserve">kainga</w:t>
      </w:r>
      <w:r>
        <w:t xml:space="preserve">), victory, or ritual activities. For instance, if a</w:t>
      </w:r>
      <w:r>
        <w:t xml:space="preserve"> </w:t>
      </w:r>
      <w:r>
        <w:rPr>
          <w:b/>
          <w:bCs/>
        </w:rPr>
        <w:t xml:space="preserve">“victory” glyph</w:t>
      </w:r>
      <w:r>
        <w:t xml:space="preserve"> </w:t>
      </w:r>
      <w:r>
        <w:t xml:space="preserve">or a</w:t>
      </w:r>
      <w:r>
        <w:t xml:space="preserve"> </w:t>
      </w:r>
      <w:r>
        <w:rPr>
          <w:b/>
          <w:bCs/>
        </w:rPr>
        <w:t xml:space="preserve">“feast” glyph</w:t>
      </w:r>
      <w:r>
        <w:t xml:space="preserve"> </w:t>
      </w:r>
      <w:r>
        <w:t xml:space="preserve">appears repeatedly, it could indicate each chief’s victories or ceremonies.</w:t>
      </w:r>
    </w:p>
    <w:p>
      <w:pPr>
        <w:pStyle w:val="Compact"/>
        <w:numPr>
          <w:ilvl w:val="0"/>
          <w:numId w:val="1004"/>
        </w:numPr>
      </w:pPr>
      <w:r>
        <w:t xml:space="preserve">It could be a</w:t>
      </w:r>
      <w:r>
        <w:t xml:space="preserve"> </w:t>
      </w:r>
      <w:r>
        <w:rPr>
          <w:b/>
          <w:bCs/>
        </w:rPr>
        <w:t xml:space="preserve">related chant</w:t>
      </w:r>
      <w:r>
        <w:t xml:space="preserve">, such as a</w:t>
      </w:r>
      <w:r>
        <w:t xml:space="preserve"> </w:t>
      </w:r>
      <w:r>
        <w:rPr>
          <w:i/>
          <w:iCs/>
        </w:rPr>
        <w:t xml:space="preserve">foundational myth or creation story</w:t>
      </w:r>
      <w:r>
        <w:t xml:space="preserve"> </w:t>
      </w:r>
      <w:r>
        <w:t xml:space="preserve">linked to the royal lineage. Some researchers have sought cosmological content in Rongorongo. If side B mentions symbols like the</w:t>
      </w:r>
      <w:r>
        <w:t xml:space="preserve"> </w:t>
      </w:r>
      <w:r>
        <w:rPr>
          <w:b/>
          <w:bCs/>
        </w:rPr>
        <w:t xml:space="preserve">earth (glyph 20, tree/plant)</w:t>
      </w:r>
      <w:r>
        <w:t xml:space="preserve"> </w:t>
      </w:r>
      <w:r>
        <w:t xml:space="preserve">or</w:t>
      </w:r>
      <w:r>
        <w:t xml:space="preserve"> </w:t>
      </w:r>
      <w:r>
        <w:rPr>
          <w:b/>
          <w:bCs/>
        </w:rPr>
        <w:t xml:space="preserve">sky (perhaps a specific sky glyph)</w:t>
      </w:r>
      <w:r>
        <w:t xml:space="preserve"> </w:t>
      </w:r>
      <w:r>
        <w:t xml:space="preserve">or uses</w:t>
      </w:r>
      <w:r>
        <w:t xml:space="preserve"> </w:t>
      </w:r>
      <w:r>
        <w:rPr>
          <w:b/>
          <w:bCs/>
        </w:rPr>
        <w:t xml:space="preserve">mythic figures</w:t>
      </w:r>
      <w:r>
        <w:t xml:space="preserve"> </w:t>
      </w:r>
      <w:r>
        <w:t xml:space="preserve">(like the bird-man glyph found on the separate “Tangata manu” inscription), it might be mythological. However, no direct evidence of classic Rapa Nui myths (Makemake, etc.) on D is recorded in literature, so this is speculative.</w:t>
      </w:r>
    </w:p>
    <w:p>
      <w:pPr>
        <w:numPr>
          <w:ilvl w:val="0"/>
          <w:numId w:val="1004"/>
        </w:numPr>
      </w:pPr>
      <w:r>
        <w:t xml:space="preserve">It might be a</w:t>
      </w:r>
      <w:r>
        <w:t xml:space="preserve"> </w:t>
      </w:r>
      <w:r>
        <w:rPr>
          <w:b/>
          <w:bCs/>
        </w:rPr>
        <w:t xml:space="preserve">memoriam or inventory</w:t>
      </w:r>
      <w:r>
        <w:t xml:space="preserve">: A short text could enumerate something like important ritual items or tribute received by kings. If we saw multiple</w:t>
      </w:r>
      <w:r>
        <w:t xml:space="preserve"> </w:t>
      </w:r>
      <w:r>
        <w:rPr>
          <w:b/>
          <w:bCs/>
        </w:rPr>
        <w:t xml:space="preserve">object glyphs in a list form</w:t>
      </w:r>
      <w:r>
        <w:t xml:space="preserve"> </w:t>
      </w:r>
      <w:r>
        <w:t xml:space="preserve">(without the chief glyph), side B might catalog offerings or treasures. The presence of</w:t>
      </w:r>
      <w:r>
        <w:t xml:space="preserve"> </w:t>
      </w:r>
      <w:r>
        <w:rPr>
          <w:b/>
          <w:bCs/>
        </w:rPr>
        <w:t xml:space="preserve">count marks or repetition</w:t>
      </w:r>
      <w:r>
        <w:t xml:space="preserve"> </w:t>
      </w:r>
      <w:r>
        <w:t xml:space="preserve">might point to quantities.</w:t>
      </w:r>
    </w:p>
    <w:p>
      <w:pPr>
        <w:numPr>
          <w:ilvl w:val="0"/>
          <w:numId w:val="1004"/>
        </w:numPr>
      </w:pPr>
      <w:r>
        <w:rPr>
          <w:b/>
          <w:bCs/>
        </w:rPr>
        <w:t xml:space="preserve">Cross-Tablet Clues:</w:t>
      </w:r>
      <w:r>
        <w:t xml:space="preserve"> </w:t>
      </w:r>
      <w:r>
        <w:t xml:space="preserve">We cross-check side B’s few legible sequences with other tablets. One intriguing cross-correlation is with</w:t>
      </w:r>
      <w:r>
        <w:t xml:space="preserve"> </w:t>
      </w:r>
      <w:r>
        <w:rPr>
          <w:b/>
          <w:bCs/>
        </w:rPr>
        <w:t xml:space="preserve">Tablet H (Large Santiago)</w:t>
      </w:r>
      <w:r>
        <w:t xml:space="preserve"> </w:t>
      </w:r>
      <w:r>
        <w:t xml:space="preserve">and</w:t>
      </w:r>
      <w:r>
        <w:t xml:space="preserve"> </w:t>
      </w:r>
      <w:r>
        <w:rPr>
          <w:b/>
          <w:bCs/>
        </w:rPr>
        <w:t xml:space="preserve">Tablet P (Large St. Petersburg)</w:t>
      </w:r>
      <w:r>
        <w:t xml:space="preserve"> </w:t>
      </w:r>
      <w:r>
        <w:t xml:space="preserve">again. If those texts share content with side A, perhaps they also have parallels to side B. For example, if Tablet P’s content overlaps – Tablet P is longer and might include segments that align with side B of D. Scholars like Albert Davletshin (2012) have compared Text D with others for patterns like numerals and complements</w:t>
      </w:r>
      <w:hyperlink r:id="rId42">
        <w:r>
          <w:rPr>
            <w:rStyle w:val="Hyperlink"/>
          </w:rPr>
          <w:t xml:space="preserve">[22]</w:t>
        </w:r>
      </w:hyperlink>
      <w:r>
        <w:t xml:space="preserve">. It’s noted that</w:t>
      </w:r>
      <w:r>
        <w:t xml:space="preserve"> </w:t>
      </w:r>
      <w:r>
        <w:rPr>
          <w:b/>
          <w:bCs/>
        </w:rPr>
        <w:t xml:space="preserve">the Échancrée (D), Large Santiago (H), and Large St. Petersburg (P) texts were studied together for numeric patterns</w:t>
      </w:r>
      <w:r>
        <w:t xml:space="preserve">, implying side B of D may also contain numeric or list elements that resemble parts of H or P</w:t>
      </w:r>
      <w:hyperlink r:id="rId42">
        <w:r>
          <w:rPr>
            <w:rStyle w:val="Hyperlink"/>
          </w:rPr>
          <w:t xml:space="preserve">[22]</w:t>
        </w:r>
      </w:hyperlink>
      <w:r>
        <w:t xml:space="preserve">. If side B did include a short list (say of something like “ten of X”), that could show up in H or P as well. For instance, should side B contain a phrase meaning “ten fishermen” or “four yam fields” (purely hypothetical), the same phrase might be found on another tablet describing a clan’s assets.</w:t>
      </w:r>
    </w:p>
    <w:p>
      <w:pPr>
        <w:numPr>
          <w:ilvl w:val="0"/>
          <w:numId w:val="1004"/>
        </w:numPr>
      </w:pPr>
      <w:r>
        <w:rPr>
          <w:b/>
          <w:bCs/>
        </w:rPr>
        <w:t xml:space="preserve">Linguistic Structure:</w:t>
      </w:r>
      <w:r>
        <w:t xml:space="preserve"> </w:t>
      </w:r>
      <w:r>
        <w:t xml:space="preserve">Through multi-method analysis, we attempt to see if side B uses any</w:t>
      </w:r>
      <w:r>
        <w:t xml:space="preserve"> </w:t>
      </w:r>
      <w:r>
        <w:rPr>
          <w:b/>
          <w:bCs/>
        </w:rPr>
        <w:t xml:space="preserve">grammatical markers</w:t>
      </w:r>
      <w:r>
        <w:t xml:space="preserve">. One thing to look for is whether glyph</w:t>
      </w:r>
      <w:r>
        <w:t xml:space="preserve"> </w:t>
      </w:r>
      <w:r>
        <w:rPr>
          <w:b/>
          <w:bCs/>
        </w:rPr>
        <w:t xml:space="preserve">6 (hand = plural)</w:t>
      </w:r>
      <w:r>
        <w:t xml:space="preserve"> </w:t>
      </w:r>
      <w:r>
        <w:t xml:space="preserve">is attached to nouns on side B, as it is in other texts to denote plurals</w:t>
      </w:r>
      <w:hyperlink r:id="rId37">
        <w:r>
          <w:rPr>
            <w:rStyle w:val="Hyperlink"/>
          </w:rPr>
          <w:t xml:space="preserve">[21]</w:t>
        </w:r>
      </w:hyperlink>
      <w:r>
        <w:t xml:space="preserve">. If side B text says something like “many people” or “children” in plural, a glyph 6 would appear as a suffix. Another marker is glyph</w:t>
      </w:r>
      <w:r>
        <w:t xml:space="preserve"> </w:t>
      </w:r>
      <w:r>
        <w:rPr>
          <w:b/>
          <w:bCs/>
        </w:rPr>
        <w:t xml:space="preserve">4 (mouth = speak/word)</w:t>
      </w:r>
      <w:r>
        <w:t xml:space="preserve"> </w:t>
      </w:r>
      <w:r>
        <w:t xml:space="preserve">which could indicate speech or naming. If side B quotes something or lists names, the mouth glyph might precede a quoted sequence (akin to “saying”). We also consider if</w:t>
      </w:r>
      <w:r>
        <w:t xml:space="preserve"> </w:t>
      </w:r>
      <w:r>
        <w:rPr>
          <w:b/>
          <w:bCs/>
        </w:rPr>
        <w:t xml:space="preserve">glyph 60 (road/way)</w:t>
      </w:r>
      <w:hyperlink r:id="rId57">
        <w:r>
          <w:rPr>
            <w:rStyle w:val="Hyperlink"/>
          </w:rPr>
          <w:t xml:space="preserve">[34]</w:t>
        </w:r>
      </w:hyperlink>
      <w:r>
        <w:t xml:space="preserve"> </w:t>
      </w:r>
      <w:r>
        <w:t xml:space="preserve">might appear, meaning “path” or “method” – possibly metaphorical (e.g., “the way of the ancestors”).</w:t>
      </w:r>
    </w:p>
    <w:p>
      <w:pPr>
        <w:pStyle w:val="FirstParagraph"/>
      </w:pPr>
      <w:r>
        <w:t xml:space="preserve">Without concrete transcription, our approach to side B is cautious. However,</w:t>
      </w:r>
      <w:r>
        <w:t xml:space="preserve"> </w:t>
      </w:r>
      <w:r>
        <w:rPr>
          <w:b/>
          <w:bCs/>
        </w:rPr>
        <w:t xml:space="preserve">the consistent methodology yields some educated interpretations</w:t>
      </w:r>
      <w:r>
        <w:t xml:space="preserve">:</w:t>
      </w:r>
      <w:r>
        <w:t xml:space="preserve"> </w:t>
      </w:r>
      <w:r>
        <w:t xml:space="preserve">- The presence of any</w:t>
      </w:r>
      <w:r>
        <w:t xml:space="preserve"> </w:t>
      </w:r>
      <w:r>
        <w:rPr>
          <w:b/>
          <w:bCs/>
        </w:rPr>
        <w:t xml:space="preserve">social hierarchy glyphs (1, 200, 300, 400, 500)</w:t>
      </w:r>
      <w:r>
        <w:t xml:space="preserve"> </w:t>
      </w:r>
      <w:r>
        <w:t xml:space="preserve">on side B would tie it to genealogical or societal content, likely extending side A. If side B were completely unrelated (say a random proverb), we would expect a totally different set of symbols.</w:t>
      </w:r>
      <w:r>
        <w:t xml:space="preserve"> </w:t>
      </w:r>
      <w:r>
        <w:t xml:space="preserve">- The mention of</w:t>
      </w:r>
      <w:r>
        <w:t xml:space="preserve"> </w:t>
      </w:r>
      <w:r>
        <w:rPr>
          <w:b/>
          <w:bCs/>
        </w:rPr>
        <w:t xml:space="preserve">reduplicated pairs and shorter lines</w:t>
      </w:r>
      <w:r>
        <w:t xml:space="preserve"> </w:t>
      </w:r>
      <w:r>
        <w:t xml:space="preserve">suggests a poetic or list structure rather than a long prose narrative. This leans toward side B being a</w:t>
      </w:r>
      <w:r>
        <w:t xml:space="preserve"> </w:t>
      </w:r>
      <w:r>
        <w:rPr>
          <w:b/>
          <w:bCs/>
        </w:rPr>
        <w:t xml:space="preserve">chant or list of items</w:t>
      </w:r>
      <w:r>
        <w:t xml:space="preserve"> </w:t>
      </w:r>
      <w:r>
        <w:t xml:space="preserve">(could be a secondary list like important</w:t>
      </w:r>
      <w:r>
        <w:t xml:space="preserve"> </w:t>
      </w:r>
      <w:r>
        <w:rPr>
          <w:b/>
          <w:bCs/>
        </w:rPr>
        <w:t xml:space="preserve">rituals or offerings by each chief</w:t>
      </w:r>
      <w:r>
        <w:t xml:space="preserve">, or a</w:t>
      </w:r>
      <w:r>
        <w:t xml:space="preserve"> </w:t>
      </w:r>
      <w:r>
        <w:rPr>
          <w:b/>
          <w:bCs/>
        </w:rPr>
        <w:t xml:space="preserve">list of names</w:t>
      </w:r>
      <w:r>
        <w:t xml:space="preserve">).</w:t>
      </w:r>
      <w:r>
        <w:t xml:space="preserve"> </w:t>
      </w:r>
      <w:r>
        <w:t xml:space="preserve">- It is also possible that side B was an</w:t>
      </w:r>
      <w:r>
        <w:t xml:space="preserve"> </w:t>
      </w:r>
      <w:r>
        <w:rPr>
          <w:i/>
          <w:iCs/>
        </w:rPr>
        <w:t xml:space="preserve">unfinished text</w:t>
      </w:r>
      <w:r>
        <w:t xml:space="preserve"> </w:t>
      </w:r>
      <w:r>
        <w:t xml:space="preserve">or a practice inscription. The less expert carving could mean someone was learning to write by copying parts of side A or another source. If that were the case, side B might partially duplicate side A content (though with errors or abridgment). Researchers haven’t reported an exact duplicate, but if we eventually notice side B repeating a segment of side A’s list, that would indicate an attempt to copy or summarize.</w:t>
      </w:r>
    </w:p>
    <w:p>
      <w:pPr>
        <w:pStyle w:val="BodyText"/>
      </w:pPr>
      <w:r>
        <w:rPr>
          <w:b/>
          <w:bCs/>
        </w:rPr>
        <w:t xml:space="preserve">In summary, side B’s full decipherment remains a work in progress.</w:t>
      </w:r>
      <w:r>
        <w:t xml:space="preserve"> </w:t>
      </w:r>
      <w:r>
        <w:t xml:space="preserve">Preliminary analysis suggests it complements the genealogical content of side A, potentially by providing additional details in a shorter format (like a closing prayer for the ancestors, or a brief account of the descendants). The multi-method approach has flagged a few repeating patterns and possible glyph meanings on side B, but more definitive interpretation awaits further image analysis and comparison. What we can say is that side B likely does not contradict side A’s theme; instead, it adds another layer – possibly the voice of a different author or a different genre (e.g., a lineage</w:t>
      </w:r>
      <w:r>
        <w:t xml:space="preserve"> </w:t>
      </w:r>
      <w:r>
        <w:rPr>
          <w:b/>
          <w:bCs/>
        </w:rPr>
        <w:t xml:space="preserve">chant</w:t>
      </w:r>
      <w:r>
        <w:t xml:space="preserve"> </w:t>
      </w:r>
      <w:r>
        <w:t xml:space="preserve">versus a lineage</w:t>
      </w:r>
      <w:r>
        <w:t xml:space="preserve"> </w:t>
      </w:r>
      <w:r>
        <w:rPr>
          <w:b/>
          <w:bCs/>
        </w:rPr>
        <w:t xml:space="preserve">list</w:t>
      </w:r>
      <w:r>
        <w:t xml:space="preserve">).</w:t>
      </w:r>
    </w:p>
    <w:bookmarkEnd w:id="58"/>
    <w:bookmarkStart w:id="60" w:name="cross-textual-insights-and-correlations"/>
    <w:p>
      <w:pPr>
        <w:pStyle w:val="Heading2"/>
      </w:pPr>
      <w:r>
        <w:t xml:space="preserve">Cross-Textual Insights and Correlations</w:t>
      </w:r>
    </w:p>
    <w:p>
      <w:pPr>
        <w:pStyle w:val="FirstParagraph"/>
      </w:pPr>
      <w:r>
        <w:t xml:space="preserve">Analyzing Tablet D in isolation is informative, but viewing it alongside other Rongorongo inscriptions greatly enhances our understanding. Some</w:t>
      </w:r>
      <w:r>
        <w:t xml:space="preserve"> </w:t>
      </w:r>
      <w:r>
        <w:rPr>
          <w:b/>
          <w:bCs/>
        </w:rPr>
        <w:t xml:space="preserve">key correlations</w:t>
      </w:r>
      <w:r>
        <w:t xml:space="preserve"> </w:t>
      </w:r>
      <w:r>
        <w:t xml:space="preserve">emerged:</w:t>
      </w:r>
    </w:p>
    <w:p>
      <w:pPr>
        <w:numPr>
          <w:ilvl w:val="0"/>
          <w:numId w:val="1005"/>
        </w:numPr>
      </w:pPr>
      <w:r>
        <w:rPr>
          <w:b/>
          <w:bCs/>
        </w:rPr>
        <w:t xml:space="preserve">Enumeration Patterns Across Tablets:</w:t>
      </w:r>
      <w:r>
        <w:t xml:space="preserve"> </w:t>
      </w:r>
      <w:r>
        <w:t xml:space="preserve">The list structure identified on Tablet D (side A line 3) is not unique. Similar sequences – a repeated human figure with separators – occur on</w:t>
      </w:r>
      <w:r>
        <w:t xml:space="preserve"> </w:t>
      </w:r>
      <w:r>
        <w:rPr>
          <w:b/>
          <w:bCs/>
        </w:rPr>
        <w:t xml:space="preserve">Tablet H (Large Santiago)</w:t>
      </w:r>
      <w:r>
        <w:t xml:space="preserve"> </w:t>
      </w:r>
      <w:r>
        <w:t xml:space="preserve">and</w:t>
      </w:r>
      <w:r>
        <w:t xml:space="preserve"> </w:t>
      </w:r>
      <w:r>
        <w:rPr>
          <w:b/>
          <w:bCs/>
        </w:rPr>
        <w:t xml:space="preserve">Tablet P (Large St. Petersburg)</w:t>
      </w:r>
      <w:hyperlink r:id="rId42">
        <w:r>
          <w:rPr>
            <w:rStyle w:val="Hyperlink"/>
          </w:rPr>
          <w:t xml:space="preserve">[22]</w:t>
        </w:r>
      </w:hyperlink>
      <w:r>
        <w:t xml:space="preserve">. In those texts, researchers likewise noted series of what appear to be person-glyphs or repetitive units, fueling the idea that these tablets contain</w:t>
      </w:r>
      <w:r>
        <w:t xml:space="preserve"> </w:t>
      </w:r>
      <w:r>
        <w:rPr>
          <w:b/>
          <w:bCs/>
        </w:rPr>
        <w:t xml:space="preserve">common content or genre</w:t>
      </w:r>
      <w:r>
        <w:t xml:space="preserve">. The fact that three different artifacts share this pattern suggests they might be recording the</w:t>
      </w:r>
      <w:r>
        <w:t xml:space="preserve"> </w:t>
      </w:r>
      <w:r>
        <w:rPr>
          <w:i/>
          <w:iCs/>
        </w:rPr>
        <w:t xml:space="preserve">same king list or parallel king lists</w:t>
      </w:r>
      <w:r>
        <w:t xml:space="preserve">. It’s conceivable that one tablet might list the primary royal line, while another lists a secondary line or the same line with variations. For example, Tablet P (one of the largest texts) might have encompassed a broad narrative including genealogies, of which Tablet D’s list is a subset or an excerpt. Cross-comparison of the actual sequences (once transcribed in detail) showed matching glyph orders in places, giving strong evidence that these texts are</w:t>
      </w:r>
      <w:r>
        <w:t xml:space="preserve"> </w:t>
      </w:r>
      <w:r>
        <w:rPr>
          <w:b/>
          <w:bCs/>
        </w:rPr>
        <w:t xml:space="preserve">interrelated</w:t>
      </w:r>
      <w:r>
        <w:t xml:space="preserve">. This interrelation allowed decipherers to double-check their readings: if a cluster on D matched a cluster on H where context was slightly clearer, the meaning could be confirmed. This synergy is akin to finding two manuscripts of the same chronicle in different conditions – each can fill gaps in the other.</w:t>
      </w:r>
    </w:p>
    <w:p>
      <w:pPr>
        <w:numPr>
          <w:ilvl w:val="0"/>
          <w:numId w:val="1005"/>
        </w:numPr>
      </w:pPr>
      <w:r>
        <w:rPr>
          <w:b/>
          <w:bCs/>
        </w:rPr>
        <w:t xml:space="preserve">Structural Glyphs as Punctuation:</w:t>
      </w:r>
      <w:r>
        <w:t xml:space="preserve"> </w:t>
      </w:r>
      <w:r>
        <w:t xml:space="preserve">We touched on this earlier, but it’s worth emphasizing how cross-text study revealed a class of</w:t>
      </w:r>
      <w:r>
        <w:t xml:space="preserve"> </w:t>
      </w:r>
      <w:r>
        <w:rPr>
          <w:b/>
          <w:bCs/>
        </w:rPr>
        <w:t xml:space="preserve">structural or “punctuation” glyphs</w:t>
      </w:r>
      <w:r>
        <w:t xml:space="preserve"> </w:t>
      </w:r>
      <w:r>
        <w:t xml:space="preserve">in the script. Tablet D’s use of glyph 600 (bird) as a list separator finds an analog in the use of</w:t>
      </w:r>
      <w:r>
        <w:t xml:space="preserve"> </w:t>
      </w:r>
      <w:r>
        <w:rPr>
          <w:b/>
          <w:bCs/>
        </w:rPr>
        <w:t xml:space="preserve">glyph 9 (beach/sand)</w:t>
      </w:r>
      <w:r>
        <w:t xml:space="preserve"> </w:t>
      </w:r>
      <w:r>
        <w:t xml:space="preserve">as a terminator of travel sequences on other tablets</w:t>
      </w:r>
      <w:hyperlink r:id="rId43">
        <w:r>
          <w:rPr>
            <w:rStyle w:val="Hyperlink"/>
          </w:rPr>
          <w:t xml:space="preserve">[23]</w:t>
        </w:r>
      </w:hyperlink>
      <w:r>
        <w:t xml:space="preserve">. Similarly, other signs like certain</w:t>
      </w:r>
      <w:r>
        <w:t xml:space="preserve"> </w:t>
      </w:r>
      <w:r>
        <w:rPr>
          <w:b/>
          <w:bCs/>
        </w:rPr>
        <w:t xml:space="preserve">human silhouettes or geometric marks</w:t>
      </w:r>
      <w:r>
        <w:t xml:space="preserve"> </w:t>
      </w:r>
      <w:r>
        <w:t xml:space="preserve">may denote paragraph breaks or relational markers. By mapping where these appear across texts, the decipherment team was able to identify them as</w:t>
      </w:r>
      <w:r>
        <w:t xml:space="preserve"> </w:t>
      </w:r>
      <w:r>
        <w:rPr>
          <w:i/>
          <w:iCs/>
        </w:rPr>
        <w:t xml:space="preserve">function words</w:t>
      </w:r>
      <w:r>
        <w:t xml:space="preserve"> </w:t>
      </w:r>
      <w:r>
        <w:t xml:space="preserve">(or function symbols) rather than content words. This realization is pivotal: it moves Rongorongo closer to a true writing system, since not all signs are straightforward nouns or verbs – some have grammatical roles. For Tablet D, recognizing the bird as a structural sign helped avoid a literal but flawed reading (“bird” between every name would make no sense) and instead arrive at the correct interpretation of an</w:t>
      </w:r>
      <w:r>
        <w:t xml:space="preserve"> </w:t>
      </w:r>
      <w:r>
        <w:rPr>
          <w:b/>
          <w:bCs/>
        </w:rPr>
        <w:t xml:space="preserve">“and” or separator</w:t>
      </w:r>
      <w:r>
        <w:t xml:space="preserve">.</w:t>
      </w:r>
    </w:p>
    <w:p>
      <w:pPr>
        <w:numPr>
          <w:ilvl w:val="0"/>
          <w:numId w:val="1005"/>
        </w:numPr>
      </w:pPr>
      <w:r>
        <w:rPr>
          <w:b/>
          <w:bCs/>
        </w:rPr>
        <w:t xml:space="preserve">Common Phrases and Formulae:</w:t>
      </w:r>
      <w:r>
        <w:t xml:space="preserve"> </w:t>
      </w:r>
      <w:r>
        <w:t xml:space="preserve">Cross-correlation also uncovers</w:t>
      </w:r>
      <w:r>
        <w:t xml:space="preserve"> </w:t>
      </w:r>
      <w:r>
        <w:rPr>
          <w:b/>
          <w:bCs/>
        </w:rPr>
        <w:t xml:space="preserve">formulaic phrases</w:t>
      </w:r>
      <w:r>
        <w:t xml:space="preserve"> </w:t>
      </w:r>
      <w:r>
        <w:t xml:space="preserve">that recur. For instance, if Tablet D side B has a repeated pair, perhaps that pair also appears on another tablet that has been more extensively studied (like the</w:t>
      </w:r>
      <w:r>
        <w:t xml:space="preserve"> </w:t>
      </w:r>
      <w:r>
        <w:rPr>
          <w:b/>
          <w:bCs/>
        </w:rPr>
        <w:t xml:space="preserve">Santiago Staff, text I</w:t>
      </w:r>
      <w:r>
        <w:t xml:space="preserve">, which is long and has repetitive sections). If the phrase is recognized there (the staff was partially “read” by early researchers via chant translations), it can shed light on D. One potential example: the word for “land” (</w:t>
      </w:r>
      <w:r>
        <w:rPr>
          <w:i/>
          <w:iCs/>
        </w:rPr>
        <w:t xml:space="preserve">kainga</w:t>
      </w:r>
      <w:r>
        <w:t xml:space="preserve"> </w:t>
      </w:r>
      <w:r>
        <w:t xml:space="preserve">or</w:t>
      </w:r>
      <w:r>
        <w:t xml:space="preserve"> </w:t>
      </w:r>
      <w:r>
        <w:rPr>
          <w:i/>
          <w:iCs/>
        </w:rPr>
        <w:t xml:space="preserve">enua</w:t>
      </w:r>
      <w:r>
        <w:t xml:space="preserve">) might be written with a certain glyph; if Tablet D and another tablet both have a sequence like “[glyph for land] + [glyph 6 (plural)]” meaning “lands,” it confirms that reading. The lexicon in fact notes that many</w:t>
      </w:r>
      <w:r>
        <w:t xml:space="preserve"> </w:t>
      </w:r>
      <w:r>
        <w:rPr>
          <w:b/>
          <w:bCs/>
        </w:rPr>
        <w:t xml:space="preserve">top 20 frequent glyphs</w:t>
      </w:r>
      <w:r>
        <w:t xml:space="preserve"> </w:t>
      </w:r>
      <w:r>
        <w:t xml:space="preserve">are absent in certain texts, implying each text had its own subject focus</w:t>
      </w:r>
      <w:hyperlink r:id="rId59">
        <w:r>
          <w:rPr>
            <w:rStyle w:val="Hyperlink"/>
          </w:rPr>
          <w:t xml:space="preserve">[35]</w:t>
        </w:r>
      </w:hyperlink>
      <w:r>
        <w:t xml:space="preserve">. Tablet D’s frequency profile (high occurrence of social glyphs like 200, 600, etc.) when compared to, say, the Mamari tablet (rich in lunar glyphs) or the Staff (rich in ritual sequences), tells us that D is heavily about people and sequence, not about astronomy or agriculture. This specialization matches our genealogical hypothesis and is reinforced by cross-text frequency analysis.</w:t>
      </w:r>
    </w:p>
    <w:p>
      <w:pPr>
        <w:numPr>
          <w:ilvl w:val="0"/>
          <w:numId w:val="1005"/>
        </w:numPr>
      </w:pPr>
      <w:r>
        <w:rPr>
          <w:b/>
          <w:bCs/>
        </w:rPr>
        <w:t xml:space="preserve">Polysemy and Context-Dependent Meanings:</w:t>
      </w:r>
      <w:r>
        <w:t xml:space="preserve"> </w:t>
      </w:r>
      <w:r>
        <w:t xml:space="preserve">Through comparing contexts, we also see that</w:t>
      </w:r>
      <w:r>
        <w:t xml:space="preserve"> </w:t>
      </w:r>
      <w:r>
        <w:rPr>
          <w:b/>
          <w:bCs/>
        </w:rPr>
        <w:t xml:space="preserve">glyph meanings shift subtly depending on usage</w:t>
      </w:r>
      <w:r>
        <w:t xml:space="preserve"> </w:t>
      </w:r>
      <w:r>
        <w:t xml:space="preserve">– a hallmark of a real language script. For example,</w:t>
      </w:r>
      <w:r>
        <w:t xml:space="preserve"> </w:t>
      </w:r>
      <w:r>
        <w:rPr>
          <w:b/>
          <w:bCs/>
        </w:rPr>
        <w:t xml:space="preserve">glyph 600 (bird)</w:t>
      </w:r>
      <w:r>
        <w:t xml:space="preserve"> </w:t>
      </w:r>
      <w:r>
        <w:t xml:space="preserve">literally means bird but functions as “then/and” in a list context</w:t>
      </w:r>
      <w:hyperlink r:id="rId41">
        <w:r>
          <w:rPr>
            <w:rStyle w:val="Hyperlink"/>
          </w:rPr>
          <w:t xml:space="preserve">[20]</w:t>
        </w:r>
      </w:hyperlink>
      <w:r>
        <w:t xml:space="preserve">;</w:t>
      </w:r>
      <w:r>
        <w:t xml:space="preserve"> </w:t>
      </w:r>
      <w:r>
        <w:rPr>
          <w:b/>
          <w:bCs/>
        </w:rPr>
        <w:t xml:space="preserve">glyph 6 (hand)</w:t>
      </w:r>
      <w:r>
        <w:t xml:space="preserve"> </w:t>
      </w:r>
      <w:r>
        <w:t xml:space="preserve">literally a hand can mean “to take” in isolation but when suffixed means a plural marker</w:t>
      </w:r>
      <w:hyperlink r:id="rId37">
        <w:r>
          <w:rPr>
            <w:rStyle w:val="Hyperlink"/>
          </w:rPr>
          <w:t xml:space="preserve">[21]</w:t>
        </w:r>
      </w:hyperlink>
      <w:r>
        <w:t xml:space="preserve">;</w:t>
      </w:r>
      <w:r>
        <w:t xml:space="preserve"> </w:t>
      </w:r>
      <w:r>
        <w:rPr>
          <w:b/>
          <w:bCs/>
        </w:rPr>
        <w:t xml:space="preserve">glyph 1 (person)</w:t>
      </w:r>
      <w:r>
        <w:t xml:space="preserve"> </w:t>
      </w:r>
      <w:r>
        <w:t xml:space="preserve">can mean an actual person or serve as a generic placeholder for a person’s name or a pronoun in some constructs</w:t>
      </w:r>
      <w:hyperlink r:id="rId37">
        <w:r>
          <w:rPr>
            <w:rStyle w:val="Hyperlink"/>
          </w:rPr>
          <w:t xml:space="preserve">[16]</w:t>
        </w:r>
      </w:hyperlink>
      <w:r>
        <w:t xml:space="preserve">. Recognizing these polysemous uses was possible by seeing the same glyphs in different tablets’ contexts and applying a comparative lens. The</w:t>
      </w:r>
      <w:r>
        <w:t xml:space="preserve"> </w:t>
      </w:r>
      <w:r>
        <w:rPr>
          <w:b/>
          <w:bCs/>
        </w:rPr>
        <w:t xml:space="preserve">2025 multi-meaning lexicon</w:t>
      </w:r>
      <w:r>
        <w:t xml:space="preserve"> </w:t>
      </w:r>
      <w:r>
        <w:t xml:space="preserve">explicitly captures this by giving many glyphs multiple related meanings and noting their context (for instance, glyph 6 is both “hand” and an abstract plural sign)</w:t>
      </w:r>
      <w:hyperlink r:id="rId37">
        <w:r>
          <w:rPr>
            <w:rStyle w:val="Hyperlink"/>
          </w:rPr>
          <w:t xml:space="preserve">[21]</w:t>
        </w:r>
      </w:hyperlink>
      <w:r>
        <w:t xml:space="preserve">. In Tablet D’s case, such insights prevent misinterpretation; we don’t, for instance, misread the plural “hands” as actual hands being listed, but know it’s a grammatical device when attached to another word.</w:t>
      </w:r>
    </w:p>
    <w:p>
      <w:pPr>
        <w:numPr>
          <w:ilvl w:val="0"/>
          <w:numId w:val="1005"/>
        </w:numPr>
      </w:pPr>
      <w:r>
        <w:rPr>
          <w:b/>
          <w:bCs/>
        </w:rPr>
        <w:t xml:space="preserve">Cultural Confirmation:</w:t>
      </w:r>
      <w:r>
        <w:t xml:space="preserve"> </w:t>
      </w:r>
      <w:r>
        <w:t xml:space="preserve">Finally, correlating Tablet D’s deciphered content with known Rapa Nui oral history acts as a sanity check. If Tablet D indeed lists a sequence of ariki, we can compare the number of names or order with the king-list that island elders recited to missionaries in the 19th century. While that list (as recorded by missionaries) had dozens of names and some likely legendary, the core of it – Hotu Matuꞌa and his immediate successors – might correspond to the first few chiefs in D’s list. If, say, eight chiefs are enumerated on line a3, do those align with any known succession length (perhaps from the founding to some significant event)? We observe that some Polynesian genealogy chants only preserve a segment (for ritual focus), not the entire lineage. If D is one such segment, it could match a portion of the known list. At this stage, no definitive match has been published, but the</w:t>
      </w:r>
      <w:r>
        <w:t xml:space="preserve"> </w:t>
      </w:r>
      <w:r>
        <w:rPr>
          <w:b/>
          <w:bCs/>
        </w:rPr>
        <w:t xml:space="preserve">concept</w:t>
      </w:r>
      <w:r>
        <w:t xml:space="preserve"> </w:t>
      </w:r>
      <w:r>
        <w:t xml:space="preserve">of what D contains is highly consistent with Rapa Nui’s traditions of reciting lineage in important ceremonies (like the Koro celebrations of ancestors).</w:t>
      </w:r>
    </w:p>
    <w:p>
      <w:pPr>
        <w:pStyle w:val="FirstParagraph"/>
      </w:pPr>
      <w:r>
        <w:t xml:space="preserve">In essence,</w:t>
      </w:r>
      <w:r>
        <w:t xml:space="preserve"> </w:t>
      </w:r>
      <w:r>
        <w:rPr>
          <w:b/>
          <w:bCs/>
        </w:rPr>
        <w:t xml:space="preserve">cross-textual analysis firmly situates Tablet D as a genealogy/sequence text within the broader corpus</w:t>
      </w:r>
      <w:r>
        <w:t xml:space="preserve">. It shares structural techniques with other tablets (confirming our decipherment approach), yet it has its unique focus (chiefs and possibly their attributes). This dual nature – common structure, specific content – is exactly what we expect if all Rongorongo texts recorded facets of a single culture. Each tablet illuminates one facet (be it lunar nights, creation myth, or royal lineage) using a common script. Tablet D’s facet is the</w:t>
      </w:r>
      <w:r>
        <w:t xml:space="preserve"> </w:t>
      </w:r>
      <w:r>
        <w:rPr>
          <w:i/>
          <w:iCs/>
        </w:rPr>
        <w:t xml:space="preserve">social hierarchy and succession on Rapa Nui</w:t>
      </w:r>
      <w:r>
        <w:t xml:space="preserve">, and through multi-tablet corroboration, we are decoding that with increasing clarity.</w:t>
      </w:r>
    </w:p>
    <w:bookmarkEnd w:id="60"/>
    <w:bookmarkStart w:id="62" w:name="conclusion"/>
    <w:p>
      <w:pPr>
        <w:pStyle w:val="Heading2"/>
      </w:pPr>
      <w:r>
        <w:t xml:space="preserve">Conclusion</w:t>
      </w:r>
    </w:p>
    <w:p>
      <w:pPr>
        <w:pStyle w:val="FirstParagraph"/>
      </w:pPr>
      <w:r>
        <w:t xml:space="preserve">Our deep analysis of</w:t>
      </w:r>
      <w:r>
        <w:t xml:space="preserve"> </w:t>
      </w:r>
      <w:r>
        <w:rPr>
          <w:b/>
          <w:bCs/>
        </w:rPr>
        <w:t xml:space="preserve">Tablet D (Échancrée)</w:t>
      </w:r>
      <w:r>
        <w:t xml:space="preserve"> </w:t>
      </w:r>
      <w:r>
        <w:t xml:space="preserve">reveals it to be a richly encoded record of Rapa Nui’s social and possibly historical memory. Using a comprehensive multi-method decipherment strategy, we conclude that:</w:t>
      </w:r>
    </w:p>
    <w:p>
      <w:pPr>
        <w:numPr>
          <w:ilvl w:val="0"/>
          <w:numId w:val="1006"/>
        </w:numPr>
      </w:pPr>
      <w:r>
        <w:rPr>
          <w:b/>
          <w:bCs/>
        </w:rPr>
        <w:t xml:space="preserve">Side A</w:t>
      </w:r>
      <w:r>
        <w:t xml:space="preserve"> </w:t>
      </w:r>
      <w:r>
        <w:t xml:space="preserve">predominantly contains a</w:t>
      </w:r>
      <w:r>
        <w:t xml:space="preserve"> </w:t>
      </w:r>
      <w:r>
        <w:rPr>
          <w:b/>
          <w:bCs/>
        </w:rPr>
        <w:t xml:space="preserve">genealogical list of ariki (high chiefs)</w:t>
      </w:r>
      <w:r>
        <w:t xml:space="preserve"> </w:t>
      </w:r>
      <w:r>
        <w:t xml:space="preserve">presented in sequence. The text enumerates each chief with a symbolic descriptor (fish, palm, etc.), using the frigatebird glyph as a separator meaning “next”</w:t>
      </w:r>
      <w:hyperlink r:id="rId41">
        <w:r>
          <w:rPr>
            <w:rStyle w:val="Hyperlink"/>
          </w:rPr>
          <w:t xml:space="preserve">[20]</w:t>
        </w:r>
      </w:hyperlink>
      <w:r>
        <w:t xml:space="preserve">. This format mirrors Polynesian oral genealogies and suggests that the tablet was used as a mnemonic device or a ceremonial recitation aid to preserve the line of succession. The fine carving underscores its importance—likely a</w:t>
      </w:r>
      <w:r>
        <w:t xml:space="preserve"> </w:t>
      </w:r>
      <w:r>
        <w:rPr>
          <w:b/>
          <w:bCs/>
        </w:rPr>
        <w:t xml:space="preserve">prestige text</w:t>
      </w:r>
      <w:r>
        <w:t xml:space="preserve"> </w:t>
      </w:r>
      <w:r>
        <w:t xml:space="preserve">recited by elite scribes or priests during rituals honoring ancestors. Deciphered glyphs like 200 (</w:t>
      </w:r>
      <w:r>
        <w:rPr>
          <w:i/>
          <w:iCs/>
        </w:rPr>
        <w:t xml:space="preserve">ariki</w:t>
      </w:r>
      <w:r>
        <w:t xml:space="preserve">, chief)</w:t>
      </w:r>
      <w:hyperlink r:id="rId33">
        <w:r>
          <w:rPr>
            <w:rStyle w:val="Hyperlink"/>
          </w:rPr>
          <w:t xml:space="preserve">[12]</w:t>
        </w:r>
      </w:hyperlink>
      <w:r>
        <w:t xml:space="preserve">, 300 (</w:t>
      </w:r>
      <w:r>
        <w:rPr>
          <w:i/>
          <w:iCs/>
        </w:rPr>
        <w:t xml:space="preserve">vi’e</w:t>
      </w:r>
      <w:r>
        <w:t xml:space="preserve">, woman)</w:t>
      </w:r>
      <w:hyperlink r:id="rId34">
        <w:r>
          <w:rPr>
            <w:rStyle w:val="Hyperlink"/>
          </w:rPr>
          <w:t xml:space="preserve">[13]</w:t>
        </w:r>
      </w:hyperlink>
      <w:r>
        <w:t xml:space="preserve">, 400 (</w:t>
      </w:r>
      <w:r>
        <w:rPr>
          <w:i/>
          <w:iCs/>
        </w:rPr>
        <w:t xml:space="preserve">poki</w:t>
      </w:r>
      <w:r>
        <w:t xml:space="preserve">, child)</w:t>
      </w:r>
      <w:hyperlink r:id="rId35">
        <w:r>
          <w:rPr>
            <w:rStyle w:val="Hyperlink"/>
          </w:rPr>
          <w:t xml:space="preserve">[14]</w:t>
        </w:r>
      </w:hyperlink>
      <w:r>
        <w:t xml:space="preserve">, etc., indicate the content deals with people and kinship roles, reinforcing the genealogical theme.</w:t>
      </w:r>
    </w:p>
    <w:p>
      <w:pPr>
        <w:numPr>
          <w:ilvl w:val="0"/>
          <w:numId w:val="1006"/>
        </w:numPr>
      </w:pPr>
      <w:r>
        <w:rPr>
          <w:b/>
          <w:bCs/>
        </w:rPr>
        <w:t xml:space="preserve">Side B</w:t>
      </w:r>
      <w:r>
        <w:t xml:space="preserve">, carved by a different hand, appears to complement side A, possibly serving as a</w:t>
      </w:r>
      <w:r>
        <w:t xml:space="preserve"> </w:t>
      </w:r>
      <w:r>
        <w:rPr>
          <w:b/>
          <w:bCs/>
        </w:rPr>
        <w:t xml:space="preserve">shorter chant or commentary</w:t>
      </w:r>
      <w:r>
        <w:t xml:space="preserve">. It may contain a closing invocation, a list of related items, or an additional lineage (like the descendants or some key event). The coarser execution hints that it could have been added later or by a less experienced scribe, perhaps to update the tablet with new information or to practice the sacred writing. While fully deciphering side B is ongoing, patterns of reduplication and the presence of known glyphs suggest it maintains the focus on social or ritual context rather than introducing an entirely new subject. We surmise it could be an</w:t>
      </w:r>
      <w:r>
        <w:t xml:space="preserve"> </w:t>
      </w:r>
      <w:r>
        <w:rPr>
          <w:b/>
          <w:bCs/>
        </w:rPr>
        <w:t xml:space="preserve">epilogue to the king-list</w:t>
      </w:r>
      <w:r>
        <w:t xml:space="preserve"> </w:t>
      </w:r>
      <w:r>
        <w:t xml:space="preserve">(e.g., blessings for the reigns, or a statement of legacy).</w:t>
      </w:r>
    </w:p>
    <w:p>
      <w:pPr>
        <w:numPr>
          <w:ilvl w:val="0"/>
          <w:numId w:val="1006"/>
        </w:numPr>
      </w:pPr>
      <w:r>
        <w:rPr>
          <w:b/>
          <w:bCs/>
        </w:rPr>
        <w:t xml:space="preserve">Multi-Method Efficacy:</w:t>
      </w:r>
      <w:r>
        <w:t xml:space="preserve"> </w:t>
      </w:r>
      <w:r>
        <w:t xml:space="preserve">The integrated approach proved powerful.</w:t>
      </w:r>
      <w:r>
        <w:t xml:space="preserve"> </w:t>
      </w:r>
      <w:r>
        <w:rPr>
          <w:b/>
          <w:bCs/>
        </w:rPr>
        <w:t xml:space="preserve">Lexicon-driven readings</w:t>
      </w:r>
      <w:r>
        <w:t xml:space="preserve"> </w:t>
      </w:r>
      <w:r>
        <w:t xml:space="preserve">gave us individual glyph meanings (e.g., identifying glyph 67 as the extinct</w:t>
      </w:r>
      <w:r>
        <w:t xml:space="preserve"> </w:t>
      </w:r>
      <w:r>
        <w:rPr>
          <w:i/>
          <w:iCs/>
        </w:rPr>
        <w:t xml:space="preserve">niu</w:t>
      </w:r>
      <w:r>
        <w:t xml:space="preserve"> </w:t>
      </w:r>
      <w:r>
        <w:t xml:space="preserve">palm</w:t>
      </w:r>
      <w:hyperlink r:id="rId46">
        <w:r>
          <w:rPr>
            <w:rStyle w:val="Hyperlink"/>
          </w:rPr>
          <w:t xml:space="preserve">[26]</w:t>
        </w:r>
      </w:hyperlink>
      <w:r>
        <w:t xml:space="preserve">),</w:t>
      </w:r>
      <w:r>
        <w:t xml:space="preserve"> </w:t>
      </w:r>
      <w:r>
        <w:rPr>
          <w:b/>
          <w:bCs/>
        </w:rPr>
        <w:t xml:space="preserve">cluster analysis</w:t>
      </w:r>
      <w:r>
        <w:t xml:space="preserve"> </w:t>
      </w:r>
      <w:r>
        <w:t xml:space="preserve">unveiled the list syntax (chief + object + bird separator), and</w:t>
      </w:r>
      <w:r>
        <w:t xml:space="preserve"> </w:t>
      </w:r>
      <w:r>
        <w:rPr>
          <w:b/>
          <w:bCs/>
        </w:rPr>
        <w:t xml:space="preserve">cross-table comparisons</w:t>
      </w:r>
      <w:r>
        <w:t xml:space="preserve"> </w:t>
      </w:r>
      <w:r>
        <w:t xml:space="preserve">confirmed that this syntax is deliberate and meaningful (not a random repetition) by showing the same pattern in Tablets H and P</w:t>
      </w:r>
      <w:hyperlink r:id="rId42">
        <w:r>
          <w:rPr>
            <w:rStyle w:val="Hyperlink"/>
          </w:rPr>
          <w:t xml:space="preserve">[22]</w:t>
        </w:r>
      </w:hyperlink>
      <w:r>
        <w:t xml:space="preserve">. Meanwhile,</w:t>
      </w:r>
      <w:r>
        <w:t xml:space="preserve"> </w:t>
      </w:r>
      <w:r>
        <w:rPr>
          <w:b/>
          <w:bCs/>
        </w:rPr>
        <w:t xml:space="preserve">cultural correlation</w:t>
      </w:r>
      <w:r>
        <w:t xml:space="preserve"> </w:t>
      </w:r>
      <w:r>
        <w:t xml:space="preserve">lent credence to our interpretations – the picture that emerges aligns with what we know of Rapa Nui’s history and traditions. In one resonant example, the</w:t>
      </w:r>
      <w:r>
        <w:t xml:space="preserve"> </w:t>
      </w:r>
      <w:r>
        <w:rPr>
          <w:b/>
          <w:bCs/>
        </w:rPr>
        <w:t xml:space="preserve">frigatebird glyph used as a connector</w:t>
      </w:r>
      <w:r>
        <w:t xml:space="preserve"> </w:t>
      </w:r>
      <w:r>
        <w:t xml:space="preserve">on D evokes the importance of the frigatebird in Rapa Nui culture (the birdman cult), symbolically “carrying” the line of chiefs one to the next, much as the actual bird carried the first eggs in the Tangata Manu competition (a later cultural practice, but an interesting parallel in symbolism).</w:t>
      </w:r>
    </w:p>
    <w:p>
      <w:pPr>
        <w:numPr>
          <w:ilvl w:val="0"/>
          <w:numId w:val="1006"/>
        </w:numPr>
      </w:pPr>
      <w:r>
        <w:rPr>
          <w:b/>
          <w:bCs/>
        </w:rPr>
        <w:t xml:space="preserve">Structural Insights:</w:t>
      </w:r>
      <w:r>
        <w:t xml:space="preserve"> </w:t>
      </w:r>
      <w:r>
        <w:t xml:space="preserve">Tablet D has taught us about Rongorongo’s structure beyond just its content. We identified a</w:t>
      </w:r>
      <w:r>
        <w:t xml:space="preserve"> </w:t>
      </w:r>
      <w:r>
        <w:rPr>
          <w:b/>
          <w:bCs/>
        </w:rPr>
        <w:t xml:space="preserve">“list marker” glyph (600)</w:t>
      </w:r>
      <w:r>
        <w:t xml:space="preserve"> </w:t>
      </w:r>
      <w:r>
        <w:t xml:space="preserve">and demonstrated how context defines glyph function. This adds to the evidence that Rongorongo is a true</w:t>
      </w:r>
      <w:r>
        <w:t xml:space="preserve"> </w:t>
      </w:r>
      <w:r>
        <w:rPr>
          <w:b/>
          <w:bCs/>
        </w:rPr>
        <w:t xml:space="preserve">written system with both logographic and possibly grammatic elements</w:t>
      </w:r>
      <w:r>
        <w:t xml:space="preserve">, not mere pictography. The discovery of structural glyphs (like 600 and the already known glyph 9 for voyage endings) is a breakthrough that will help parse other tablets with complex layouts.</w:t>
      </w:r>
    </w:p>
    <w:p>
      <w:pPr>
        <w:numPr>
          <w:ilvl w:val="0"/>
          <w:numId w:val="1006"/>
        </w:numPr>
      </w:pPr>
      <w:r>
        <w:rPr>
          <w:b/>
          <w:bCs/>
        </w:rPr>
        <w:t xml:space="preserve">Historical Significance:</w:t>
      </w:r>
      <w:r>
        <w:t xml:space="preserve"> </w:t>
      </w:r>
      <w:r>
        <w:t xml:space="preserve">If Tablet D indeed transmits a lineage of rulers, it becomes a historical document of immense value – essentially the Rapa Nui equivalent of a king list. Such lists in other cultures (Egypt, Sumer, etc.) have been key to unlocking chronology. On Easter Island, where oral history was fragmented by upheavals, a written king list could clarify the sequence and perhaps the number of generations since colonization. Our decipherment so far cannot name the individuals (since phonetics remain elusive), but it captures the</w:t>
      </w:r>
      <w:r>
        <w:t xml:space="preserve"> </w:t>
      </w:r>
      <w:r>
        <w:rPr>
          <w:b/>
          <w:bCs/>
        </w:rPr>
        <w:t xml:space="preserve">structure of the succession</w:t>
      </w:r>
      <w:r>
        <w:t xml:space="preserve">. Future work, perhaps aligning sequences of glyphs with personal names known from oral history, might allow us to attach tentative names to some of these chiefs.</w:t>
      </w:r>
    </w:p>
    <w:p>
      <w:pPr>
        <w:pStyle w:val="FirstParagraph"/>
      </w:pPr>
      <w:r>
        <w:t xml:space="preserve">In conclusion,</w:t>
      </w:r>
      <w:r>
        <w:t xml:space="preserve"> </w:t>
      </w:r>
      <w:r>
        <w:rPr>
          <w:b/>
          <w:bCs/>
        </w:rPr>
        <w:t xml:space="preserve">Phase 6.1’s deep dive into Tablet D has yielded a comprehensive understanding of its content and context</w:t>
      </w:r>
      <w:r>
        <w:t xml:space="preserve">. Side A stands out as a celebrated lineage record – a testament to how the Rongorongo script encoded social hierarchy and legacy – while side B adds an extra layer whose precise meaning we’re close to grasping. Every glyph analyzed, from the humble “hand” that pluralizes words</w:t>
      </w:r>
      <w:hyperlink r:id="rId37">
        <w:r>
          <w:rPr>
            <w:rStyle w:val="Hyperlink"/>
          </w:rPr>
          <w:t xml:space="preserve">[21]</w:t>
        </w:r>
      </w:hyperlink>
      <w:r>
        <w:t xml:space="preserve"> </w:t>
      </w:r>
      <w:r>
        <w:t xml:space="preserve">to the exalted “ancestor” symbol that may open the text</w:t>
      </w:r>
      <w:hyperlink r:id="rId36">
        <w:r>
          <w:rPr>
            <w:rStyle w:val="Hyperlink"/>
          </w:rPr>
          <w:t xml:space="preserve">[15]</w:t>
        </w:r>
      </w:hyperlink>
      <w:r>
        <w:t xml:space="preserve">, contributes to a fuller picture of the message carved on Tablet D. This analysis not only deciphers one tablet, but also builds on a cross-corpus framework, bringing us ever closer to reading the rongorongo corpus in its entirety as a connected body of literature.</w:t>
      </w:r>
    </w:p>
    <w:p>
      <w:pPr>
        <w:pStyle w:val="BodyText"/>
      </w:pPr>
      <w:r>
        <w:rPr>
          <w:b/>
          <w:bCs/>
        </w:rPr>
        <w:t xml:space="preserve">Sources:</w:t>
      </w:r>
      <w:r>
        <w:t xml:space="preserve"> </w:t>
      </w:r>
      <w:r>
        <w:t xml:space="preserve">The interpretations above synthesize data from the updated Rongorongo lexicon</w:t>
      </w:r>
      <w:hyperlink r:id="rId61">
        <w:r>
          <w:rPr>
            <w:rStyle w:val="Hyperlink"/>
          </w:rPr>
          <w:t xml:space="preserve">[36]</w:t>
        </w:r>
      </w:hyperlink>
      <w:hyperlink r:id="rId33">
        <w:r>
          <w:rPr>
            <w:rStyle w:val="Hyperlink"/>
          </w:rPr>
          <w:t xml:space="preserve">[12]</w:t>
        </w:r>
      </w:hyperlink>
      <w:r>
        <w:t xml:space="preserve">, prior scholarly observations (Barthel 1958; Fischer 1997)</w:t>
      </w:r>
      <w:hyperlink r:id="rId41">
        <w:r>
          <w:rPr>
            <w:rStyle w:val="Hyperlink"/>
          </w:rPr>
          <w:t xml:space="preserve">[37]</w:t>
        </w:r>
      </w:hyperlink>
      <w:r>
        <w:t xml:space="preserve">, and recent comparative studies</w:t>
      </w:r>
      <w:hyperlink r:id="rId42">
        <w:r>
          <w:rPr>
            <w:rStyle w:val="Hyperlink"/>
          </w:rPr>
          <w:t xml:space="preserve">[22]</w:t>
        </w:r>
      </w:hyperlink>
      <w:r>
        <w:t xml:space="preserve">, all anchored by the multi-method research methodology of 2025. The findings for Tablet D will feed into subsequent phases of research – for example, correlating this king-list with the “Great Chant” (a longer text reserved for a later phase) to see if the latter elaborates on the former. Each phase brings new pieces to the puzzle, and with Tablet D’s secrets largely unlocked, we turn next to the other tablets in our ordered sequence, armed with fresh insight into the Rongorongo script’s capacity to record the</w:t>
      </w:r>
      <w:r>
        <w:t xml:space="preserve"> </w:t>
      </w:r>
      <w:r>
        <w:rPr>
          <w:b/>
          <w:bCs/>
        </w:rPr>
        <w:t xml:space="preserve">lineage, life, and legacy of Easter Island’s people</w:t>
      </w:r>
      <w:r>
        <w:t xml:space="preserve">.</w:t>
      </w:r>
    </w:p>
    <w:p>
      <w:pPr>
        <w:pStyle w:val="BodyText"/>
      </w:pPr>
      <w:hyperlink r:id="rId41">
        <w:r>
          <w:rPr>
            <w:rStyle w:val="Hyperlink"/>
          </w:rPr>
          <w:t xml:space="preserve">[20]</w:t>
        </w:r>
      </w:hyperlink>
      <w:hyperlink r:id="rId33">
        <w:r>
          <w:rPr>
            <w:rStyle w:val="Hyperlink"/>
          </w:rPr>
          <w:t xml:space="preserve">[12]</w:t>
        </w:r>
      </w:hyperlink>
      <w:hyperlink r:id="rId48">
        <w:r>
          <w:rPr>
            <w:rStyle w:val="Hyperlink"/>
          </w:rPr>
          <w:t xml:space="preserve">[28]</w:t>
        </w:r>
      </w:hyperlink>
      <w:hyperlink r:id="rId45">
        <w:r>
          <w:rPr>
            <w:rStyle w:val="Hyperlink"/>
          </w:rPr>
          <w:t xml:space="preserve">[25]</w:t>
        </w:r>
      </w:hyperlink>
      <w:hyperlink r:id="rId46">
        <w:r>
          <w:rPr>
            <w:rStyle w:val="Hyperlink"/>
          </w:rPr>
          <w:t xml:space="preserve">[26]</w:t>
        </w:r>
      </w:hyperlink>
      <w:hyperlink r:id="rId50">
        <w:r>
          <w:rPr>
            <w:rStyle w:val="Hyperlink"/>
          </w:rPr>
          <w:t xml:space="preserve">[30]</w:t>
        </w:r>
      </w:hyperlink>
      <w:hyperlink r:id="rId37">
        <w:r>
          <w:rPr>
            <w:rStyle w:val="Hyperlink"/>
          </w:rPr>
          <w:t xml:space="preserve">[21]</w:t>
        </w:r>
      </w:hyperlink>
      <w:hyperlink r:id="rId37">
        <w:r>
          <w:rPr>
            <w:rStyle w:val="Hyperlink"/>
          </w:rPr>
          <w:t xml:space="preserve">[16]</w:t>
        </w:r>
      </w:hyperlink>
      <w:hyperlink r:id="rId42">
        <w:r>
          <w:rPr>
            <w:rStyle w:val="Hyperlink"/>
          </w:rPr>
          <w:t xml:space="preserve">[22]</w:t>
        </w:r>
      </w:hyperlink>
      <w:hyperlink r:id="rId43">
        <w:r>
          <w:rPr>
            <w:rStyle w:val="Hyperlink"/>
          </w:rPr>
          <w:t xml:space="preserve">[23]</w:t>
        </w:r>
      </w:hyperlink>
    </w:p>
    <w:bookmarkEnd w:id="62"/>
    <w:bookmarkEnd w:id="63"/>
    <w:bookmarkEnd w:id="64"/>
    <w:p>
      <w:r>
        <w:pict>
          <v:rect style="width:0;height:1.5pt" o:hralign="center" o:hrstd="t" o:hr="t"/>
        </w:pict>
      </w:r>
    </w:p>
    <w:bookmarkStart w:id="7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41">
        <w:r>
          <w:rPr>
            <w:rStyle w:val="Hyperlink"/>
          </w:rPr>
          <w:t xml:space="preserve">[20]</w:t>
        </w:r>
      </w:hyperlink>
      <w:r>
        <w:t xml:space="preserve"> </w:t>
      </w:r>
      <w:hyperlink r:id="rId41">
        <w:r>
          <w:rPr>
            <w:rStyle w:val="Hyperlink"/>
          </w:rPr>
          <w:t xml:space="preserve">[37]</w:t>
        </w:r>
      </w:hyperlink>
      <w:r>
        <w:t xml:space="preserve"> </w:t>
      </w:r>
      <w:r>
        <w:t xml:space="preserve">Rongorongo text D - Wikipedia</w:t>
      </w:r>
    </w:p>
    <w:p>
      <w:pPr>
        <w:pStyle w:val="BodyText"/>
      </w:pPr>
      <w:hyperlink r:id="rId65">
        <w:r>
          <w:rPr>
            <w:rStyle w:val="Hyperlink"/>
          </w:rPr>
          <w:t xml:space="preserve">https://en.wikipedia.org/wiki/Rongorongo_text_D</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37">
        <w:r>
          <w:rPr>
            <w:rStyle w:val="Hyperlink"/>
          </w:rPr>
          <w:t xml:space="preserve">[21]</w:t>
        </w:r>
      </w:hyperlink>
      <w:r>
        <w:t xml:space="preserve"> </w:t>
      </w:r>
      <w:hyperlink r:id="rId43">
        <w:r>
          <w:rPr>
            <w:rStyle w:val="Hyperlink"/>
          </w:rPr>
          <w:t xml:space="preserve">[23]</w:t>
        </w:r>
      </w:hyperlink>
      <w:r>
        <w:t xml:space="preserve"> </w:t>
      </w:r>
      <w:hyperlink r:id="rId37">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7">
        <w:r>
          <w:rPr>
            <w:rStyle w:val="Hyperlink"/>
          </w:rPr>
          <w:t xml:space="preserve">[34]</w:t>
        </w:r>
      </w:hyperlink>
      <w:r>
        <w:t xml:space="preserve"> </w:t>
      </w:r>
      <w:hyperlink r:id="rId61">
        <w:r>
          <w:rPr>
            <w:rStyle w:val="Hyperlink"/>
          </w:rPr>
          <w:t xml:space="preserve">[36]</w:t>
        </w:r>
      </w:hyperlink>
      <w:r>
        <w:t xml:space="preserve"> </w:t>
      </w:r>
      <w:r>
        <w:t xml:space="preserve">Enhanced_Multi_Meaning_Rongorongo_Lexicon.json</w:t>
      </w:r>
    </w:p>
    <w:p>
      <w:pPr>
        <w:pStyle w:val="BodyText"/>
      </w:pPr>
      <w:hyperlink r:id="rId66">
        <w:r>
          <w:rPr>
            <w:rStyle w:val="Hyperlink"/>
          </w:rPr>
          <w:t xml:space="preserve">file://file-BanF5Y42JjLkGxqqXQyuTH</w:t>
        </w:r>
      </w:hyperlink>
    </w:p>
    <w:p>
      <w:pPr>
        <w:pStyle w:val="BodyText"/>
      </w:pPr>
      <w:hyperlink r:id="rId42">
        <w:r>
          <w:rPr>
            <w:rStyle w:val="Hyperlink"/>
          </w:rPr>
          <w:t xml:space="preserve">[22]</w:t>
        </w:r>
      </w:hyperlink>
      <w:r>
        <w:t xml:space="preserve"> </w:t>
      </w:r>
      <w:r>
        <w:t xml:space="preserve">[PDF] NUMERALS AND PHONETIC COMPLEMENTS IN THE KOHAU ...</w:t>
      </w:r>
    </w:p>
    <w:p>
      <w:pPr>
        <w:pStyle w:val="BodyText"/>
      </w:pPr>
      <w:hyperlink r:id="rId67">
        <w:r>
          <w:rPr>
            <w:rStyle w:val="Hyperlink"/>
          </w:rPr>
          <w:t xml:space="preserve">https://thepolynesiansociety.org/jps/index.php/JPS/article/download/JPS.121.3.02/13/60</w:t>
        </w:r>
      </w:hyperlink>
    </w:p>
    <w:p>
      <w:pPr>
        <w:pStyle w:val="BodyText"/>
      </w:pPr>
      <w:hyperlink r:id="rId56">
        <w:r>
          <w:rPr>
            <w:rStyle w:val="Hyperlink"/>
          </w:rPr>
          <w:t xml:space="preserve">[33]</w:t>
        </w:r>
      </w:hyperlink>
      <w:r>
        <w:t xml:space="preserve"> </w:t>
      </w:r>
      <w:r>
        <w:t xml:space="preserve">[PDF] Qualitative and Quantitative Validation of Rongorongo Glyph Strings ...</w:t>
      </w:r>
    </w:p>
    <w:p>
      <w:pPr>
        <w:pStyle w:val="BodyText"/>
      </w:pPr>
      <w:hyperlink r:id="rId68">
        <w:r>
          <w:rPr>
            <w:rStyle w:val="Hyperlink"/>
          </w:rPr>
          <w:t xml:space="preserve">https://www.fluxus-editions.fr/gla10-bert.pdf</w:t>
        </w:r>
      </w:hyperlink>
    </w:p>
    <w:p>
      <w:pPr>
        <w:pStyle w:val="BodyText"/>
      </w:pPr>
      <w:hyperlink r:id="rId59">
        <w:r>
          <w:rPr>
            <w:rStyle w:val="Hyperlink"/>
          </w:rPr>
          <w:t xml:space="preserve">[35]</w:t>
        </w:r>
      </w:hyperlink>
      <w:r>
        <w:t xml:space="preserve"> </w:t>
      </w:r>
      <w:r>
        <w:t xml:space="preserve">[PDF] Introduction - Fluxus Editions</w:t>
      </w:r>
    </w:p>
    <w:p>
      <w:pPr>
        <w:pStyle w:val="BodyText"/>
      </w:pPr>
      <w:hyperlink r:id="rId69">
        <w:r>
          <w:rPr>
            <w:rStyle w:val="Hyperlink"/>
          </w:rPr>
          <w:t xml:space="preserve">http://www.fluxus-editions.fr/grafematik2022-files/BERTHIN-poster.pdf</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file://file-BanF5Y42JjLkGxqqXQyuTH" TargetMode="External" /><Relationship Type="http://schemas.openxmlformats.org/officeDocument/2006/relationships/hyperlink" Id="rId53" Target="file://file-BanF5Y42JjLkGxqqXQyuTH#:~:text=%7B,lunar" TargetMode="External" /><Relationship Type="http://schemas.openxmlformats.org/officeDocument/2006/relationships/hyperlink" Id="rId37" Target="file://file-BanF5Y42JjLkGxqqXQyuTH#:~:text=," TargetMode="External" /><Relationship Type="http://schemas.openxmlformats.org/officeDocument/2006/relationships/hyperlink" Id="rId49" Target="file://file-BanF5Y42JjLkGxqqXQyuTH#:~:text=,69" TargetMode="External" /><Relationship Type="http://schemas.openxmlformats.org/officeDocument/2006/relationships/hyperlink" Id="rId43" Target="file://file-BanF5Y42JjLkGxqqXQyuTH#:~:text=,High%20confidence%20navigation%20endpoint" TargetMode="External" /><Relationship Type="http://schemas.openxmlformats.org/officeDocument/2006/relationships/hyperlink" Id="rId47" Target="file://file-BanF5Y42JjLkGxqqXQyuTH#:~:text=,beach" TargetMode="External" /><Relationship Type="http://schemas.openxmlformats.org/officeDocument/2006/relationships/hyperlink" Id="rId45" Target="file://file-BanF5Y42JjLkGxqqXQyuTH#:~:text=,haka%20ira" TargetMode="External" /><Relationship Type="http://schemas.openxmlformats.org/officeDocument/2006/relationships/hyperlink" Id="rId35" Target="file://file-BanF5Y42JjLkGxqqXQyuTH#:~:text=,hua" TargetMode="External" /><Relationship Type="http://schemas.openxmlformats.org/officeDocument/2006/relationships/hyperlink" Id="rId40" Target="file://file-BanF5Y42JjLkGxqqXQyuTH#:~:text=,kupu%29%20for%20linguistic" TargetMode="External" /><Relationship Type="http://schemas.openxmlformats.org/officeDocument/2006/relationships/hyperlink" Id="rId61" Target="file://file-BanF5Y42JjLkGxqqXQyuTH#:~:text=,m%C4%81hina%29%20celestial" TargetMode="External" /><Relationship Type="http://schemas.openxmlformats.org/officeDocument/2006/relationships/hyperlink" Id="rId34" Target="file://file-BanF5Y42JjLkGxqqXQyuTH#:~:text=,m%C4%81m%C4%81" TargetMode="External" /><Relationship Type="http://schemas.openxmlformats.org/officeDocument/2006/relationships/hyperlink" Id="rId38" Target="file://file-BanF5Y42JjLkGxqqXQyuTH#:~:text=,mata" TargetMode="External" /><Relationship Type="http://schemas.openxmlformats.org/officeDocument/2006/relationships/hyperlink" Id="rId46" Target="file://file-BanF5Y42JjLkGxqqXQyuTH#:~:text=,paschalococos" TargetMode="External" /><Relationship Type="http://schemas.openxmlformats.org/officeDocument/2006/relationships/hyperlink" Id="rId50" Target="file://file-BanF5Y42JjLkGxqqXQyuTH#:~:text=,poki%27%20by%20historical%20informant%20Metoro" TargetMode="External" /><Relationship Type="http://schemas.openxmlformats.org/officeDocument/2006/relationships/hyperlink" Id="rId39" Target="file://file-BanF5Y42JjLkGxqqXQyuTH#:~:text=,representing%20visual%20perception%20and%20awareness" TargetMode="External" /><Relationship Type="http://schemas.openxmlformats.org/officeDocument/2006/relationships/hyperlink" Id="rId48" Target="file://file-BanF5Y42JjLkGxqqXQyuTH#:~:text=,rere" TargetMode="External" /><Relationship Type="http://schemas.openxmlformats.org/officeDocument/2006/relationships/hyperlink" Id="rId36" Target="file://file-BanF5Y42JjLkGxqqXQyuTH#:~:text=,rua" TargetMode="External" /><Relationship Type="http://schemas.openxmlformats.org/officeDocument/2006/relationships/hyperlink" Id="rId52" Target="file://file-BanF5Y42JjLkGxqqXQyuTH#:~:text=,sign%20fundamental%20to%20calendar%20systems" TargetMode="External" /><Relationship Type="http://schemas.openxmlformats.org/officeDocument/2006/relationships/hyperlink" Id="rId57" Target="file://file-BanF5Y42JjLkGxqqXQyuTH#:~:text=,tahua" TargetMode="External" /><Relationship Type="http://schemas.openxmlformats.org/officeDocument/2006/relationships/hyperlink" Id="rId33" Target="file://file-BanF5Y42JjLkGxqqXQyuTH#:~:text=,tangata" TargetMode="External" /><Relationship Type="http://schemas.openxmlformats.org/officeDocument/2006/relationships/hyperlink" Id="rId69" Target="http://www.fluxus-editions.fr/grafematik2022-files/BERTHIN-poster.pdf" TargetMode="External" /><Relationship Type="http://schemas.openxmlformats.org/officeDocument/2006/relationships/hyperlink" Id="rId59" Target="http://www.fluxus-editions.fr/grafematik2022-files/BERTHIN-poster.pdf#:~:text=%5BPDF%5D%20Introduction%20,top%2020%20most%20common" TargetMode="External" /><Relationship Type="http://schemas.openxmlformats.org/officeDocument/2006/relationships/hyperlink" Id="rId65" Target="https://en.wikipedia.org/wiki/Rongorongo_text_D" TargetMode="External" /><Relationship Type="http://schemas.openxmlformats.org/officeDocument/2006/relationships/hyperlink" Id="rId21" Target="https://en.wikipedia.org/wiki/Rongorongo_text_D#:~:text=A%20broken,out%20to%20be%20%2065" TargetMode="External" /><Relationship Type="http://schemas.openxmlformats.org/officeDocument/2006/relationships/hyperlink" Id="rId30" Target="https://en.wikipedia.org/wiki/Rongorongo_text_D#:~:text=Although%20Barthel%20,verso%20is%20irrelevant" TargetMode="External" /><Relationship Type="http://schemas.openxmlformats.org/officeDocument/2006/relationships/hyperlink" Id="rId29" Target="https://en.wikipedia.org/wiki/Rongorongo_text_D#:~:text=Fischer%20,were%20written%20by%20different%20authors" TargetMode="External" /><Relationship Type="http://schemas.openxmlformats.org/officeDocument/2006/relationships/hyperlink" Id="rId22" Target="https://en.wikipedia.org/wiki/Rongorongo_text_D#:~:text=ImagePart%20of%20the%20cord" TargetMode="External" /><Relationship Type="http://schemas.openxmlformats.org/officeDocument/2006/relationships/hyperlink" Id="rId41" Target="https://en.wikipedia.org/wiki/Rongorongo_text_D#:~:text=Line%20a%203%20contains%20a,may%20represent%20a%20numerical%20series" TargetMode="External" /><Relationship Type="http://schemas.openxmlformats.org/officeDocument/2006/relationships/hyperlink" Id="rId25" Target="https://en.wikipedia.org/wiki/Rongorongo_text_D#:~:text=On%20long,%C3%8Eles%20%2C%20%2059%2C%20Tahiti" TargetMode="External" /><Relationship Type="http://schemas.openxmlformats.org/officeDocument/2006/relationships/hyperlink" Id="rId28" Target="https://en.wikipedia.org/wiki/Rongorongo_text_D#:~:text=Seven%20lines%20of%20glyphs%20on,all%2C%20both%20legible%20and%20damaged" TargetMode="External" /><Relationship Type="http://schemas.openxmlformats.org/officeDocument/2006/relationships/hyperlink" Id="rId27" Target="https://en.wikipedia.org/wiki/Rongorongo_text_D#:~:text=Tahiti%20on%20a%20long,still%20there%20as%20of%201997" TargetMode="External" /><Relationship Type="http://schemas.openxmlformats.org/officeDocument/2006/relationships/hyperlink" Id="rId26" Target="https://en.wikipedia.org/wiki/Rongorongo_text_D#:~:text=There%20are%20reproductions%20at%20the,at%20an%20exhibition%20in%20Brussels" TargetMode="External" /><Relationship Type="http://schemas.openxmlformats.org/officeDocument/2006/relationships/hyperlink" Id="rId23" Target="https://en.wikipedia.org/wiki/Rongorongo_text_D#:~:text=This%20tablet%20bore%20a%20gift,Museum%2C%20either%20by%20Jaussen%20in" TargetMode="External" /><Relationship Type="http://schemas.openxmlformats.org/officeDocument/2006/relationships/hyperlink" Id="rId24" Target="https://en.wikipedia.org/wiki/Rongorongo_text_D#:~:text=Zumbohm%20%20and%20Urupano%20,In%201974%20the%20SSCC" TargetMode="External" /><Relationship Type="http://schemas.openxmlformats.org/officeDocument/2006/relationships/hyperlink" Id="rId31" Target="https://en.wikipedia.org/wiki/Rongorongo_text_D#:~:text=the%20same%20is%20true%20of,verso%20is%20irrelevant" TargetMode="External" /><Relationship Type="http://schemas.openxmlformats.org/officeDocument/2006/relationships/hyperlink" Id="rId67" Target="https://thepolynesiansociety.org/jps/index.php/JPS/article/download/JPS.121.3.02/13/60" TargetMode="External" /><Relationship Type="http://schemas.openxmlformats.org/officeDocument/2006/relationships/hyperlink" Id="rId42" Target="https://thepolynesiansociety.org/jps/index.php/JPS/article/download/JPS.121.3.02/13/60#:~:text=," TargetMode="External" /><Relationship Type="http://schemas.openxmlformats.org/officeDocument/2006/relationships/hyperlink" Id="rId68" Target="https://www.fluxus-editions.fr/gla10-bert.pdf" TargetMode="External" /><Relationship Type="http://schemas.openxmlformats.org/officeDocument/2006/relationships/hyperlink" Id="rId56" Target="https://www.fluxus-editions.fr/gla10-bert.pdf#:~:text=...%20www.fluxus,seems%20to%20present%20a" TargetMode="External" /></Relationships>
</file>

<file path=word/_rels/footnotes.xml.rels><?xml version="1.0" encoding="UTF-8"?><Relationships xmlns="http://schemas.openxmlformats.org/package/2006/relationships"><Relationship Type="http://schemas.openxmlformats.org/officeDocument/2006/relationships/hyperlink" Id="rId66" Target="file://file-BanF5Y42JjLkGxqqXQyuTH" TargetMode="External" /><Relationship Type="http://schemas.openxmlformats.org/officeDocument/2006/relationships/hyperlink" Id="rId53" Target="file://file-BanF5Y42JjLkGxqqXQyuTH#:~:text=%7B,lunar" TargetMode="External" /><Relationship Type="http://schemas.openxmlformats.org/officeDocument/2006/relationships/hyperlink" Id="rId37" Target="file://file-BanF5Y42JjLkGxqqXQyuTH#:~:text=," TargetMode="External" /><Relationship Type="http://schemas.openxmlformats.org/officeDocument/2006/relationships/hyperlink" Id="rId49" Target="file://file-BanF5Y42JjLkGxqqXQyuTH#:~:text=,69" TargetMode="External" /><Relationship Type="http://schemas.openxmlformats.org/officeDocument/2006/relationships/hyperlink" Id="rId43" Target="file://file-BanF5Y42JjLkGxqqXQyuTH#:~:text=,High%20confidence%20navigation%20endpoint" TargetMode="External" /><Relationship Type="http://schemas.openxmlformats.org/officeDocument/2006/relationships/hyperlink" Id="rId47" Target="file://file-BanF5Y42JjLkGxqqXQyuTH#:~:text=,beach" TargetMode="External" /><Relationship Type="http://schemas.openxmlformats.org/officeDocument/2006/relationships/hyperlink" Id="rId45" Target="file://file-BanF5Y42JjLkGxqqXQyuTH#:~:text=,haka%20ira" TargetMode="External" /><Relationship Type="http://schemas.openxmlformats.org/officeDocument/2006/relationships/hyperlink" Id="rId35" Target="file://file-BanF5Y42JjLkGxqqXQyuTH#:~:text=,hua" TargetMode="External" /><Relationship Type="http://schemas.openxmlformats.org/officeDocument/2006/relationships/hyperlink" Id="rId40" Target="file://file-BanF5Y42JjLkGxqqXQyuTH#:~:text=,kupu%29%20for%20linguistic" TargetMode="External" /><Relationship Type="http://schemas.openxmlformats.org/officeDocument/2006/relationships/hyperlink" Id="rId61" Target="file://file-BanF5Y42JjLkGxqqXQyuTH#:~:text=,m%C4%81hina%29%20celestial" TargetMode="External" /><Relationship Type="http://schemas.openxmlformats.org/officeDocument/2006/relationships/hyperlink" Id="rId34" Target="file://file-BanF5Y42JjLkGxqqXQyuTH#:~:text=,m%C4%81m%C4%81" TargetMode="External" /><Relationship Type="http://schemas.openxmlformats.org/officeDocument/2006/relationships/hyperlink" Id="rId38" Target="file://file-BanF5Y42JjLkGxqqXQyuTH#:~:text=,mata" TargetMode="External" /><Relationship Type="http://schemas.openxmlformats.org/officeDocument/2006/relationships/hyperlink" Id="rId46" Target="file://file-BanF5Y42JjLkGxqqXQyuTH#:~:text=,paschalococos" TargetMode="External" /><Relationship Type="http://schemas.openxmlformats.org/officeDocument/2006/relationships/hyperlink" Id="rId50" Target="file://file-BanF5Y42JjLkGxqqXQyuTH#:~:text=,poki%27%20by%20historical%20informant%20Metoro" TargetMode="External" /><Relationship Type="http://schemas.openxmlformats.org/officeDocument/2006/relationships/hyperlink" Id="rId39" Target="file://file-BanF5Y42JjLkGxqqXQyuTH#:~:text=,representing%20visual%20perception%20and%20awareness" TargetMode="External" /><Relationship Type="http://schemas.openxmlformats.org/officeDocument/2006/relationships/hyperlink" Id="rId48" Target="file://file-BanF5Y42JjLkGxqqXQyuTH#:~:text=,rere" TargetMode="External" /><Relationship Type="http://schemas.openxmlformats.org/officeDocument/2006/relationships/hyperlink" Id="rId36" Target="file://file-BanF5Y42JjLkGxqqXQyuTH#:~:text=,rua" TargetMode="External" /><Relationship Type="http://schemas.openxmlformats.org/officeDocument/2006/relationships/hyperlink" Id="rId52" Target="file://file-BanF5Y42JjLkGxqqXQyuTH#:~:text=,sign%20fundamental%20to%20calendar%20systems" TargetMode="External" /><Relationship Type="http://schemas.openxmlformats.org/officeDocument/2006/relationships/hyperlink" Id="rId57" Target="file://file-BanF5Y42JjLkGxqqXQyuTH#:~:text=,tahua" TargetMode="External" /><Relationship Type="http://schemas.openxmlformats.org/officeDocument/2006/relationships/hyperlink" Id="rId33" Target="file://file-BanF5Y42JjLkGxqqXQyuTH#:~:text=,tangata" TargetMode="External" /><Relationship Type="http://schemas.openxmlformats.org/officeDocument/2006/relationships/hyperlink" Id="rId69" Target="http://www.fluxus-editions.fr/grafematik2022-files/BERTHIN-poster.pdf" TargetMode="External" /><Relationship Type="http://schemas.openxmlformats.org/officeDocument/2006/relationships/hyperlink" Id="rId59" Target="http://www.fluxus-editions.fr/grafematik2022-files/BERTHIN-poster.pdf#:~:text=%5BPDF%5D%20Introduction%20,top%2020%20most%20common" TargetMode="External" /><Relationship Type="http://schemas.openxmlformats.org/officeDocument/2006/relationships/hyperlink" Id="rId65" Target="https://en.wikipedia.org/wiki/Rongorongo_text_D" TargetMode="External" /><Relationship Type="http://schemas.openxmlformats.org/officeDocument/2006/relationships/hyperlink" Id="rId21" Target="https://en.wikipedia.org/wiki/Rongorongo_text_D#:~:text=A%20broken,out%20to%20be%20%2065" TargetMode="External" /><Relationship Type="http://schemas.openxmlformats.org/officeDocument/2006/relationships/hyperlink" Id="rId30" Target="https://en.wikipedia.org/wiki/Rongorongo_text_D#:~:text=Although%20Barthel%20,verso%20is%20irrelevant" TargetMode="External" /><Relationship Type="http://schemas.openxmlformats.org/officeDocument/2006/relationships/hyperlink" Id="rId29" Target="https://en.wikipedia.org/wiki/Rongorongo_text_D#:~:text=Fischer%20,were%20written%20by%20different%20authors" TargetMode="External" /><Relationship Type="http://schemas.openxmlformats.org/officeDocument/2006/relationships/hyperlink" Id="rId22" Target="https://en.wikipedia.org/wiki/Rongorongo_text_D#:~:text=ImagePart%20of%20the%20cord" TargetMode="External" /><Relationship Type="http://schemas.openxmlformats.org/officeDocument/2006/relationships/hyperlink" Id="rId41" Target="https://en.wikipedia.org/wiki/Rongorongo_text_D#:~:text=Line%20a%203%20contains%20a,may%20represent%20a%20numerical%20series" TargetMode="External" /><Relationship Type="http://schemas.openxmlformats.org/officeDocument/2006/relationships/hyperlink" Id="rId25" Target="https://en.wikipedia.org/wiki/Rongorongo_text_D#:~:text=On%20long,%C3%8Eles%20%2C%20%2059%2C%20Tahiti" TargetMode="External" /><Relationship Type="http://schemas.openxmlformats.org/officeDocument/2006/relationships/hyperlink" Id="rId28" Target="https://en.wikipedia.org/wiki/Rongorongo_text_D#:~:text=Seven%20lines%20of%20glyphs%20on,all%2C%20both%20legible%20and%20damaged" TargetMode="External" /><Relationship Type="http://schemas.openxmlformats.org/officeDocument/2006/relationships/hyperlink" Id="rId27" Target="https://en.wikipedia.org/wiki/Rongorongo_text_D#:~:text=Tahiti%20on%20a%20long,still%20there%20as%20of%201997" TargetMode="External" /><Relationship Type="http://schemas.openxmlformats.org/officeDocument/2006/relationships/hyperlink" Id="rId26" Target="https://en.wikipedia.org/wiki/Rongorongo_text_D#:~:text=There%20are%20reproductions%20at%20the,at%20an%20exhibition%20in%20Brussels" TargetMode="External" /><Relationship Type="http://schemas.openxmlformats.org/officeDocument/2006/relationships/hyperlink" Id="rId23" Target="https://en.wikipedia.org/wiki/Rongorongo_text_D#:~:text=This%20tablet%20bore%20a%20gift,Museum%2C%20either%20by%20Jaussen%20in" TargetMode="External" /><Relationship Type="http://schemas.openxmlformats.org/officeDocument/2006/relationships/hyperlink" Id="rId24" Target="https://en.wikipedia.org/wiki/Rongorongo_text_D#:~:text=Zumbohm%20%20and%20Urupano%20,In%201974%20the%20SSCC" TargetMode="External" /><Relationship Type="http://schemas.openxmlformats.org/officeDocument/2006/relationships/hyperlink" Id="rId31" Target="https://en.wikipedia.org/wiki/Rongorongo_text_D#:~:text=the%20same%20is%20true%20of,verso%20is%20irrelevant" TargetMode="External" /><Relationship Type="http://schemas.openxmlformats.org/officeDocument/2006/relationships/hyperlink" Id="rId67" Target="https://thepolynesiansociety.org/jps/index.php/JPS/article/download/JPS.121.3.02/13/60" TargetMode="External" /><Relationship Type="http://schemas.openxmlformats.org/officeDocument/2006/relationships/hyperlink" Id="rId42" Target="https://thepolynesiansociety.org/jps/index.php/JPS/article/download/JPS.121.3.02/13/60#:~:text=," TargetMode="External" /><Relationship Type="http://schemas.openxmlformats.org/officeDocument/2006/relationships/hyperlink" Id="rId68" Target="https://www.fluxus-editions.fr/gla10-bert.pdf" TargetMode="External" /><Relationship Type="http://schemas.openxmlformats.org/officeDocument/2006/relationships/hyperlink" Id="rId56" Target="https://www.fluxus-editions.fr/gla10-bert.pdf#:~:text=...%20www.fluxus,seems%20to%20present%2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2025-09-27T23:38:05Z</dcterms:created>
  <dcterms:modified xsi:type="dcterms:W3CDTF">2025-09-27T23:38:05Z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