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5287aa6a39884100ed19bc3255640aa0147f402"/>
    <w:p>
      <w:pPr>
        <w:pStyle w:val="Heading1"/>
      </w:pPr>
      <w:r>
        <w:t xml:space="preserve">Phase 7 Analysis: Statistical Patterns and the “Great Chant” of Rongorongo</w:t>
      </w:r>
    </w:p>
    <w:p>
      <w:pPr>
        <w:pStyle w:val="FirstParagraph"/>
      </w:pPr>
      <w:r>
        <w:t xml:space="preserve">In this phase, we analyze the so-called</w:t>
      </w:r>
      <w:r>
        <w:t xml:space="preserve"> </w:t>
      </w:r>
      <w:r>
        <w:rPr>
          <w:b/>
          <w:bCs/>
        </w:rPr>
        <w:t xml:space="preserve">“Great Chant”</w:t>
      </w:r>
      <w:r>
        <w:t xml:space="preserve"> </w:t>
      </w:r>
      <w:r>
        <w:t xml:space="preserve">– a lengthy Rongorongo text cycle preserved across multiple tablets – using frequency statistics and a multi-pronged approach. We let patterns emerge naturally (no forced readings), and cross-check findings with prior research and Rapa Nui cultural context.</w:t>
      </w:r>
    </w:p>
    <w:bookmarkStart w:id="26" w:name="frequency-distribution-and-zipfs-law"/>
    <w:p>
      <w:pPr>
        <w:pStyle w:val="Heading2"/>
      </w:pPr>
      <w:r>
        <w:t xml:space="preserve">Frequency Distribution and Zipf’s Law</w:t>
      </w:r>
    </w:p>
    <w:p>
      <w:pPr>
        <w:pStyle w:val="FirstParagraph"/>
      </w:pPr>
      <w:r>
        <w:rPr>
          <w:i/>
          <w:iCs/>
        </w:rPr>
        <w:t xml:space="preserve">Figure: Log–log plot of glyph frequency vs. rank, showing an approximately linear trend consistent with Zipf’s law.</w:t>
      </w:r>
    </w:p>
    <w:p>
      <w:pPr>
        <w:pStyle w:val="BodyText"/>
      </w:pPr>
      <w:r>
        <w:t xml:space="preserve">A broad frequency analysis of Rongorongo glyphs reveals a</w:t>
      </w:r>
      <w:r>
        <w:t xml:space="preserve"> </w:t>
      </w:r>
      <w:r>
        <w:rPr>
          <w:b/>
          <w:bCs/>
        </w:rPr>
        <w:t xml:space="preserve">highly skewed distribution</w:t>
      </w:r>
      <w:r>
        <w:t xml:space="preserve">: a small number of glyphs appear very frequently, whereas many others are rare. This is exactly what we expect in natural language texts per</w:t>
      </w:r>
      <w:r>
        <w:t xml:space="preserve"> </w:t>
      </w:r>
      <w:r>
        <w:rPr>
          <w:b/>
          <w:bCs/>
        </w:rPr>
        <w:t xml:space="preserve">Zipf’s law</w:t>
      </w:r>
      <w:r>
        <w:t xml:space="preserve"> </w:t>
      </w:r>
      <w:r>
        <w:t xml:space="preserve">– common function words or morphemes dominate, providing statistical validation that Rongorongo encodes language rather than random symbols. For instance, the</w:t>
      </w:r>
      <w:r>
        <w:t xml:space="preserve"> </w:t>
      </w:r>
      <w:r>
        <w:rPr>
          <w:b/>
          <w:bCs/>
        </w:rPr>
        <w:t xml:space="preserve">most frequent glyph</w:t>
      </w:r>
      <w:r>
        <w:t xml:space="preserve"> </w:t>
      </w:r>
      <w:r>
        <w:t xml:space="preserve">in the corpus is</w:t>
      </w:r>
      <w:r>
        <w:t xml:space="preserve"> </w:t>
      </w:r>
      <w:r>
        <w:rPr>
          <w:b/>
          <w:bCs/>
        </w:rPr>
        <w:t xml:space="preserve">Glyph 6</w:t>
      </w:r>
      <w:r>
        <w:t xml:space="preserve">, appearing</w:t>
      </w:r>
      <w:r>
        <w:t xml:space="preserve"> </w:t>
      </w:r>
      <w:r>
        <w:rPr>
          <w:b/>
          <w:bCs/>
        </w:rPr>
        <w:t xml:space="preserve">156 times</w:t>
      </w:r>
      <w:hyperlink r:id="rId21">
        <w:r>
          <w:rPr>
            <w:rStyle w:val="Hyperlink"/>
          </w:rPr>
          <w:t xml:space="preserve">[1]</w:t>
        </w:r>
      </w:hyperlink>
      <w:r>
        <w:t xml:space="preserve">. Glyph 6 is interpreted as a</w:t>
      </w:r>
      <w:r>
        <w:t xml:space="preserve"> </w:t>
      </w:r>
      <w:r>
        <w:rPr>
          <w:i/>
          <w:iCs/>
        </w:rPr>
        <w:t xml:space="preserve">“hand” symbol used as a plural or collective marker</w:t>
      </w:r>
      <w:r>
        <w:t xml:space="preserve">, analogous to a pluralizing suffix or frequent verb (it carries meanings like</w:t>
      </w:r>
      <w:r>
        <w:t xml:space="preserve"> </w:t>
      </w:r>
      <w:r>
        <w:rPr>
          <w:b/>
          <w:bCs/>
        </w:rPr>
        <w:t xml:space="preserve">“to take, grasp”</w:t>
      </w:r>
      <w:r>
        <w:t xml:space="preserve"> </w:t>
      </w:r>
      <w:r>
        <w:t xml:space="preserve">and a grammatical</w:t>
      </w:r>
      <w:r>
        <w:t xml:space="preserve"> </w:t>
      </w:r>
      <w:r>
        <w:rPr>
          <w:b/>
          <w:bCs/>
        </w:rPr>
        <w:t xml:space="preserve">“many”</w:t>
      </w:r>
      <w:r>
        <w:t xml:space="preserve"> </w:t>
      </w:r>
      <w:r>
        <w:t xml:space="preserve">indicator</w:t>
      </w:r>
      <w:hyperlink r:id="rId21">
        <w:r>
          <w:rPr>
            <w:rStyle w:val="Hyperlink"/>
          </w:rPr>
          <w:t xml:space="preserve">[1]</w:t>
        </w:r>
      </w:hyperlink>
      <w:hyperlink r:id="rId22">
        <w:r>
          <w:rPr>
            <w:rStyle w:val="Hyperlink"/>
          </w:rPr>
          <w:t xml:space="preserve">[2]</w:t>
        </w:r>
      </w:hyperlink>
      <w:r>
        <w:t xml:space="preserve">). Other</w:t>
      </w:r>
      <w:r>
        <w:t xml:space="preserve"> </w:t>
      </w:r>
      <w:r>
        <w:rPr>
          <w:b/>
          <w:bCs/>
        </w:rPr>
        <w:t xml:space="preserve">high-frequency glyphs</w:t>
      </w:r>
      <w:r>
        <w:t xml:space="preserve"> </w:t>
      </w:r>
      <w:r>
        <w:t xml:space="preserve">include:</w:t>
      </w:r>
    </w:p>
    <w:p>
      <w:pPr>
        <w:pStyle w:val="Compact"/>
        <w:numPr>
          <w:ilvl w:val="0"/>
          <w:numId w:val="1001"/>
        </w:numPr>
      </w:pPr>
      <w:r>
        <w:rPr>
          <w:b/>
          <w:bCs/>
        </w:rPr>
        <w:t xml:space="preserve">Glyph 8</w:t>
      </w:r>
      <w:r>
        <w:t xml:space="preserve"> </w:t>
      </w:r>
      <w:r>
        <w:t xml:space="preserve">– Occurs</w:t>
      </w:r>
      <w:r>
        <w:t xml:space="preserve"> </w:t>
      </w:r>
      <w:r>
        <w:rPr>
          <w:b/>
          <w:bCs/>
        </w:rPr>
        <w:t xml:space="preserve">134 times</w:t>
      </w:r>
      <w:r>
        <w:t xml:space="preserve">, a</w:t>
      </w:r>
      <w:r>
        <w:t xml:space="preserve"> </w:t>
      </w:r>
      <w:r>
        <w:rPr>
          <w:i/>
          <w:iCs/>
        </w:rPr>
        <w:t xml:space="preserve">radiating circular “sun/star” glyph</w:t>
      </w:r>
      <w:r>
        <w:t xml:space="preserve"> </w:t>
      </w:r>
      <w:r>
        <w:t xml:space="preserve">meaning</w:t>
      </w:r>
      <w:r>
        <w:t xml:space="preserve"> </w:t>
      </w:r>
      <w:r>
        <w:rPr>
          <w:b/>
          <w:bCs/>
        </w:rPr>
        <w:t xml:space="preserve">“sun, star, fire, or light”</w:t>
      </w:r>
      <w:r>
        <w:t xml:space="preserve">, used as a celestial or time marker</w:t>
      </w:r>
      <w:hyperlink r:id="rId23">
        <w:r>
          <w:rPr>
            <w:rStyle w:val="Hyperlink"/>
          </w:rPr>
          <w:t xml:space="preserve">[3]</w:t>
        </w:r>
      </w:hyperlink>
      <w:r>
        <w:t xml:space="preserve">.</w:t>
      </w:r>
    </w:p>
    <w:p>
      <w:pPr>
        <w:pStyle w:val="Compact"/>
        <w:numPr>
          <w:ilvl w:val="0"/>
          <w:numId w:val="1001"/>
        </w:numPr>
      </w:pPr>
      <w:r>
        <w:rPr>
          <w:b/>
          <w:bCs/>
        </w:rPr>
        <w:t xml:space="preserve">Glyph 1</w:t>
      </w:r>
      <w:r>
        <w:t xml:space="preserve"> </w:t>
      </w:r>
      <w:r>
        <w:t xml:space="preserve">– Occurs</w:t>
      </w:r>
      <w:r>
        <w:t xml:space="preserve"> </w:t>
      </w:r>
      <w:r>
        <w:rPr>
          <w:b/>
          <w:bCs/>
        </w:rPr>
        <w:t xml:space="preserve">127 times</w:t>
      </w:r>
      <w:r>
        <w:t xml:space="preserve">, the</w:t>
      </w:r>
      <w:r>
        <w:t xml:space="preserve"> </w:t>
      </w:r>
      <w:r>
        <w:rPr>
          <w:i/>
          <w:iCs/>
        </w:rPr>
        <w:t xml:space="preserve">basic human figure</w:t>
      </w:r>
      <w:r>
        <w:t xml:space="preserve"> </w:t>
      </w:r>
      <w:r>
        <w:t xml:space="preserve">meaning</w:t>
      </w:r>
      <w:r>
        <w:t xml:space="preserve"> </w:t>
      </w:r>
      <w:r>
        <w:rPr>
          <w:b/>
          <w:bCs/>
        </w:rPr>
        <w:t xml:space="preserve">“person” or “ancestor”</w:t>
      </w:r>
      <w:r>
        <w:t xml:space="preserve">, common in genealogical lists</w:t>
      </w:r>
      <w:hyperlink r:id="rId23">
        <w:r>
          <w:rPr>
            <w:rStyle w:val="Hyperlink"/>
          </w:rPr>
          <w:t xml:space="preserve">[4]</w:t>
        </w:r>
      </w:hyperlink>
      <w:r>
        <w:t xml:space="preserve">.</w:t>
      </w:r>
    </w:p>
    <w:p>
      <w:pPr>
        <w:pStyle w:val="Compact"/>
        <w:numPr>
          <w:ilvl w:val="0"/>
          <w:numId w:val="1001"/>
        </w:numPr>
      </w:pPr>
      <w:r>
        <w:rPr>
          <w:b/>
          <w:bCs/>
        </w:rPr>
        <w:t xml:space="preserve">Glyph 20</w:t>
      </w:r>
      <w:r>
        <w:t xml:space="preserve"> </w:t>
      </w:r>
      <w:r>
        <w:t xml:space="preserve">– Occurs ~92 times, a glyph for</w:t>
      </w:r>
      <w:r>
        <w:t xml:space="preserve"> </w:t>
      </w:r>
      <w:r>
        <w:rPr>
          <w:b/>
          <w:bCs/>
        </w:rPr>
        <w:t xml:space="preserve">plant/vegetation</w:t>
      </w:r>
      <w:r>
        <w:t xml:space="preserve"> </w:t>
      </w:r>
      <w:r>
        <w:t xml:space="preserve">(e.g.</w:t>
      </w:r>
      <w:r>
        <w:t xml:space="preserve"> </w:t>
      </w:r>
      <w:r>
        <w:rPr>
          <w:i/>
          <w:iCs/>
        </w:rPr>
        <w:t xml:space="preserve">tiare</w:t>
      </w:r>
      <w:r>
        <w:t xml:space="preserve">), possibly used in recurring botanical or symbolic contexts</w:t>
      </w:r>
      <w:hyperlink r:id="rId24">
        <w:r>
          <w:rPr>
            <w:rStyle w:val="Hyperlink"/>
          </w:rPr>
          <w:t xml:space="preserve">[5]</w:t>
        </w:r>
      </w:hyperlink>
      <w:r>
        <w:t xml:space="preserve">.</w:t>
      </w:r>
    </w:p>
    <w:p>
      <w:pPr>
        <w:pStyle w:val="Compact"/>
        <w:numPr>
          <w:ilvl w:val="0"/>
          <w:numId w:val="1001"/>
        </w:numPr>
      </w:pPr>
      <w:r>
        <w:rPr>
          <w:b/>
          <w:bCs/>
        </w:rPr>
        <w:t xml:space="preserve">Glyph 2</w:t>
      </w:r>
      <w:r>
        <w:t xml:space="preserve"> </w:t>
      </w:r>
      <w:r>
        <w:t xml:space="preserve">– Occurs</w:t>
      </w:r>
      <w:r>
        <w:t xml:space="preserve"> </w:t>
      </w:r>
      <w:r>
        <w:rPr>
          <w:b/>
          <w:bCs/>
        </w:rPr>
        <w:t xml:space="preserve">89 times</w:t>
      </w:r>
      <w:r>
        <w:t xml:space="preserve">, depicting a</w:t>
      </w:r>
      <w:r>
        <w:t xml:space="preserve"> </w:t>
      </w:r>
      <w:r>
        <w:rPr>
          <w:i/>
          <w:iCs/>
        </w:rPr>
        <w:t xml:space="preserve">head/face</w:t>
      </w:r>
      <w:r>
        <w:t xml:space="preserve"> </w:t>
      </w:r>
      <w:r>
        <w:t xml:space="preserve">(Rapanui</w:t>
      </w:r>
      <w:r>
        <w:t xml:space="preserve"> </w:t>
      </w:r>
      <w:r>
        <w:rPr>
          <w:i/>
          <w:iCs/>
        </w:rPr>
        <w:t xml:space="preserve">mata, po'o</w:t>
      </w:r>
      <w:r>
        <w:t xml:space="preserve">), often signifying identity or leadership</w:t>
      </w:r>
      <w:hyperlink r:id="rId23">
        <w:r>
          <w:rPr>
            <w:rStyle w:val="Hyperlink"/>
          </w:rPr>
          <w:t xml:space="preserve">[6]</w:t>
        </w:r>
      </w:hyperlink>
      <w:r>
        <w:t xml:space="preserve">.</w:t>
      </w:r>
    </w:p>
    <w:p>
      <w:pPr>
        <w:pStyle w:val="FirstParagraph"/>
      </w:pPr>
      <w:r>
        <w:t xml:space="preserve">Such a steeply graded frequency list (156 → 134 → 127 → 92 → 89, etc.) is</w:t>
      </w:r>
      <w:r>
        <w:t xml:space="preserve"> </w:t>
      </w:r>
      <w:r>
        <w:rPr>
          <w:b/>
          <w:bCs/>
        </w:rPr>
        <w:t xml:space="preserve">characteristic of written language</w:t>
      </w:r>
      <w:r>
        <w:t xml:space="preserve">. The few very common glyphs likely correspond to grammatical particles, pronouns, or key nouns, whereas the many low-frequency glyphs could represent specific names or less common words. This lends quantitative support to the decipherment: the script’s entropy and frequency profile align with a genuine text rather than an arbitrary code. Indeed, prior researchers found that one text (the</w:t>
      </w:r>
      <w:r>
        <w:t xml:space="preserve"> </w:t>
      </w:r>
      <w:r>
        <w:rPr>
          <w:b/>
          <w:bCs/>
        </w:rPr>
        <w:t xml:space="preserve">Santiago Staff</w:t>
      </w:r>
      <w:r>
        <w:t xml:space="preserve">) heavily uses a particular glyph (the “phallic” sign) while most other texts do not, reflecting its unique subject matter</w:t>
      </w:r>
      <w:hyperlink r:id="rId25">
        <w:r>
          <w:rPr>
            <w:rStyle w:val="Hyperlink"/>
          </w:rPr>
          <w:t xml:space="preserve">[7]</w:t>
        </w:r>
      </w:hyperlink>
      <w:r>
        <w:t xml:space="preserve">. In fact,</w:t>
      </w:r>
      <w:r>
        <w:t xml:space="preserve"> </w:t>
      </w:r>
      <w:r>
        <w:rPr>
          <w:b/>
          <w:bCs/>
        </w:rPr>
        <w:t xml:space="preserve">83% of all occurrences</w:t>
      </w:r>
      <w:r>
        <w:t xml:space="preserve"> </w:t>
      </w:r>
      <w:r>
        <w:t xml:space="preserve">of the phallic glyph (Barthel sign 76) are on the Staff, and that text also uniquely contains a</w:t>
      </w:r>
      <w:r>
        <w:t xml:space="preserve"> </w:t>
      </w:r>
      <w:r>
        <w:rPr>
          <w:i/>
          <w:iCs/>
        </w:rPr>
        <w:t xml:space="preserve">vertical separator</w:t>
      </w:r>
      <w:r>
        <w:t xml:space="preserve"> </w:t>
      </w:r>
      <w:r>
        <w:t xml:space="preserve">sign not seen elsewhere</w:t>
      </w:r>
      <w:hyperlink r:id="rId25">
        <w:r>
          <w:rPr>
            <w:rStyle w:val="Hyperlink"/>
          </w:rPr>
          <w:t xml:space="preserve">[7]</w:t>
        </w:r>
      </w:hyperlink>
      <w:r>
        <w:t xml:space="preserve">. This indicates</w:t>
      </w:r>
      <w:r>
        <w:t xml:space="preserve"> </w:t>
      </w:r>
      <w:r>
        <w:rPr>
          <w:b/>
          <w:bCs/>
        </w:rPr>
        <w:t xml:space="preserve">genre-specific vocabulary</w:t>
      </w:r>
      <w:r>
        <w:t xml:space="preserve"> </w:t>
      </w:r>
      <w:r>
        <w:t xml:space="preserve">– e.g. a procreation chant vs. other chants – further confirming that Rongorongo frequency patterns are non-random and content-dependent.</w:t>
      </w:r>
    </w:p>
    <w:bookmarkEnd w:id="26"/>
    <w:bookmarkStart w:id="30" w:name="X88a9cff7ca7c29586ca86cb2ff91312bbae5468"/>
    <w:p>
      <w:pPr>
        <w:pStyle w:val="Heading2"/>
      </w:pPr>
      <w:r>
        <w:t xml:space="preserve">Shared Texts and Repeated Sequences (“Great Chant”)</w:t>
      </w:r>
    </w:p>
    <w:p>
      <w:pPr>
        <w:pStyle w:val="FirstParagraph"/>
      </w:pPr>
      <w:r>
        <w:t xml:space="preserve">One remarkable statistical pattern is the existence of</w:t>
      </w:r>
      <w:r>
        <w:t xml:space="preserve"> </w:t>
      </w:r>
      <w:r>
        <w:rPr>
          <w:b/>
          <w:bCs/>
        </w:rPr>
        <w:t xml:space="preserve">parallel texts</w:t>
      </w:r>
      <w:r>
        <w:t xml:space="preserve"> </w:t>
      </w:r>
      <w:r>
        <w:t xml:space="preserve">across different tablets. The</w:t>
      </w:r>
      <w:r>
        <w:t xml:space="preserve"> </w:t>
      </w:r>
      <w:r>
        <w:rPr>
          <w:b/>
          <w:bCs/>
        </w:rPr>
        <w:t xml:space="preserve">“Great Chant”</w:t>
      </w:r>
      <w:r>
        <w:t xml:space="preserve"> </w:t>
      </w:r>
      <w:r>
        <w:t xml:space="preserve">appears to be a long composition so important that it was recorded on at least</w:t>
      </w:r>
      <w:r>
        <w:t xml:space="preserve"> </w:t>
      </w:r>
      <w:r>
        <w:rPr>
          <w:b/>
          <w:bCs/>
        </w:rPr>
        <w:t xml:space="preserve">three tablets</w:t>
      </w:r>
      <w:r>
        <w:t xml:space="preserve"> </w:t>
      </w:r>
      <w:r>
        <w:t xml:space="preserve">in near-identical form. Specifically, the</w:t>
      </w:r>
      <w:r>
        <w:t xml:space="preserve"> </w:t>
      </w:r>
      <w:r>
        <w:rPr>
          <w:i/>
          <w:iCs/>
        </w:rPr>
        <w:t xml:space="preserve">Large Santiago tablet</w:t>
      </w:r>
      <w:r>
        <w:t xml:space="preserve"> </w:t>
      </w:r>
      <w:r>
        <w:t xml:space="preserve">(Barthel text H) contains a lengthy chant or recitation cycle,</w:t>
      </w:r>
      <w:r>
        <w:t xml:space="preserve"> </w:t>
      </w:r>
      <w:r>
        <w:rPr>
          <w:b/>
          <w:bCs/>
        </w:rPr>
        <w:t xml:space="preserve">versions of which also occur on the Large and Small St. Petersburg tablets (texts P and Q)</w:t>
      </w:r>
      <w:hyperlink r:id="rId27">
        <w:r>
          <w:rPr>
            <w:rStyle w:val="Hyperlink"/>
            <w:b/>
            <w:bCs/>
          </w:rPr>
          <w:t xml:space="preserve">[8]</w:t>
        </w:r>
      </w:hyperlink>
      <w:r>
        <w:t xml:space="preserve">. Analysis of the corpus confirms extensive</w:t>
      </w:r>
      <w:r>
        <w:t xml:space="preserve"> </w:t>
      </w:r>
      <w:r>
        <w:rPr>
          <w:b/>
          <w:bCs/>
        </w:rPr>
        <w:t xml:space="preserve">verbatim overlaps</w:t>
      </w:r>
      <w:r>
        <w:t xml:space="preserve"> </w:t>
      </w:r>
      <w:r>
        <w:t xml:space="preserve">between these tablets</w:t>
      </w:r>
      <w:hyperlink r:id="rId28">
        <w:r>
          <w:rPr>
            <w:rStyle w:val="Hyperlink"/>
          </w:rPr>
          <w:t xml:space="preserve">[9]</w:t>
        </w:r>
      </w:hyperlink>
      <w:r>
        <w:t xml:space="preserve">. In other words, H, P, and Q share line after line of the same glyph sequences, establishing a common source – hence the “Great Chant” moniker. Shorter matching passages link other artifacts as well (e.g. portions of tablet A [Tahua, London] parallel lines of the Small Santiago tablet)</w:t>
      </w:r>
      <w:hyperlink r:id="rId28">
        <w:r>
          <w:rPr>
            <w:rStyle w:val="Hyperlink"/>
          </w:rPr>
          <w:t xml:space="preserve">[9]</w:t>
        </w:r>
      </w:hyperlink>
      <w:r>
        <w:t xml:space="preserve">.</w:t>
      </w:r>
    </w:p>
    <w:p>
      <w:pPr>
        <w:pStyle w:val="BodyText"/>
      </w:pPr>
      <w:r>
        <w:t xml:space="preserve">The presence of such</w:t>
      </w:r>
      <w:r>
        <w:t xml:space="preserve"> </w:t>
      </w:r>
      <w:r>
        <w:rPr>
          <w:b/>
          <w:bCs/>
        </w:rPr>
        <w:t xml:space="preserve">repeated texts</w:t>
      </w:r>
      <w:r>
        <w:t xml:space="preserve"> </w:t>
      </w:r>
      <w:r>
        <w:t xml:space="preserve">suggests that Rongorongo was used to record well-known chants or genealogies that were memorized and ritually copied. This is a strong internal consistency check: if multiple carvings from different provenances carry the same sequence, the probability of a meaningful text (as opposed to random doodles) soars. Thomas Barthel recognized this in 1958 by identifying a recurring compound glyph pattern that</w:t>
      </w:r>
      <w:r>
        <w:t xml:space="preserve"> </w:t>
      </w:r>
      <w:r>
        <w:rPr>
          <w:b/>
          <w:bCs/>
        </w:rPr>
        <w:t xml:space="preserve">separates segments of personal names (likely chiefs or ancestors)</w:t>
      </w:r>
      <w:r>
        <w:t xml:space="preserve"> </w:t>
      </w:r>
      <w:r>
        <w:t xml:space="preserve">within the chant</w:t>
      </w:r>
      <w:hyperlink r:id="rId29">
        <w:r>
          <w:rPr>
            <w:rStyle w:val="Hyperlink"/>
          </w:rPr>
          <w:t xml:space="preserve">[10]</w:t>
        </w:r>
      </w:hyperlink>
      <w:r>
        <w:t xml:space="preserve">. He found that a particular glyph cluster (Barthel’s glyph</w:t>
      </w:r>
      <w:r>
        <w:t xml:space="preserve"> </w:t>
      </w:r>
      <w:r>
        <w:rPr>
          <w:i/>
          <w:iCs/>
        </w:rPr>
        <w:t xml:space="preserve">380.1</w:t>
      </w:r>
      <w:r>
        <w:t xml:space="preserve">, possibly a stylized divider or title) recurred at regular intervals on the “Grand Tradition” tablets, breaking the text into sections –</w:t>
      </w:r>
      <w:r>
        <w:t xml:space="preserve"> </w:t>
      </w:r>
      <w:r>
        <w:rPr>
          <w:i/>
          <w:iCs/>
        </w:rPr>
        <w:t xml:space="preserve">“containing the names of chiefs”</w:t>
      </w:r>
      <w:hyperlink r:id="rId29">
        <w:r>
          <w:rPr>
            <w:rStyle w:val="Hyperlink"/>
          </w:rPr>
          <w:t xml:space="preserve">[10]</w:t>
        </w:r>
      </w:hyperlink>
      <w:r>
        <w:t xml:space="preserve">. He even saw the same pattern on tablet K (which turned out to be a paraphrase of the Great Chant) and on tablet A</w:t>
      </w:r>
      <w:hyperlink r:id="rId29">
        <w:r>
          <w:rPr>
            <w:rStyle w:val="Hyperlink"/>
          </w:rPr>
          <w:t xml:space="preserve">[10]</w:t>
        </w:r>
      </w:hyperlink>
      <w:r>
        <w:t xml:space="preserve">. This discovery of repeated section markers reinforced the idea that the Great Chant is a</w:t>
      </w:r>
      <w:r>
        <w:t xml:space="preserve"> </w:t>
      </w:r>
      <w:r>
        <w:rPr>
          <w:b/>
          <w:bCs/>
        </w:rPr>
        <w:t xml:space="preserve">genealogical or cosmological list</w:t>
      </w:r>
      <w:r>
        <w:t xml:space="preserve">, with each section enumerating an ancestor or event in a standardized format.</w:t>
      </w:r>
    </w:p>
    <w:bookmarkEnd w:id="30"/>
    <w:bookmarkStart w:id="37" w:name="X885225e5cb95654f84dbb8420d68098d468b71d"/>
    <w:p>
      <w:pPr>
        <w:pStyle w:val="Heading2"/>
      </w:pPr>
      <w:r>
        <w:t xml:space="preserve">Formulaic Bigrams and Trigrams in the Chant</w:t>
      </w:r>
    </w:p>
    <w:p>
      <w:pPr>
        <w:pStyle w:val="FirstParagraph"/>
      </w:pPr>
      <w:r>
        <w:t xml:space="preserve">Delving deeper,</w:t>
      </w:r>
      <w:r>
        <w:t xml:space="preserve"> </w:t>
      </w:r>
      <w:r>
        <w:rPr>
          <w:b/>
          <w:bCs/>
        </w:rPr>
        <w:t xml:space="preserve">bigram and trigram analysis</w:t>
      </w:r>
      <w:r>
        <w:t xml:space="preserve"> </w:t>
      </w:r>
      <w:r>
        <w:t xml:space="preserve">reveals that the Great Chant (and related texts) use highly</w:t>
      </w:r>
      <w:r>
        <w:t xml:space="preserve"> </w:t>
      </w:r>
      <w:r>
        <w:rPr>
          <w:b/>
          <w:bCs/>
        </w:rPr>
        <w:t xml:space="preserve">formulaic phrase patterns</w:t>
      </w:r>
      <w:r>
        <w:t xml:space="preserve">. In genealogical and creation chants, certain glyph sequences recur as a kind of grammatical backbone:</w:t>
      </w:r>
    </w:p>
    <w:p>
      <w:pPr>
        <w:numPr>
          <w:ilvl w:val="0"/>
          <w:numId w:val="1002"/>
        </w:numPr>
      </w:pPr>
      <w:r>
        <w:rPr>
          <w:b/>
          <w:bCs/>
        </w:rPr>
        <w:t xml:space="preserve">“Begat” / Coupling Formulas:</w:t>
      </w:r>
      <w:r>
        <w:t xml:space="preserve"> </w:t>
      </w:r>
      <w:r>
        <w:t xml:space="preserve">Researchers have identified a glyph that functions as a</w:t>
      </w:r>
      <w:r>
        <w:t xml:space="preserve"> </w:t>
      </w:r>
      <w:r>
        <w:rPr>
          <w:i/>
          <w:iCs/>
        </w:rPr>
        <w:t xml:space="preserve">copulative or procreative verb</w:t>
      </w:r>
      <w:r>
        <w:t xml:space="preserve"> </w:t>
      </w:r>
      <w:r>
        <w:t xml:space="preserve">– essentially meaning</w:t>
      </w:r>
      <w:r>
        <w:t xml:space="preserve"> </w:t>
      </w:r>
      <w:r>
        <w:rPr>
          <w:b/>
          <w:bCs/>
        </w:rPr>
        <w:t xml:space="preserve">“to beget” or “to copulate”</w:t>
      </w:r>
      <w:r>
        <w:t xml:space="preserve"> </w:t>
      </w:r>
      <w:r>
        <w:t xml:space="preserve">– which frequently appears between two anthropomorphic figures. Steven Fischer noted that the Santiago Staff text consists of repeated formulas of the form</w:t>
      </w:r>
      <w:r>
        <w:t xml:space="preserve"> </w:t>
      </w:r>
      <w:r>
        <w:rPr>
          <w:i/>
          <w:iCs/>
        </w:rPr>
        <w:t xml:space="preserve">“X ki ‘ai ki roto ‘o Y: ka pû te Z”</w:t>
      </w:r>
      <w:r>
        <w:t xml:space="preserve">, i.e.</w:t>
      </w:r>
      <w:r>
        <w:t xml:space="preserve"> </w:t>
      </w:r>
      <w:r>
        <w:rPr>
          <w:i/>
          <w:iCs/>
        </w:rPr>
        <w:t xml:space="preserve">“X copulated with Y; there issued forth Z”</w:t>
      </w:r>
      <w:hyperlink r:id="rId31">
        <w:r>
          <w:rPr>
            <w:rStyle w:val="Hyperlink"/>
          </w:rPr>
          <w:t xml:space="preserve">[11]</w:t>
        </w:r>
      </w:hyperlink>
      <w:r>
        <w:t xml:space="preserve">. In the staff, this pattern is explicit because the</w:t>
      </w:r>
      <w:r>
        <w:t xml:space="preserve"> </w:t>
      </w:r>
      <w:r>
        <w:rPr>
          <w:b/>
          <w:bCs/>
        </w:rPr>
        <w:t xml:space="preserve">phallic suffix glyph</w:t>
      </w:r>
      <w:r>
        <w:t xml:space="preserve"> </w:t>
      </w:r>
      <w:r>
        <w:t xml:space="preserve">(sign 76) is carved, making the act of copulation graphically clear. Indeed,</w:t>
      </w:r>
      <w:r>
        <w:t xml:space="preserve"> </w:t>
      </w:r>
      <w:r>
        <w:rPr>
          <w:b/>
          <w:bCs/>
        </w:rPr>
        <w:t xml:space="preserve">each iteration</w:t>
      </w:r>
      <w:r>
        <w:t xml:space="preserve"> </w:t>
      </w:r>
      <w:r>
        <w:t xml:space="preserve">of the formula on the Staff shows a male figure + phallus sign + female figure, followed by a smaller figure representing their offspring. Even in other tablets that lack the obvious phallus glyph, there is evidence of a similar</w:t>
      </w:r>
      <w:r>
        <w:t xml:space="preserve"> </w:t>
      </w:r>
      <w:r>
        <w:rPr>
          <w:b/>
          <w:bCs/>
        </w:rPr>
        <w:t xml:space="preserve">“X begat Y”</w:t>
      </w:r>
      <w:r>
        <w:t xml:space="preserve"> </w:t>
      </w:r>
      <w:r>
        <w:t xml:space="preserve">structure: the lexicon notes that the</w:t>
      </w:r>
      <w:r>
        <w:t xml:space="preserve"> </w:t>
      </w:r>
      <w:r>
        <w:rPr>
          <w:i/>
          <w:iCs/>
        </w:rPr>
        <w:t xml:space="preserve">child/descendant glyph</w:t>
      </w:r>
      <w:r>
        <w:t xml:space="preserve"> </w:t>
      </w:r>
      <w:r>
        <w:t xml:space="preserve">(Glyph 7, read as</w:t>
      </w:r>
      <w:r>
        <w:t xml:space="preserve"> </w:t>
      </w:r>
      <w:r>
        <w:rPr>
          <w:b/>
          <w:bCs/>
        </w:rPr>
        <w:t xml:space="preserve">poki</w:t>
      </w:r>
      <w:r>
        <w:t xml:space="preserve"> </w:t>
      </w:r>
      <w:r>
        <w:t xml:space="preserve">“child”)</w:t>
      </w:r>
      <w:r>
        <w:t xml:space="preserve"> </w:t>
      </w:r>
      <w:r>
        <w:rPr>
          <w:b/>
          <w:bCs/>
        </w:rPr>
        <w:t xml:space="preserve">“often follows the ‘begat’ glyph in lineage sequences.”</w:t>
      </w:r>
      <w:hyperlink r:id="rId32">
        <w:r>
          <w:rPr>
            <w:rStyle w:val="Hyperlink"/>
          </w:rPr>
          <w:t xml:space="preserve">[12]</w:t>
        </w:r>
      </w:hyperlink>
      <w:r>
        <w:t xml:space="preserve">. In Aruku Kurenga (tablet B) for example, Glyph 7 (a small human figure)</w:t>
      </w:r>
      <w:r>
        <w:t xml:space="preserve"> </w:t>
      </w:r>
      <w:r>
        <w:rPr>
          <w:b/>
          <w:bCs/>
        </w:rPr>
        <w:t xml:space="preserve">“starts [the] sequence of young scouts”</w:t>
      </w:r>
      <w:r>
        <w:t xml:space="preserve"> </w:t>
      </w:r>
      <w:r>
        <w:t xml:space="preserve">(descendants)</w:t>
      </w:r>
      <w:hyperlink r:id="rId33">
        <w:r>
          <w:rPr>
            <w:rStyle w:val="Hyperlink"/>
          </w:rPr>
          <w:t xml:space="preserve">[13]</w:t>
        </w:r>
      </w:hyperlink>
      <w:r>
        <w:t xml:space="preserve">, presumably after a parental union is indicated. This suggests a recurring</w:t>
      </w:r>
      <w:r>
        <w:t xml:space="preserve"> </w:t>
      </w:r>
      <w:r>
        <w:rPr>
          <w:b/>
          <w:bCs/>
        </w:rPr>
        <w:t xml:space="preserve">bigram</w:t>
      </w:r>
      <w:r>
        <w:t xml:space="preserve">: [COPULATION glyph] + [CHILD glyph] to denote procreation of a new generation. The repetition of that bigram/trigram across lines would list successive generations in the chant.</w:t>
      </w:r>
    </w:p>
    <w:p>
      <w:pPr>
        <w:numPr>
          <w:ilvl w:val="0"/>
          <w:numId w:val="1002"/>
        </w:numPr>
      </w:pPr>
      <w:r>
        <w:rPr>
          <w:b/>
          <w:bCs/>
        </w:rPr>
        <w:t xml:space="preserve">Name + Epithet Patterns:</w:t>
      </w:r>
      <w:r>
        <w:t xml:space="preserve"> </w:t>
      </w:r>
      <w:r>
        <w:t xml:space="preserve">Besides the genealogical “begat” phrases, other stable combinations likely mark names or titles. Barthel’s chief-name separator (glyph 380.1) probably formed a common</w:t>
      </w:r>
      <w:r>
        <w:t xml:space="preserve"> </w:t>
      </w:r>
      <w:r>
        <w:rPr>
          <w:b/>
          <w:bCs/>
        </w:rPr>
        <w:t xml:space="preserve">bigram</w:t>
      </w:r>
      <w:r>
        <w:t xml:space="preserve"> </w:t>
      </w:r>
      <w:r>
        <w:t xml:space="preserve">with an adjacent name glyph – perhaps like</w:t>
      </w:r>
      <w:r>
        <w:t xml:space="preserve"> </w:t>
      </w:r>
      <w:r>
        <w:rPr>
          <w:i/>
          <w:iCs/>
        </w:rPr>
        <w:t xml:space="preserve">name + title</w:t>
      </w:r>
      <w:r>
        <w:t xml:space="preserve"> </w:t>
      </w:r>
      <w:r>
        <w:t xml:space="preserve">or</w:t>
      </w:r>
      <w:r>
        <w:t xml:space="preserve"> </w:t>
      </w:r>
      <w:r>
        <w:rPr>
          <w:i/>
          <w:iCs/>
        </w:rPr>
        <w:t xml:space="preserve">name + lineage marker</w:t>
      </w:r>
      <w:r>
        <w:t xml:space="preserve">. For example, if glyph 380 represented a prefix meaning “chief” or “the son of”, it might consistently precede personal name glyphs. We see hints of this in the data: some composite glyphs are hypothesized to be</w:t>
      </w:r>
      <w:r>
        <w:t xml:space="preserve"> </w:t>
      </w:r>
      <w:r>
        <w:rPr>
          <w:i/>
          <w:iCs/>
        </w:rPr>
        <w:t xml:space="preserve">name indicators or honorifics</w:t>
      </w:r>
      <w:r>
        <w:t xml:space="preserve">, appearing only in these sequences. Statistical clustering of glyphs could further tease out these collocations, but qualitatively, the</w:t>
      </w:r>
      <w:r>
        <w:t xml:space="preserve"> </w:t>
      </w:r>
      <w:r>
        <w:rPr>
          <w:b/>
          <w:bCs/>
        </w:rPr>
        <w:t xml:space="preserve">structure “Name – lineage marker – Name – begat – Child”</w:t>
      </w:r>
      <w:r>
        <w:t xml:space="preserve"> </w:t>
      </w:r>
      <w:r>
        <w:t xml:space="preserve">appears to be a fundamental repeating unit of the Great Chant.</w:t>
      </w:r>
    </w:p>
    <w:p>
      <w:pPr>
        <w:numPr>
          <w:ilvl w:val="0"/>
          <w:numId w:val="1002"/>
        </w:numPr>
      </w:pPr>
      <w:r>
        <w:rPr>
          <w:b/>
          <w:bCs/>
        </w:rPr>
        <w:t xml:space="preserve">Parallelism:</w:t>
      </w:r>
      <w:r>
        <w:t xml:space="preserve"> </w:t>
      </w:r>
      <w:r>
        <w:t xml:space="preserve">The Great Chant likely employed parallel couplets or enumerations. Beyond parent-child trigrams, there may be</w:t>
      </w:r>
      <w:r>
        <w:t xml:space="preserve"> </w:t>
      </w:r>
      <w:r>
        <w:rPr>
          <w:b/>
          <w:bCs/>
        </w:rPr>
        <w:t xml:space="preserve">cosmological pairs</w:t>
      </w:r>
      <w:r>
        <w:t xml:space="preserve"> </w:t>
      </w:r>
      <w:r>
        <w:t xml:space="preserve">(sun/moon, land/sea, etc.) that appear in sequence. For instance, in the</w:t>
      </w:r>
      <w:r>
        <w:t xml:space="preserve"> </w:t>
      </w:r>
      <w:r>
        <w:rPr>
          <w:b/>
          <w:bCs/>
        </w:rPr>
        <w:t xml:space="preserve">“Atua Matariri” chant</w:t>
      </w:r>
      <w:r>
        <w:t xml:space="preserve"> </w:t>
      </w:r>
      <w:r>
        <w:t xml:space="preserve">recorded by Thomson, verses take the form</w:t>
      </w:r>
      <w:r>
        <w:t xml:space="preserve"> </w:t>
      </w:r>
      <w:r>
        <w:rPr>
          <w:i/>
          <w:iCs/>
        </w:rPr>
        <w:t xml:space="preserve">“X, by mounting into Y, let Z come forth”</w:t>
      </w:r>
      <w:hyperlink r:id="rId34">
        <w:r>
          <w:rPr>
            <w:rStyle w:val="Hyperlink"/>
          </w:rPr>
          <w:t xml:space="preserve">[14]</w:t>
        </w:r>
      </w:hyperlink>
      <w:r>
        <w:t xml:space="preserve">, which has the flavor of pairing elements to produce a third. One line reads</w:t>
      </w:r>
      <w:r>
        <w:t xml:space="preserve"> </w:t>
      </w:r>
      <w:r>
        <w:rPr>
          <w:i/>
          <w:iCs/>
        </w:rPr>
        <w:t xml:space="preserve">“Moon, by mounting into Darkness, let Sun come forth”</w:t>
      </w:r>
      <w:hyperlink r:id="rId34">
        <w:r>
          <w:rPr>
            <w:rStyle w:val="Hyperlink"/>
          </w:rPr>
          <w:t xml:space="preserve">[15]</w:t>
        </w:r>
      </w:hyperlink>
      <w:r>
        <w:t xml:space="preserve"> </w:t>
      </w:r>
      <w:r>
        <w:t xml:space="preserve">– a poetic description of night turning to day. Another couples</w:t>
      </w:r>
      <w:r>
        <w:t xml:space="preserve"> </w:t>
      </w:r>
      <w:r>
        <w:rPr>
          <w:i/>
          <w:iCs/>
        </w:rPr>
        <w:t xml:space="preserve">“Stinging Fly”</w:t>
      </w:r>
      <w:r>
        <w:t xml:space="preserve"> </w:t>
      </w:r>
      <w:r>
        <w:t xml:space="preserve">with</w:t>
      </w:r>
      <w:r>
        <w:t xml:space="preserve"> </w:t>
      </w:r>
      <w:r>
        <w:rPr>
          <w:i/>
          <w:iCs/>
        </w:rPr>
        <w:t xml:space="preserve">“Swarm”</w:t>
      </w:r>
      <w:r>
        <w:t xml:space="preserve"> </w:t>
      </w:r>
      <w:r>
        <w:t xml:space="preserve">to produce</w:t>
      </w:r>
      <w:r>
        <w:t xml:space="preserve"> </w:t>
      </w:r>
      <w:r>
        <w:rPr>
          <w:i/>
          <w:iCs/>
        </w:rPr>
        <w:t xml:space="preserve">“Horsefly”</w:t>
      </w:r>
      <w:hyperlink r:id="rId35">
        <w:r>
          <w:rPr>
            <w:rStyle w:val="Hyperlink"/>
          </w:rPr>
          <w:t xml:space="preserve">[16]</w:t>
        </w:r>
      </w:hyperlink>
      <w:r>
        <w:t xml:space="preserve">. Within Rongorongo, such parallel constructions might be encoded by symmetric glyph sequences or repeated grammatical connectors. If the Great Chant is cosmological, we might see a</w:t>
      </w:r>
      <w:r>
        <w:t xml:space="preserve"> </w:t>
      </w:r>
      <w:r>
        <w:rPr>
          <w:b/>
          <w:bCs/>
        </w:rPr>
        <w:t xml:space="preserve">trigram</w:t>
      </w:r>
      <w:r>
        <w:t xml:space="preserve"> </w:t>
      </w:r>
      <w:r>
        <w:t xml:space="preserve">like [Moon glyph – Darkness glyph – Sun glyph] repeating with variations. Indeed,</w:t>
      </w:r>
      <w:r>
        <w:t xml:space="preserve"> </w:t>
      </w:r>
      <w:r>
        <w:rPr>
          <w:b/>
          <w:bCs/>
        </w:rPr>
        <w:t xml:space="preserve">glyph 8 (sun)</w:t>
      </w:r>
      <w:r>
        <w:t xml:space="preserve"> </w:t>
      </w:r>
      <w:r>
        <w:t xml:space="preserve">and</w:t>
      </w:r>
      <w:r>
        <w:t xml:space="preserve"> </w:t>
      </w:r>
      <w:r>
        <w:rPr>
          <w:b/>
          <w:bCs/>
        </w:rPr>
        <w:t xml:space="preserve">glyph 10 (moon)</w:t>
      </w:r>
      <w:r>
        <w:t xml:space="preserve"> </w:t>
      </w:r>
      <w:r>
        <w:t xml:space="preserve">are both high-frequency signs</w:t>
      </w:r>
      <w:hyperlink r:id="rId23">
        <w:r>
          <w:rPr>
            <w:rStyle w:val="Hyperlink"/>
          </w:rPr>
          <w:t xml:space="preserve">[3]</w:t>
        </w:r>
      </w:hyperlink>
      <w:hyperlink r:id="rId36">
        <w:r>
          <w:rPr>
            <w:rStyle w:val="Hyperlink"/>
          </w:rPr>
          <w:t xml:space="preserve">[17]</w:t>
        </w:r>
      </w:hyperlink>
      <w:r>
        <w:t xml:space="preserve">, suggesting the text often references celestial bodies in patterned ways (possibly alternating or in a sequence corresponding to cycles).</w:t>
      </w:r>
    </w:p>
    <w:p>
      <w:pPr>
        <w:pStyle w:val="FirstParagraph"/>
      </w:pPr>
      <w:r>
        <w:t xml:space="preserve">Overall, the</w:t>
      </w:r>
      <w:r>
        <w:t xml:space="preserve"> </w:t>
      </w:r>
      <w:r>
        <w:rPr>
          <w:b/>
          <w:bCs/>
        </w:rPr>
        <w:t xml:space="preserve">recurrence of these multi-glyph formulas</w:t>
      </w:r>
      <w:r>
        <w:t xml:space="preserve"> </w:t>
      </w:r>
      <w:r>
        <w:t xml:space="preserve">underscores that Rongorongo was written in a</w:t>
      </w:r>
      <w:r>
        <w:t xml:space="preserve"> </w:t>
      </w:r>
      <w:r>
        <w:rPr>
          <w:b/>
          <w:bCs/>
        </w:rPr>
        <w:t xml:space="preserve">formulaic, probably poetic style</w:t>
      </w:r>
      <w:r>
        <w:t xml:space="preserve">, just like oral chants. The statistical prevalence of certain glyph pairings confirms they weren’t random juxtapositions but core syntactic/semantic units (e.g. verb + object, or relational phrases). This finding aligns with Polynesian chant traditions where repetitive structures and parallelism are common.</w:t>
      </w:r>
    </w:p>
    <w:bookmarkEnd w:id="37"/>
    <w:bookmarkStart w:id="43" w:name="X640fa1b4223ac4d79044cfabf2a835757ceeb9e"/>
    <w:p>
      <w:pPr>
        <w:pStyle w:val="Heading2"/>
      </w:pPr>
      <w:r>
        <w:t xml:space="preserve">Positional Patterns and Structural Markers</w:t>
      </w:r>
    </w:p>
    <w:p>
      <w:pPr>
        <w:pStyle w:val="FirstParagraph"/>
      </w:pPr>
      <w:r>
        <w:t xml:space="preserve">Statistical patterns also emerge in</w:t>
      </w:r>
      <w:r>
        <w:t xml:space="preserve"> </w:t>
      </w:r>
      <w:r>
        <w:rPr>
          <w:b/>
          <w:bCs/>
        </w:rPr>
        <w:t xml:space="preserve">glyph positioning</w:t>
      </w:r>
      <w:r>
        <w:t xml:space="preserve"> </w:t>
      </w:r>
      <w:r>
        <w:t xml:space="preserve">within lines and texts:</w:t>
      </w:r>
    </w:p>
    <w:p>
      <w:pPr>
        <w:numPr>
          <w:ilvl w:val="0"/>
          <w:numId w:val="1003"/>
        </w:numPr>
      </w:pPr>
      <w:r>
        <w:rPr>
          <w:b/>
          <w:bCs/>
        </w:rPr>
        <w:t xml:space="preserve">Line/Section Delimiters:</w:t>
      </w:r>
      <w:r>
        <w:t xml:space="preserve"> </w:t>
      </w:r>
      <w:r>
        <w:t xml:space="preserve">Rongorongo inscriptions lack obvious punctuation except where a special sign is used. Uniquely, the Santiago Staff employed a</w:t>
      </w:r>
      <w:r>
        <w:t xml:space="preserve"> </w:t>
      </w:r>
      <w:r>
        <w:rPr>
          <w:b/>
          <w:bCs/>
        </w:rPr>
        <w:t xml:space="preserve">vertical divider glyph</w:t>
      </w:r>
      <w:r>
        <w:t xml:space="preserve"> </w:t>
      </w:r>
      <w:r>
        <w:t xml:space="preserve">(Barthel’s code</w:t>
      </w:r>
      <w:r>
        <w:t xml:space="preserve"> </w:t>
      </w:r>
      <w:r>
        <w:rPr>
          <w:i/>
          <w:iCs/>
        </w:rPr>
        <w:t xml:space="preserve">999</w:t>
      </w:r>
      <w:r>
        <w:t xml:space="preserve">) to separate each verse or copulatory formula</w:t>
      </w:r>
      <w:hyperlink r:id="rId25">
        <w:r>
          <w:rPr>
            <w:rStyle w:val="Hyperlink"/>
          </w:rPr>
          <w:t xml:space="preserve">[7]</w:t>
        </w:r>
      </w:hyperlink>
      <w:r>
        <w:t xml:space="preserve">. This sign does not occur in any other text, acting like a</w:t>
      </w:r>
      <w:r>
        <w:t xml:space="preserve"> </w:t>
      </w:r>
      <w:r>
        <w:rPr>
          <w:b/>
          <w:bCs/>
        </w:rPr>
        <w:t xml:space="preserve">section break</w:t>
      </w:r>
      <w:r>
        <w:t xml:space="preserve"> </w:t>
      </w:r>
      <w:r>
        <w:t xml:space="preserve">for that particular chant. Elsewhere in the corpus, scribes may have relied on uniform line lengths or natural breaks in the chant to signal divisions. However, some glyphs consistently occur at the</w:t>
      </w:r>
      <w:r>
        <w:t xml:space="preserve"> </w:t>
      </w:r>
      <w:r>
        <w:rPr>
          <w:b/>
          <w:bCs/>
        </w:rPr>
        <w:t xml:space="preserve">start or end of sections</w:t>
      </w:r>
      <w:r>
        <w:t xml:space="preserve">. For example, as noted,</w:t>
      </w:r>
      <w:r>
        <w:t xml:space="preserve"> </w:t>
      </w:r>
      <w:r>
        <w:rPr>
          <w:b/>
          <w:bCs/>
        </w:rPr>
        <w:t xml:space="preserve">Glyph 7 (child)</w:t>
      </w:r>
      <w:r>
        <w:t xml:space="preserve"> </w:t>
      </w:r>
      <w:r>
        <w:t xml:space="preserve">appears at the</w:t>
      </w:r>
      <w:r>
        <w:t xml:space="preserve"> </w:t>
      </w:r>
      <w:r>
        <w:rPr>
          <w:i/>
          <w:iCs/>
        </w:rPr>
        <w:t xml:space="preserve">start of descendant sequences</w:t>
      </w:r>
      <w:r>
        <w:t xml:space="preserve"> </w:t>
      </w:r>
      <w:r>
        <w:t xml:space="preserve">on tablet B</w:t>
      </w:r>
      <w:hyperlink r:id="rId38">
        <w:r>
          <w:rPr>
            <w:rStyle w:val="Hyperlink"/>
          </w:rPr>
          <w:t xml:space="preserve">[18]</w:t>
        </w:r>
      </w:hyperlink>
      <w:r>
        <w:t xml:space="preserve">, implying it often begins a new lineage line (after the parent names were given in the previous line). Likewise, Glyph 9 (meaning</w:t>
      </w:r>
      <w:r>
        <w:t xml:space="preserve"> </w:t>
      </w:r>
      <w:r>
        <w:rPr>
          <w:b/>
          <w:bCs/>
        </w:rPr>
        <w:t xml:space="preserve">“sand, beach”</w:t>
      </w:r>
      <w:r>
        <w:t xml:space="preserve">) is said to appear</w:t>
      </w:r>
      <w:r>
        <w:t xml:space="preserve"> </w:t>
      </w:r>
      <w:r>
        <w:rPr>
          <w:i/>
          <w:iCs/>
        </w:rPr>
        <w:t xml:space="preserve">at the end of voyage sequences</w:t>
      </w:r>
      <w:r>
        <w:t xml:space="preserve">, marking the landfall at Anakena beach</w:t>
      </w:r>
      <w:hyperlink r:id="rId39">
        <w:r>
          <w:rPr>
            <w:rStyle w:val="Hyperlink"/>
          </w:rPr>
          <w:t xml:space="preserve">[19]</w:t>
        </w:r>
      </w:hyperlink>
      <w:hyperlink r:id="rId40">
        <w:r>
          <w:rPr>
            <w:rStyle w:val="Hyperlink"/>
          </w:rPr>
          <w:t xml:space="preserve">[20]</w:t>
        </w:r>
      </w:hyperlink>
      <w:r>
        <w:t xml:space="preserve">. By analogy, the Great Chant might use a specific glyph to end a genealogical list or to signal the conclusion of the chant. Identifying such positional preferences statistically (e.g. a certain glyph only found at line ends across tablets H/P/Q) can highlight</w:t>
      </w:r>
      <w:r>
        <w:t xml:space="preserve"> </w:t>
      </w:r>
      <w:r>
        <w:rPr>
          <w:b/>
          <w:bCs/>
        </w:rPr>
        <w:t xml:space="preserve">punctuation-like roles</w:t>
      </w:r>
      <w:r>
        <w:t xml:space="preserve"> </w:t>
      </w:r>
      <w:r>
        <w:t xml:space="preserve">of glyphs. Indeed, Barthel’s analysis of parallel texts noted that some line-ending sequences in one tablet correspond to line-beginnings in another due to how the text was continued, which helped confirm the reading order</w:t>
      </w:r>
      <w:hyperlink r:id="rId41">
        <w:r>
          <w:rPr>
            <w:rStyle w:val="Hyperlink"/>
          </w:rPr>
          <w:t xml:space="preserve">[21]</w:t>
        </w:r>
      </w:hyperlink>
      <w:r>
        <w:t xml:space="preserve">.</w:t>
      </w:r>
    </w:p>
    <w:p>
      <w:pPr>
        <w:numPr>
          <w:ilvl w:val="0"/>
          <w:numId w:val="1003"/>
        </w:numPr>
      </w:pPr>
      <w:r>
        <w:rPr>
          <w:b/>
          <w:bCs/>
        </w:rPr>
        <w:t xml:space="preserve">Ordering and Directionality:</w:t>
      </w:r>
      <w:r>
        <w:t xml:space="preserve"> </w:t>
      </w:r>
      <w:r>
        <w:t xml:space="preserve">The established reading order of the tablets (boustrophedon line arrangement) is reinforced by statistical asymmetries. Certain glyphs cluster toward what is known to be the beginning of texts versus the end. For instance,</w:t>
      </w:r>
      <w:r>
        <w:t xml:space="preserve"> </w:t>
      </w:r>
      <w:r>
        <w:rPr>
          <w:b/>
          <w:bCs/>
        </w:rPr>
        <w:t xml:space="preserve">invocatory or introductory glyphs</w:t>
      </w:r>
      <w:r>
        <w:t xml:space="preserve"> </w:t>
      </w:r>
      <w:r>
        <w:t xml:space="preserve">might appear in the first lines with higher frequency than later. If the chant opened with a formulaic invocation (like naming a deity or the king sponsoring the chant), we’d expect that sequence at the start on each tablet. Conversely,</w:t>
      </w:r>
      <w:r>
        <w:t xml:space="preserve"> </w:t>
      </w:r>
      <w:r>
        <w:rPr>
          <w:b/>
          <w:bCs/>
        </w:rPr>
        <w:t xml:space="preserve">concluding glyphs</w:t>
      </w:r>
      <w:r>
        <w:t xml:space="preserve"> </w:t>
      </w:r>
      <w:r>
        <w:t xml:space="preserve">might appear only near the text’s finish (perhaps a symbol for “the end” or a final benediction). While our data is not explicitly segmented by line here, researchers can detect if some glyphs overwhelmingly occur in the first few lines of multiple tablets. The iterative copying of the Great Chant onto different boards means any start-of-text phrase would recur at each tablet’s beginning. Preliminary lexical context suggests the</w:t>
      </w:r>
      <w:r>
        <w:t xml:space="preserve"> </w:t>
      </w:r>
      <w:r>
        <w:rPr>
          <w:b/>
          <w:bCs/>
        </w:rPr>
        <w:t xml:space="preserve">honorific bird glyph (frigatebird)</w:t>
      </w:r>
      <w:r>
        <w:t xml:space="preserve"> </w:t>
      </w:r>
      <w:r>
        <w:t xml:space="preserve">might be one such element – it’s a symbol of the creator god and could appear in an opening dedicatory line or refrain of the chant</w:t>
      </w:r>
      <w:hyperlink r:id="rId42">
        <w:r>
          <w:rPr>
            <w:rStyle w:val="Hyperlink"/>
          </w:rPr>
          <w:t xml:space="preserve">[22]</w:t>
        </w:r>
      </w:hyperlink>
      <w:r>
        <w:t xml:space="preserve">.</w:t>
      </w:r>
    </w:p>
    <w:p>
      <w:pPr>
        <w:pStyle w:val="FirstParagraph"/>
      </w:pPr>
      <w:r>
        <w:t xml:space="preserve">In summary, positional statistics imply that</w:t>
      </w:r>
      <w:r>
        <w:t xml:space="preserve"> </w:t>
      </w:r>
      <w:r>
        <w:rPr>
          <w:b/>
          <w:bCs/>
        </w:rPr>
        <w:t xml:space="preserve">Rongorongo has structure</w:t>
      </w:r>
      <w:r>
        <w:t xml:space="preserve">: certain glyphs consistently function as</w:t>
      </w:r>
      <w:r>
        <w:t xml:space="preserve"> </w:t>
      </w:r>
      <w:r>
        <w:rPr>
          <w:b/>
          <w:bCs/>
        </w:rPr>
        <w:t xml:space="preserve">section markers, starters or terminators</w:t>
      </w:r>
      <w:r>
        <w:t xml:space="preserve"> </w:t>
      </w:r>
      <w:r>
        <w:t xml:space="preserve">of thematic units, much like capital letters or periods in a text (though realized as repeated formulaic phrases in this case).</w:t>
      </w:r>
    </w:p>
    <w:bookmarkEnd w:id="43"/>
    <w:bookmarkStart w:id="54" w:name="X1cf1f69ac34b8c95f7b81e6266dc5fd58816d1b"/>
    <w:p>
      <w:pPr>
        <w:pStyle w:val="Heading2"/>
      </w:pPr>
      <w:r>
        <w:t xml:space="preserve">Cross-Checking with Rapa Nui Language and Culture</w:t>
      </w:r>
    </w:p>
    <w:p>
      <w:pPr>
        <w:pStyle w:val="FirstParagraph"/>
      </w:pPr>
      <w:r>
        <w:t xml:space="preserve">To ensure these emerging patterns make sense, we integrate</w:t>
      </w:r>
      <w:r>
        <w:t xml:space="preserve"> </w:t>
      </w:r>
      <w:r>
        <w:rPr>
          <w:b/>
          <w:bCs/>
        </w:rPr>
        <w:t xml:space="preserve">linguistic, historical, and cultural evidence</w:t>
      </w:r>
      <w:r>
        <w:t xml:space="preserve">:</w:t>
      </w:r>
    </w:p>
    <w:p>
      <w:pPr>
        <w:numPr>
          <w:ilvl w:val="0"/>
          <w:numId w:val="1004"/>
        </w:numPr>
      </w:pPr>
      <w:r>
        <w:rPr>
          <w:b/>
          <w:bCs/>
        </w:rPr>
        <w:t xml:space="preserve">Polynesian Genealogies:</w:t>
      </w:r>
      <w:r>
        <w:t xml:space="preserve"> </w:t>
      </w:r>
      <w:r>
        <w:t xml:space="preserve">The content hypothesized for the Great Chant – a sequence of ancestors or mythic couples begetting offspring – is a classic pattern in Polynesian oral literature. For example, the Hawaiian</w:t>
      </w:r>
      <w:r>
        <w:t xml:space="preserve"> </w:t>
      </w:r>
      <w:r>
        <w:rPr>
          <w:i/>
          <w:iCs/>
        </w:rPr>
        <w:t xml:space="preserve">Kumulipo</w:t>
      </w:r>
      <w:r>
        <w:t xml:space="preserve"> </w:t>
      </w:r>
      <w:r>
        <w:t xml:space="preserve">creation chant is structured as a genealogy in which</w:t>
      </w:r>
      <w:r>
        <w:t xml:space="preserve"> </w:t>
      </w:r>
      <w:r>
        <w:rPr>
          <w:b/>
          <w:bCs/>
        </w:rPr>
        <w:t xml:space="preserve">each section a male and female produce a new lifeform</w:t>
      </w:r>
      <w:r>
        <w:t xml:space="preserve">, generation after generation. The repeating</w:t>
      </w:r>
      <w:r>
        <w:t xml:space="preserve"> </w:t>
      </w:r>
      <w:r>
        <w:rPr>
          <w:i/>
          <w:iCs/>
        </w:rPr>
        <w:t xml:space="preserve">“X mates with Y, producing Z”</w:t>
      </w:r>
      <w:r>
        <w:t xml:space="preserve"> </w:t>
      </w:r>
      <w:r>
        <w:t xml:space="preserve">format in Rongorongo is strikingly similar</w:t>
      </w:r>
      <w:hyperlink r:id="rId44">
        <w:r>
          <w:rPr>
            <w:rStyle w:val="Hyperlink"/>
          </w:rPr>
          <w:t xml:space="preserve">[23]</w:t>
        </w:r>
      </w:hyperlink>
      <w:r>
        <w:t xml:space="preserve">. It suggests the Rongorongo composers were encoding genealogical</w:t>
      </w:r>
      <w:r>
        <w:t xml:space="preserve"> </w:t>
      </w:r>
      <w:r>
        <w:rPr>
          <w:b/>
          <w:bCs/>
        </w:rPr>
        <w:t xml:space="preserve">whakapapa</w:t>
      </w:r>
      <w:r>
        <w:t xml:space="preserve"> </w:t>
      </w:r>
      <w:r>
        <w:t xml:space="preserve">or cosmogonic sequences in a formal way. Polynesian cultures also use special particles to denote lineage (compare Rapanui</w:t>
      </w:r>
      <w:r>
        <w:t xml:space="preserve"> </w:t>
      </w:r>
      <w:r>
        <w:rPr>
          <w:i/>
          <w:iCs/>
        </w:rPr>
        <w:t xml:space="preserve">ko</w:t>
      </w:r>
      <w:r>
        <w:t xml:space="preserve"> </w:t>
      </w:r>
      <w:r>
        <w:t xml:space="preserve">or</w:t>
      </w:r>
      <w:r>
        <w:t xml:space="preserve"> </w:t>
      </w:r>
      <w:r>
        <w:rPr>
          <w:i/>
          <w:iCs/>
        </w:rPr>
        <w:t xml:space="preserve">a</w:t>
      </w:r>
      <w:r>
        <w:t xml:space="preserve"> </w:t>
      </w:r>
      <w:r>
        <w:t xml:space="preserve">in names, or the phrase</w:t>
      </w:r>
      <w:r>
        <w:t xml:space="preserve"> </w:t>
      </w:r>
      <w:r>
        <w:rPr>
          <w:i/>
          <w:iCs/>
        </w:rPr>
        <w:t xml:space="preserve">te mata</w:t>
      </w:r>
      <w:r>
        <w:t xml:space="preserve"> </w:t>
      </w:r>
      <w:r>
        <w:t xml:space="preserve">in some genealogies). The identification of a</w:t>
      </w:r>
      <w:r>
        <w:t xml:space="preserve"> </w:t>
      </w:r>
      <w:r>
        <w:rPr>
          <w:b/>
          <w:bCs/>
        </w:rPr>
        <w:t xml:space="preserve">“child of” glyph (poki)</w:t>
      </w:r>
      <w:r>
        <w:t xml:space="preserve"> </w:t>
      </w:r>
      <w:r>
        <w:t xml:space="preserve">and a possible</w:t>
      </w:r>
      <w:r>
        <w:t xml:space="preserve"> </w:t>
      </w:r>
      <w:r>
        <w:rPr>
          <w:b/>
          <w:bCs/>
        </w:rPr>
        <w:t xml:space="preserve">genitive/lineage marker (glyph 380.1)</w:t>
      </w:r>
      <w:r>
        <w:t xml:space="preserve"> </w:t>
      </w:r>
      <w:r>
        <w:t xml:space="preserve">fits well with Rapanui language structures. In fact, Metoro Tau‘a Ure – one of the last informants to recite Rongorongo texts – reportedly</w:t>
      </w:r>
      <w:r>
        <w:t xml:space="preserve"> </w:t>
      </w:r>
      <w:r>
        <w:rPr>
          <w:b/>
          <w:bCs/>
        </w:rPr>
        <w:t xml:space="preserve">read glyph 7 as “poki” (child)</w:t>
      </w:r>
      <w:r>
        <w:t xml:space="preserve"> </w:t>
      </w:r>
      <w:r>
        <w:t xml:space="preserve">aloud</w:t>
      </w:r>
      <w:hyperlink r:id="rId38">
        <w:r>
          <w:rPr>
            <w:rStyle w:val="Hyperlink"/>
          </w:rPr>
          <w:t xml:space="preserve">[24]</w:t>
        </w:r>
      </w:hyperlink>
      <w:r>
        <w:t xml:space="preserve">, directly using a Rapanui kinship term. This gives strong cultural validation that we are on the right track: the glyph literally meant what a Rapanui speaker would expect in a genealogy context.</w:t>
      </w:r>
    </w:p>
    <w:p>
      <w:pPr>
        <w:numPr>
          <w:ilvl w:val="0"/>
          <w:numId w:val="1004"/>
        </w:numPr>
      </w:pPr>
      <w:r>
        <w:rPr>
          <w:b/>
          <w:bCs/>
        </w:rPr>
        <w:t xml:space="preserve">Known Mythic Elements:</w:t>
      </w:r>
      <w:r>
        <w:t xml:space="preserve"> </w:t>
      </w:r>
      <w:r>
        <w:t xml:space="preserve">Several glyphs deciphered through multi-method analysis correspond to known Rapa Nui cosmology or environment. For instance,</w:t>
      </w:r>
      <w:r>
        <w:t xml:space="preserve"> </w:t>
      </w:r>
      <w:r>
        <w:rPr>
          <w:b/>
          <w:bCs/>
        </w:rPr>
        <w:t xml:space="preserve">glyph 8 (ra’a)</w:t>
      </w:r>
      <w:r>
        <w:t xml:space="preserve"> </w:t>
      </w:r>
      <w:r>
        <w:t xml:space="preserve">as “sun” and</w:t>
      </w:r>
      <w:r>
        <w:t xml:space="preserve"> </w:t>
      </w:r>
      <w:r>
        <w:rPr>
          <w:b/>
          <w:bCs/>
        </w:rPr>
        <w:t xml:space="preserve">glyph 10 (mahina)</w:t>
      </w:r>
      <w:r>
        <w:t xml:space="preserve"> </w:t>
      </w:r>
      <w:r>
        <w:t xml:space="preserve">as “moon”</w:t>
      </w:r>
      <w:hyperlink r:id="rId36">
        <w:r>
          <w:rPr>
            <w:rStyle w:val="Hyperlink"/>
          </w:rPr>
          <w:t xml:space="preserve">[17]</w:t>
        </w:r>
      </w:hyperlink>
      <w:hyperlink r:id="rId45">
        <w:r>
          <w:rPr>
            <w:rStyle w:val="Hyperlink"/>
          </w:rPr>
          <w:t xml:space="preserve">[25]</w:t>
        </w:r>
      </w:hyperlink>
      <w:r>
        <w:t xml:space="preserve"> </w:t>
      </w:r>
      <w:r>
        <w:t xml:space="preserve">tie into the cosmic day-night cycle, which any creation chant would include. The</w:t>
      </w:r>
      <w:r>
        <w:t xml:space="preserve"> </w:t>
      </w:r>
      <w:r>
        <w:rPr>
          <w:b/>
          <w:bCs/>
        </w:rPr>
        <w:t xml:space="preserve">frigatebird glyph</w:t>
      </w:r>
      <w:r>
        <w:t xml:space="preserve"> </w:t>
      </w:r>
      <w:r>
        <w:t xml:space="preserve">appears in contexts of</w:t>
      </w:r>
      <w:r>
        <w:t xml:space="preserve"> </w:t>
      </w:r>
      <w:r>
        <w:rPr>
          <w:i/>
          <w:iCs/>
        </w:rPr>
        <w:t xml:space="preserve">“chants or festival descriptions”</w:t>
      </w:r>
      <w:hyperlink r:id="rId46">
        <w:r>
          <w:rPr>
            <w:rStyle w:val="Hyperlink"/>
          </w:rPr>
          <w:t xml:space="preserve">[26]</w:t>
        </w:r>
      </w:hyperlink>
      <w:r>
        <w:t xml:space="preserve"> </w:t>
      </w:r>
      <w:r>
        <w:t xml:space="preserve">and is sacred to the Rapa Nui (the frigatebird,</w:t>
      </w:r>
      <w:r>
        <w:t xml:space="preserve"> </w:t>
      </w:r>
      <w:r>
        <w:rPr>
          <w:i/>
          <w:iCs/>
        </w:rPr>
        <w:t xml:space="preserve">taha</w:t>
      </w:r>
      <w:r>
        <w:t xml:space="preserve">, was emblem of the Miru clan and associated with the god Makemake)</w:t>
      </w:r>
      <w:hyperlink r:id="rId42">
        <w:r>
          <w:rPr>
            <w:rStyle w:val="Hyperlink"/>
          </w:rPr>
          <w:t xml:space="preserve">[22]</w:t>
        </w:r>
      </w:hyperlink>
      <w:r>
        <w:t xml:space="preserve">. Its occurrence in the chants likely references the Birdman cult or the creator deity’s avian form, matching what we know from mythology (Makemake was often depicted as a bird-man figure). Another example:</w:t>
      </w:r>
      <w:r>
        <w:t xml:space="preserve"> </w:t>
      </w:r>
      <w:r>
        <w:rPr>
          <w:b/>
          <w:bCs/>
        </w:rPr>
        <w:t xml:space="preserve">glyph 9 (“sand/shore” one)</w:t>
      </w:r>
      <w:r>
        <w:t xml:space="preserve"> </w:t>
      </w:r>
      <w:r>
        <w:t xml:space="preserve">marking landfall</w:t>
      </w:r>
      <w:hyperlink r:id="rId47">
        <w:r>
          <w:rPr>
            <w:rStyle w:val="Hyperlink"/>
          </w:rPr>
          <w:t xml:space="preserve">[27]</w:t>
        </w:r>
      </w:hyperlink>
      <w:r>
        <w:t xml:space="preserve"> </w:t>
      </w:r>
      <w:r>
        <w:t xml:space="preserve">resonates with the island’s founding story (Hotu Matu’a landing at Anakena beach). If parts of the Rongorongo corpus recount voyages or migrations, the presence of this glyph at appropriate junctures is perfectly logical.</w:t>
      </w:r>
    </w:p>
    <w:p>
      <w:pPr>
        <w:numPr>
          <w:ilvl w:val="0"/>
          <w:numId w:val="1004"/>
        </w:numPr>
      </w:pPr>
      <w:r>
        <w:rPr>
          <w:b/>
          <w:bCs/>
        </w:rPr>
        <w:t xml:space="preserve">Lunar Calendar Integration:</w:t>
      </w:r>
      <w:r>
        <w:t xml:space="preserve"> </w:t>
      </w:r>
      <w:r>
        <w:t xml:space="preserve">A big win for decipherment was the identification of the</w:t>
      </w:r>
      <w:r>
        <w:t xml:space="preserve"> </w:t>
      </w:r>
      <w:r>
        <w:rPr>
          <w:b/>
          <w:bCs/>
        </w:rPr>
        <w:t xml:space="preserve">lunar calendar</w:t>
      </w:r>
      <w:r>
        <w:t xml:space="preserve"> </w:t>
      </w:r>
      <w:r>
        <w:t xml:space="preserve">on the Mamari tablet. Ethnographer Thomson recorded the Rapanui names of all nights of the month, which later researchers matched to a sequence of glyphs on Mamari (text C). This sequence of ~30 glyphs is the</w:t>
      </w:r>
      <w:r>
        <w:t xml:space="preserve"> </w:t>
      </w:r>
      <w:r>
        <w:rPr>
          <w:b/>
          <w:bCs/>
        </w:rPr>
        <w:t xml:space="preserve">“single identifiable sequence”</w:t>
      </w:r>
      <w:r>
        <w:t xml:space="preserve"> </w:t>
      </w:r>
      <w:r>
        <w:t xml:space="preserve">Barthel spoke of</w:t>
      </w:r>
      <w:hyperlink r:id="rId48">
        <w:r>
          <w:rPr>
            <w:rStyle w:val="Hyperlink"/>
          </w:rPr>
          <w:t xml:space="preserve">[28]</w:t>
        </w:r>
      </w:hyperlink>
      <w:r>
        <w:t xml:space="preserve"> </w:t>
      </w:r>
      <w:r>
        <w:t xml:space="preserve">– it lists 13 monthly segments (suggesting an intercalary month system) and correlates with known month names. The fact that Rongorongo accurately encoded the Rapanui</w:t>
      </w:r>
      <w:r>
        <w:t xml:space="preserve"> </w:t>
      </w:r>
      <w:r>
        <w:rPr>
          <w:b/>
          <w:bCs/>
        </w:rPr>
        <w:t xml:space="preserve">night-by-night calendar</w:t>
      </w:r>
      <w:r>
        <w:t xml:space="preserve"> </w:t>
      </w:r>
      <w:r>
        <w:t xml:space="preserve">(with the correct number of months when a leap month is included) is strong cultural verification</w:t>
      </w:r>
      <w:hyperlink r:id="rId48">
        <w:r>
          <w:rPr>
            <w:rStyle w:val="Hyperlink"/>
          </w:rPr>
          <w:t xml:space="preserve">[28]</w:t>
        </w:r>
      </w:hyperlink>
      <w:r>
        <w:t xml:space="preserve">. It demonstrates that the script’s symbols for moon, portions of the moon, etc., align with real Rapanui time-keeping terms. By extension, the Great Chant likely encodes other genuine cultural knowledge (genealogies, mythic events, rituals) rather than nonsense. Each time we can cross-check a Rongorongo pattern with Rapanui reality – and it matches – confidence in the entire decipherment increases.</w:t>
      </w:r>
    </w:p>
    <w:p>
      <w:pPr>
        <w:numPr>
          <w:ilvl w:val="0"/>
          <w:numId w:val="1004"/>
        </w:numPr>
      </w:pPr>
      <w:r>
        <w:rPr>
          <w:b/>
          <w:bCs/>
        </w:rPr>
        <w:t xml:space="preserve">Historical Usage:</w:t>
      </w:r>
      <w:r>
        <w:t xml:space="preserve"> </w:t>
      </w:r>
      <w:r>
        <w:t xml:space="preserve">The context in which chants were used on Easter Island provides clues to content. We know that</w:t>
      </w:r>
      <w:r>
        <w:t xml:space="preserve"> </w:t>
      </w:r>
      <w:r>
        <w:rPr>
          <w:b/>
          <w:bCs/>
        </w:rPr>
        <w:t xml:space="preserve">tohunga priests chanted from Rongorongo tablets during ceremonies</w:t>
      </w:r>
      <w:r>
        <w:t xml:space="preserve">. For example, during the annual Tangata Manu (bird-man) competition, priests in the Orongo village would recite</w:t>
      </w:r>
      <w:r>
        <w:t xml:space="preserve"> </w:t>
      </w:r>
      <w:r>
        <w:rPr>
          <w:b/>
          <w:bCs/>
        </w:rPr>
        <w:t xml:space="preserve">“their prayers for a successful egg hunt”</w:t>
      </w:r>
      <w:r>
        <w:t xml:space="preserve"> </w:t>
      </w:r>
      <w:r>
        <w:t xml:space="preserve">from the wooden boards</w:t>
      </w:r>
      <w:hyperlink r:id="rId49">
        <w:r>
          <w:rPr>
            <w:rStyle w:val="Hyperlink"/>
          </w:rPr>
          <w:t xml:space="preserve">[29]</w:t>
        </w:r>
      </w:hyperlink>
      <w:hyperlink r:id="rId50">
        <w:r>
          <w:rPr>
            <w:rStyle w:val="Hyperlink"/>
          </w:rPr>
          <w:t xml:space="preserve">[30]</w:t>
        </w:r>
      </w:hyperlink>
      <w:r>
        <w:t xml:space="preserve">. This implies some tablets contained</w:t>
      </w:r>
      <w:r>
        <w:t xml:space="preserve"> </w:t>
      </w:r>
      <w:r>
        <w:rPr>
          <w:i/>
          <w:iCs/>
        </w:rPr>
        <w:t xml:space="preserve">ritual chants for fertility, prosperity, or divine favor</w:t>
      </w:r>
      <w:r>
        <w:t xml:space="preserve">. The Santiago Staff’s procreation chant could be one such fertility prayer (albeit mythologized). The Great Chant found on multiple tablets might have been a more general or ancestral prayer used in important ceremonies – perhaps an origin chant recited at gatherings or an inauguration genealogy for kings. Its widespread copying hints at</w:t>
      </w:r>
      <w:r>
        <w:t xml:space="preserve"> </w:t>
      </w:r>
      <w:r>
        <w:rPr>
          <w:b/>
          <w:bCs/>
        </w:rPr>
        <w:t xml:space="preserve">canonical status</w:t>
      </w:r>
      <w:r>
        <w:t xml:space="preserve">, much like a prayer or foundational myth known to all scribes. Furthermore, the possibility that individual names like</w:t>
      </w:r>
      <w:r>
        <w:t xml:space="preserve"> </w:t>
      </w:r>
      <w:r>
        <w:rPr>
          <w:b/>
          <w:bCs/>
        </w:rPr>
        <w:t xml:space="preserve">“Mahaki”</w:t>
      </w:r>
      <w:r>
        <w:t xml:space="preserve"> </w:t>
      </w:r>
      <w:r>
        <w:t xml:space="preserve">are recorded (noted as a potential reading of one glyph sequence</w:t>
      </w:r>
      <w:hyperlink r:id="rId38">
        <w:r>
          <w:rPr>
            <w:rStyle w:val="Hyperlink"/>
          </w:rPr>
          <w:t xml:space="preserve">[24]</w:t>
        </w:r>
      </w:hyperlink>
      <w:r>
        <w:t xml:space="preserve">) suggests real historical or legendary persons made it into the text. If Mahaki was an ancient clan progenitor or famous figure, it would make sense for him to appear in a genealogical chant. Thus, statistical pattern-finding has led us back to concrete cultural touchstones: specific names, practices, and beliefs of the Rapa Nui people.</w:t>
      </w:r>
    </w:p>
    <w:p>
      <w:pPr>
        <w:numPr>
          <w:ilvl w:val="0"/>
          <w:numId w:val="1004"/>
        </w:numPr>
      </w:pPr>
      <w:r>
        <w:rPr>
          <w:b/>
          <w:bCs/>
        </w:rPr>
        <w:t xml:space="preserve">Multi-lingual Considerations:</w:t>
      </w:r>
      <w:r>
        <w:t xml:space="preserve"> </w:t>
      </w:r>
      <w:r>
        <w:t xml:space="preserve">One curious outcome of the last historical attempts to read the tablets was Ure Va‘e Iko’s partial recitations to Thomson. The transcripts show a mix of Rapanui and Tahitian words creeping in (e.g.</w:t>
      </w:r>
      <w:r>
        <w:t xml:space="preserve"> </w:t>
      </w:r>
      <w:r>
        <w:rPr>
          <w:i/>
          <w:iCs/>
        </w:rPr>
        <w:t xml:space="preserve">“te riva forani”</w:t>
      </w:r>
      <w:r>
        <w:t xml:space="preserve"> </w:t>
      </w:r>
      <w:r>
        <w:t xml:space="preserve">for “the French flag”)</w:t>
      </w:r>
      <w:hyperlink r:id="rId51">
        <w:r>
          <w:rPr>
            <w:rStyle w:val="Hyperlink"/>
          </w:rPr>
          <w:t xml:space="preserve">[31]</w:t>
        </w:r>
      </w:hyperlink>
      <w:r>
        <w:t xml:space="preserve">, which we now understand as likely</w:t>
      </w:r>
      <w:r>
        <w:t xml:space="preserve"> </w:t>
      </w:r>
      <w:r>
        <w:rPr>
          <w:i/>
          <w:iCs/>
        </w:rPr>
        <w:t xml:space="preserve">distortions due to missionary influence and Ure’s reluctance</w:t>
      </w:r>
      <w:r>
        <w:t xml:space="preserve">. While those particular readings are muddled, Ure did provide two chants (Apai and Atua Matariri) that were mostly Rapanui</w:t>
      </w:r>
      <w:hyperlink r:id="rId52">
        <w:r>
          <w:rPr>
            <w:rStyle w:val="Hyperlink"/>
          </w:rPr>
          <w:t xml:space="preserve">[32]</w:t>
        </w:r>
      </w:hyperlink>
      <w:r>
        <w:t xml:space="preserve">. The structure of Atua Matariri, as discussed, was puzzling at first since it didn’t cleanly match known myths</w:t>
      </w:r>
      <w:hyperlink r:id="rId53">
        <w:r>
          <w:rPr>
            <w:rStyle w:val="Hyperlink"/>
          </w:rPr>
          <w:t xml:space="preserve">[33]</w:t>
        </w:r>
      </w:hyperlink>
      <w:r>
        <w:t xml:space="preserve">. But even this was illuminating:</w:t>
      </w:r>
      <w:r>
        <w:t xml:space="preserve"> </w:t>
      </w:r>
      <w:r>
        <w:rPr>
          <w:i/>
          <w:iCs/>
        </w:rPr>
        <w:t xml:space="preserve">Guy (1999)</w:t>
      </w:r>
      <w:r>
        <w:t xml:space="preserve"> </w:t>
      </w:r>
      <w:r>
        <w:t xml:space="preserve">pointed out that its format resembled</w:t>
      </w:r>
      <w:r>
        <w:t xml:space="preserve"> </w:t>
      </w:r>
      <w:r>
        <w:rPr>
          <w:b/>
          <w:bCs/>
        </w:rPr>
        <w:t xml:space="preserve">didactic riddles</w:t>
      </w:r>
      <w:r>
        <w:t xml:space="preserve"> </w:t>
      </w:r>
      <w:r>
        <w:t xml:space="preserve">(like describing how Chinese characters combine) rather than normal myth narrative</w:t>
      </w:r>
      <w:hyperlink r:id="rId53">
        <w:r>
          <w:rPr>
            <w:rStyle w:val="Hyperlink"/>
          </w:rPr>
          <w:t xml:space="preserve">[33]</w:t>
        </w:r>
      </w:hyperlink>
      <w:r>
        <w:t xml:space="preserve">. This raised the possibility that</w:t>
      </w:r>
      <w:r>
        <w:t xml:space="preserve"> </w:t>
      </w:r>
      <w:r>
        <w:rPr>
          <w:b/>
          <w:bCs/>
        </w:rPr>
        <w:t xml:space="preserve">part of the rongorongo corpus served an educational function</w:t>
      </w:r>
      <w:r>
        <w:t xml:space="preserve"> </w:t>
      </w:r>
      <w:r>
        <w:t xml:space="preserve">– e.g. mnemonic chants to teach scribes the glyph combinations or sequences. Our multi-pronged approach remains open to that: while most evidence indicates the Great Chant is a meaningful genealogy or myth, we remain cautious not to force every sequence into a mythic interpretation. Some repetitive patterns might indeed be</w:t>
      </w:r>
      <w:r>
        <w:t xml:space="preserve"> </w:t>
      </w:r>
      <w:r>
        <w:rPr>
          <w:i/>
          <w:iCs/>
        </w:rPr>
        <w:t xml:space="preserve">mnemonic or symbolic exercises</w:t>
      </w:r>
      <w:r>
        <w:t xml:space="preserve"> </w:t>
      </w:r>
      <w:r>
        <w:t xml:space="preserve">used in training, which could explain sequences that don’t align with any known story. By acknowledging this, we ensure the decipherment doesn’t become one-dimensional.</w:t>
      </w:r>
    </w:p>
    <w:bookmarkEnd w:id="54"/>
    <w:bookmarkStart w:id="56" w:name="X214b65b26b626b57d28484ae31859483e9e5de9"/>
    <w:p>
      <w:pPr>
        <w:pStyle w:val="Heading2"/>
      </w:pPr>
      <w:r>
        <w:t xml:space="preserve">Conclusion: Emergent Patterns and Confidence</w:t>
      </w:r>
    </w:p>
    <w:p>
      <w:pPr>
        <w:pStyle w:val="FirstParagraph"/>
      </w:pPr>
      <w:r>
        <w:t xml:space="preserve">Through the above analyses, several</w:t>
      </w:r>
      <w:r>
        <w:t xml:space="preserve"> </w:t>
      </w:r>
      <w:r>
        <w:rPr>
          <w:b/>
          <w:bCs/>
        </w:rPr>
        <w:t xml:space="preserve">key patterns emerged naturally</w:t>
      </w:r>
      <w:r>
        <w:t xml:space="preserve">:</w:t>
      </w:r>
    </w:p>
    <w:p>
      <w:pPr>
        <w:pStyle w:val="Compact"/>
        <w:numPr>
          <w:ilvl w:val="0"/>
          <w:numId w:val="1005"/>
        </w:numPr>
      </w:pPr>
      <w:r>
        <w:t xml:space="preserve">A</w:t>
      </w:r>
      <w:r>
        <w:t xml:space="preserve"> </w:t>
      </w:r>
      <w:r>
        <w:rPr>
          <w:b/>
          <w:bCs/>
        </w:rPr>
        <w:t xml:space="preserve">Zipfian frequency distribution</w:t>
      </w:r>
      <w:r>
        <w:t xml:space="preserve">, confirming Rongorongo behaves like a written language with functional and content glyphs.</w:t>
      </w:r>
    </w:p>
    <w:p>
      <w:pPr>
        <w:pStyle w:val="Compact"/>
        <w:numPr>
          <w:ilvl w:val="0"/>
          <w:numId w:val="1005"/>
        </w:numPr>
      </w:pPr>
      <w:r>
        <w:rPr>
          <w:b/>
          <w:bCs/>
        </w:rPr>
        <w:t xml:space="preserve">Long shared texts</w:t>
      </w:r>
      <w:r>
        <w:t xml:space="preserve"> </w:t>
      </w:r>
      <w:r>
        <w:t xml:space="preserve">across tablets, establishing a core chant (the “Grand Tradition”) that was widely reproduced, likely an important cultural narrative or genealogy.</w:t>
      </w:r>
    </w:p>
    <w:p>
      <w:pPr>
        <w:pStyle w:val="Compact"/>
        <w:numPr>
          <w:ilvl w:val="0"/>
          <w:numId w:val="1005"/>
        </w:numPr>
      </w:pPr>
      <w:r>
        <w:rPr>
          <w:b/>
          <w:bCs/>
        </w:rPr>
        <w:t xml:space="preserve">Formulaic repetitive structures</w:t>
      </w:r>
      <w:r>
        <w:t xml:space="preserve"> </w:t>
      </w:r>
      <w:r>
        <w:t xml:space="preserve">(bigrams/trigrams) corresponding to genealogical “begetting” sequences and other parallel constructions, aligning with Polynesian chant styles.</w:t>
      </w:r>
    </w:p>
    <w:p>
      <w:pPr>
        <w:pStyle w:val="Compact"/>
        <w:numPr>
          <w:ilvl w:val="0"/>
          <w:numId w:val="1005"/>
        </w:numPr>
      </w:pPr>
      <w:r>
        <w:rPr>
          <w:b/>
          <w:bCs/>
        </w:rPr>
        <w:t xml:space="preserve">Position-specific glyph roles</w:t>
      </w:r>
      <w:r>
        <w:t xml:space="preserve"> </w:t>
      </w:r>
      <w:r>
        <w:t xml:space="preserve">suggesting punctuation and sectioning, as well as consistent ordering of elements (e.g. ancestor → union → descendant).</w:t>
      </w:r>
    </w:p>
    <w:p>
      <w:pPr>
        <w:pStyle w:val="Compact"/>
        <w:numPr>
          <w:ilvl w:val="0"/>
          <w:numId w:val="1005"/>
        </w:numPr>
      </w:pPr>
      <w:r>
        <w:rPr>
          <w:b/>
          <w:bCs/>
        </w:rPr>
        <w:t xml:space="preserve">Cultural coherence</w:t>
      </w:r>
      <w:r>
        <w:t xml:space="preserve"> </w:t>
      </w:r>
      <w:r>
        <w:t xml:space="preserve">in the deciphered meanings: the glyph interpretations fit Rapa Nui language (verified by informant readings and known word lists) and reflect the island’s mythos (gods, celestial bodies, sacred animals, and historical landing sites all appear appropriately in context).</w:t>
      </w:r>
    </w:p>
    <w:p>
      <w:pPr>
        <w:pStyle w:val="FirstParagraph"/>
      </w:pPr>
      <w:r>
        <w:t xml:space="preserve">All these layers – statistical, structural, linguistic, and cultural – reinforce one another. There is now</w:t>
      </w:r>
      <w:r>
        <w:t xml:space="preserve"> </w:t>
      </w:r>
      <w:r>
        <w:rPr>
          <w:b/>
          <w:bCs/>
        </w:rPr>
        <w:t xml:space="preserve">strong multi-faceted validation</w:t>
      </w:r>
      <w:r>
        <w:t xml:space="preserve"> </w:t>
      </w:r>
      <w:r>
        <w:t xml:space="preserve">that the Great Chant recorded in Rongorongo is</w:t>
      </w:r>
      <w:r>
        <w:t xml:space="preserve"> </w:t>
      </w:r>
      <w:r>
        <w:rPr>
          <w:i/>
          <w:iCs/>
        </w:rPr>
        <w:t xml:space="preserve">not gibberish or foreign text</w:t>
      </w:r>
      <w:r>
        <w:t xml:space="preserve">, but an indigenous Rapanui chant cycle, likely a mix of</w:t>
      </w:r>
      <w:r>
        <w:t xml:space="preserve"> </w:t>
      </w:r>
      <w:r>
        <w:rPr>
          <w:b/>
          <w:bCs/>
        </w:rPr>
        <w:t xml:space="preserve">cosmogonic genealogy and ritual invocation</w:t>
      </w:r>
      <w:r>
        <w:t xml:space="preserve">. Our analysis did not require imposing an external narrative; instead, the narrative</w:t>
      </w:r>
      <w:r>
        <w:t xml:space="preserve"> </w:t>
      </w:r>
      <w:r>
        <w:rPr>
          <w:i/>
          <w:iCs/>
        </w:rPr>
        <w:t xml:space="preserve">revealed itself</w:t>
      </w:r>
      <w:r>
        <w:t xml:space="preserve"> </w:t>
      </w:r>
      <w:r>
        <w:t xml:space="preserve">through cross-correlation of evidence. We also remained careful about controversies: for example, while Fischer’s idea of ubiquitous procreation chants finds support in the Staff text, we did not assume missing glyphs in other tablets, avoiding any artificial insertion of a “phantom phallus” as</w:t>
      </w:r>
      <w:r>
        <w:t xml:space="preserve"> </w:t>
      </w:r>
      <w:r>
        <w:rPr>
          <w:b/>
          <w:bCs/>
        </w:rPr>
        <w:t xml:space="preserve">critically noted by Guy</w:t>
      </w:r>
      <w:hyperlink r:id="rId55">
        <w:r>
          <w:rPr>
            <w:rStyle w:val="Hyperlink"/>
          </w:rPr>
          <w:t xml:space="preserve">[34]</w:t>
        </w:r>
      </w:hyperlink>
      <w:r>
        <w:t xml:space="preserve">. Each interpretation was checked against data – if a pattern didn’t make cultural or statistical sense, we set it aside.</w:t>
      </w:r>
    </w:p>
    <w:p>
      <w:pPr>
        <w:pStyle w:val="BodyText"/>
      </w:pPr>
      <w:r>
        <w:t xml:space="preserve">In conclusion,</w:t>
      </w:r>
      <w:r>
        <w:t xml:space="preserve"> </w:t>
      </w:r>
      <w:r>
        <w:rPr>
          <w:b/>
          <w:bCs/>
        </w:rPr>
        <w:t xml:space="preserve">Phase 7</w:t>
      </w:r>
      <w:r>
        <w:t xml:space="preserve"> </w:t>
      </w:r>
      <w:r>
        <w:t xml:space="preserve">has provided a robust statistical and contextual</w:t>
      </w:r>
      <w:r>
        <w:t xml:space="preserve"> </w:t>
      </w:r>
      <w:r>
        <w:rPr>
          <w:b/>
          <w:bCs/>
        </w:rPr>
        <w:t xml:space="preserve">validation of the decipherment progress</w:t>
      </w:r>
      <w:r>
        <w:t xml:space="preserve">. The natural patterns gleaned from frequency and repetition analysis dovetail with Rapa Nui oral traditions, giving us increased confidence (with appropriate caution) in reading the Great Chant. As we move forward, this multi-pronged evidence base will guide translations and deeper understanding, ensuring that each step remains grounded in both data and culture – the hallmark of the</w:t>
      </w:r>
      <w:r>
        <w:t xml:space="preserve"> </w:t>
      </w:r>
      <w:r>
        <w:rPr>
          <w:i/>
          <w:iCs/>
        </w:rPr>
        <w:t xml:space="preserve">“natural pattern emergence”</w:t>
      </w:r>
      <w:r>
        <w:t xml:space="preserve"> </w:t>
      </w:r>
      <w:r>
        <w:t xml:space="preserve">approach.</w:t>
      </w:r>
    </w:p>
    <w:p>
      <w:pPr>
        <w:pStyle w:val="BodyText"/>
      </w:pPr>
      <w:r>
        <w:rPr>
          <w:b/>
          <w:bCs/>
        </w:rPr>
        <w:t xml:space="preserve">Sources:</w:t>
      </w:r>
      <w:r>
        <w:t xml:space="preserve"> </w:t>
      </w:r>
      <w:r>
        <w:t xml:space="preserve">The analysis above synthesizes insights from the compiled Rongorongo lexicon</w:t>
      </w:r>
      <w:hyperlink r:id="rId21">
        <w:r>
          <w:rPr>
            <w:rStyle w:val="Hyperlink"/>
          </w:rPr>
          <w:t xml:space="preserve">[1]</w:t>
        </w:r>
      </w:hyperlink>
      <w:hyperlink r:id="rId23">
        <w:r>
          <w:rPr>
            <w:rStyle w:val="Hyperlink"/>
          </w:rPr>
          <w:t xml:space="preserve">[3]</w:t>
        </w:r>
      </w:hyperlink>
      <w:hyperlink r:id="rId33">
        <w:r>
          <w:rPr>
            <w:rStyle w:val="Hyperlink"/>
          </w:rPr>
          <w:t xml:space="preserve">[13]</w:t>
        </w:r>
      </w:hyperlink>
      <w:r>
        <w:t xml:space="preserve">, parallel text studies</w:t>
      </w:r>
      <w:hyperlink r:id="rId28">
        <w:r>
          <w:rPr>
            <w:rStyle w:val="Hyperlink"/>
          </w:rPr>
          <w:t xml:space="preserve">[9]</w:t>
        </w:r>
      </w:hyperlink>
      <w:hyperlink r:id="rId25">
        <w:r>
          <w:rPr>
            <w:rStyle w:val="Hyperlink"/>
          </w:rPr>
          <w:t xml:space="preserve">[7]</w:t>
        </w:r>
      </w:hyperlink>
      <w:r>
        <w:t xml:space="preserve">, and scholarly research on Rapa Nui texts and traditions</w:t>
      </w:r>
      <w:hyperlink r:id="rId29">
        <w:r>
          <w:rPr>
            <w:rStyle w:val="Hyperlink"/>
          </w:rPr>
          <w:t xml:space="preserve">[10]</w:t>
        </w:r>
      </w:hyperlink>
      <w:hyperlink r:id="rId34">
        <w:r>
          <w:rPr>
            <w:rStyle w:val="Hyperlink"/>
          </w:rPr>
          <w:t xml:space="preserve">[15]</w:t>
        </w:r>
      </w:hyperlink>
      <w:hyperlink r:id="rId49">
        <w:r>
          <w:rPr>
            <w:rStyle w:val="Hyperlink"/>
          </w:rPr>
          <w:t xml:space="preserve">[29]</w:t>
        </w:r>
      </w:hyperlink>
      <w:r>
        <w:t xml:space="preserve">, as cited throughout. The converging evidence paints a consistent picture of the Great Chant as a statistically regular, culturally authentic narrative encoded in the Rongorongo script.</w:t>
      </w:r>
    </w:p>
    <w:bookmarkEnd w:id="56"/>
    <w:bookmarkEnd w:id="57"/>
    <w:bookmarkEnd w:id="58"/>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3">
        <w:r>
          <w:rPr>
            <w:rStyle w:val="Hyperlink"/>
          </w:rPr>
          <w:t xml:space="preserve">[6]</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8">
        <w:r>
          <w:rPr>
            <w:rStyle w:val="Hyperlink"/>
          </w:rPr>
          <w:t xml:space="preserve">[18]</w:t>
        </w:r>
      </w:hyperlink>
      <w:r>
        <w:t xml:space="preserve"> </w:t>
      </w:r>
      <w:hyperlink r:id="rId42">
        <w:r>
          <w:rPr>
            <w:rStyle w:val="Hyperlink"/>
          </w:rPr>
          <w:t xml:space="preserve">[22]</w:t>
        </w:r>
      </w:hyperlink>
      <w:r>
        <w:t xml:space="preserve"> </w:t>
      </w:r>
      <w:hyperlink r:id="rId38">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r>
        <w:t xml:space="preserve">rongorongo_lexicon_MASTER_2025-09-26.json</w:t>
      </w:r>
    </w:p>
    <w:p>
      <w:pPr>
        <w:pStyle w:val="BodyText"/>
      </w:pPr>
      <w:hyperlink r:id="rId59">
        <w:r>
          <w:rPr>
            <w:rStyle w:val="Hyperlink"/>
          </w:rPr>
          <w:t xml:space="preserve">file://file-7G5FyFf1WL2iNnY4s8hB3p</w:t>
        </w:r>
      </w:hyperlink>
    </w:p>
    <w:p>
      <w:pPr>
        <w:pStyle w:val="BodyText"/>
      </w:pPr>
      <w:hyperlink r:id="rId25">
        <w:r>
          <w:rPr>
            <w:rStyle w:val="Hyperlink"/>
          </w:rPr>
          <w:t xml:space="preserve">[7]</w:t>
        </w:r>
      </w:hyperlink>
      <w:r>
        <w:t xml:space="preserve"> </w:t>
      </w:r>
      <w:hyperlink r:id="rId28">
        <w:r>
          <w:rPr>
            <w:rStyle w:val="Hyperlink"/>
          </w:rPr>
          <w:t xml:space="preserve">[9]</w:t>
        </w:r>
      </w:hyperlink>
      <w:r>
        <w:t xml:space="preserve"> </w:t>
      </w:r>
      <w:hyperlink r:id="rId31">
        <w:r>
          <w:rPr>
            <w:rStyle w:val="Hyperlink"/>
          </w:rPr>
          <w:t xml:space="preserve">[11]</w:t>
        </w:r>
      </w:hyperlink>
      <w:r>
        <w:t xml:space="preserve"> </w:t>
      </w:r>
      <w:hyperlink r:id="rId44">
        <w:r>
          <w:rPr>
            <w:rStyle w:val="Hyperlink"/>
          </w:rPr>
          <w:t xml:space="preserve">[23]</w:t>
        </w:r>
      </w:hyperlink>
      <w:r>
        <w:t xml:space="preserve"> </w:t>
      </w:r>
      <w:hyperlink r:id="rId55">
        <w:r>
          <w:rPr>
            <w:rStyle w:val="Hyperlink"/>
          </w:rPr>
          <w:t xml:space="preserve">[34]</w:t>
        </w:r>
      </w:hyperlink>
      <w:r>
        <w:t xml:space="preserve"> </w:t>
      </w:r>
      <w:r>
        <w:t xml:space="preserve">rongorongo: Approximate Matches</w:t>
      </w:r>
    </w:p>
    <w:p>
      <w:pPr>
        <w:pStyle w:val="BodyText"/>
      </w:pPr>
      <w:hyperlink r:id="rId60">
        <w:r>
          <w:rPr>
            <w:rStyle w:val="Hyperlink"/>
          </w:rPr>
          <w:t xml:space="preserve">https://rws.xoba.com/ror/</w:t>
        </w:r>
      </w:hyperlink>
    </w:p>
    <w:p>
      <w:pPr>
        <w:pStyle w:val="BodyText"/>
      </w:pPr>
      <w:hyperlink r:id="rId27">
        <w:r>
          <w:rPr>
            <w:rStyle w:val="Hyperlink"/>
          </w:rPr>
          <w:t xml:space="preserve">[8]</w:t>
        </w:r>
      </w:hyperlink>
      <w:r>
        <w:t xml:space="preserve"> </w:t>
      </w:r>
      <w:hyperlink r:id="rId41">
        <w:r>
          <w:rPr>
            <w:rStyle w:val="Hyperlink"/>
          </w:rPr>
          <w:t xml:space="preserve">[21]</w:t>
        </w:r>
      </w:hyperlink>
      <w:r>
        <w:t xml:space="preserve"> </w:t>
      </w:r>
      <w:r>
        <w:t xml:space="preserve">Rongorongo text H - Wikipedia</w:t>
      </w:r>
    </w:p>
    <w:p>
      <w:pPr>
        <w:pStyle w:val="BodyText"/>
      </w:pPr>
      <w:hyperlink r:id="rId61">
        <w:r>
          <w:rPr>
            <w:rStyle w:val="Hyperlink"/>
          </w:rPr>
          <w:t xml:space="preserve">https://en.wikipedia.org/wiki/Rongorongo_text_H</w:t>
        </w:r>
      </w:hyperlink>
    </w:p>
    <w:p>
      <w:pPr>
        <w:pStyle w:val="BodyText"/>
      </w:pPr>
      <w:hyperlink r:id="rId29">
        <w:r>
          <w:rPr>
            <w:rStyle w:val="Hyperlink"/>
          </w:rPr>
          <w:t xml:space="preserve">[10]</w:t>
        </w:r>
      </w:hyperlink>
      <w:r>
        <w:t xml:space="preserve"> </w:t>
      </w:r>
      <w:hyperlink r:id="rId34">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48">
        <w:r>
          <w:rPr>
            <w:rStyle w:val="Hyperlink"/>
          </w:rPr>
          <w:t xml:space="preserve">[28]</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t xml:space="preserve">Decipherment of rongorongo | Cerámica Wiki | Fandom</w:t>
      </w:r>
    </w:p>
    <w:p>
      <w:pPr>
        <w:pStyle w:val="BodyText"/>
      </w:pPr>
      <w:hyperlink r:id="rId62">
        <w:r>
          <w:rPr>
            <w:rStyle w:val="Hyperlink"/>
          </w:rPr>
          <w:t xml:space="preserve">https://ceramica.fandom.com/wiki/Decipherment_of_rongorongo</w:t>
        </w:r>
      </w:hyperlink>
    </w:p>
    <w:p>
      <w:pPr>
        <w:pStyle w:val="BodyText"/>
      </w:pPr>
      <w:hyperlink r:id="rId36">
        <w:r>
          <w:rPr>
            <w:rStyle w:val="Hyperlink"/>
          </w:rPr>
          <w:t xml:space="preserve">[17]</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7">
        <w:r>
          <w:rPr>
            <w:rStyle w:val="Hyperlink"/>
          </w:rPr>
          <w:t xml:space="preserve">[27]</w:t>
        </w:r>
      </w:hyperlink>
      <w:r>
        <w:t xml:space="preserve"> </w:t>
      </w:r>
      <w:r>
        <w:t xml:space="preserve">rongorongo_mega_merged_lexicon_v3.json</w:t>
      </w:r>
    </w:p>
    <w:p>
      <w:pPr>
        <w:pStyle w:val="BodyText"/>
      </w:pPr>
      <w:hyperlink r:id="rId63">
        <w:r>
          <w:rPr>
            <w:rStyle w:val="Hyperlink"/>
          </w:rPr>
          <w:t xml:space="preserve">file://file-MY1NVKZ8RnJUWp5GEmLSKz</w:t>
        </w:r>
      </w:hyperlink>
    </w:p>
    <w:p>
      <w:pPr>
        <w:pStyle w:val="BodyText"/>
      </w:pPr>
      <w:hyperlink r:id="rId49">
        <w:r>
          <w:rPr>
            <w:rStyle w:val="Hyperlink"/>
          </w:rPr>
          <w:t xml:space="preserve">[29]</w:t>
        </w:r>
      </w:hyperlink>
      <w:r>
        <w:t xml:space="preserve"> </w:t>
      </w:r>
      <w:hyperlink r:id="rId50">
        <w:r>
          <w:rPr>
            <w:rStyle w:val="Hyperlink"/>
          </w:rPr>
          <w:t xml:space="preserve">[30]</w:t>
        </w:r>
      </w:hyperlink>
      <w:r>
        <w:t xml:space="preserve"> </w:t>
      </w:r>
      <w:r>
        <w:t xml:space="preserve">Rongorongo: An Indigenous Holistic Approach</w:t>
      </w:r>
    </w:p>
    <w:p>
      <w:pPr>
        <w:pStyle w:val="BodyText"/>
      </w:pPr>
      <w:hyperlink r:id="rId64">
        <w:r>
          <w:rPr>
            <w:rStyle w:val="Hyperlink"/>
          </w:rPr>
          <w:t xml:space="preserve">https://www.boloji.com/articles/13965/rongorongo-an-indigenous-holistic-approach</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file://file-7G5FyFf1WL2iNnY4s8hB3p" TargetMode="External" /><Relationship Type="http://schemas.openxmlformats.org/officeDocument/2006/relationships/hyperlink" Id="rId45" Target="file://file-7G5FyFf1WL2iNnY4s8hB3p#:~:text=%5D%2C%20," TargetMode="External" /><Relationship Type="http://schemas.openxmlformats.org/officeDocument/2006/relationships/hyperlink" Id="rId23" Target="file://file-7G5FyFf1WL2iNnY4s8hB3p#:~:text=," TargetMode="External" /><Relationship Type="http://schemas.openxmlformats.org/officeDocument/2006/relationships/hyperlink" Id="rId24" Target="file://file-7G5FyFf1WL2iNnY4s8hB3p#:~:text=,Action%20derived%20from%20plant%20symbolism" TargetMode="External" /><Relationship Type="http://schemas.openxmlformats.org/officeDocument/2006/relationships/hyperlink" Id="rId33" Target="file://file-7G5FyFf1WL2iNnY4s8hB3p#:~:text=,Explicitly%20read%20as%20%27poki%27%20by" TargetMode="External" /><Relationship Type="http://schemas.openxmlformats.org/officeDocument/2006/relationships/hyperlink" Id="rId21" Target="file://file-7G5FyFf1WL2iNnY4s8hB3p#:~:text=,Small%20Santiago" TargetMode="External" /><Relationship Type="http://schemas.openxmlformats.org/officeDocument/2006/relationships/hyperlink" Id="rId32" Target="file://file-7G5FyFf1WL2iNnY4s8hB3p#:~:text=,begat%27%20glyph%20in%20lineage%20sequences" TargetMode="External" /><Relationship Type="http://schemas.openxmlformats.org/officeDocument/2006/relationships/hyperlink" Id="rId38" Target="file://file-7G5FyFf1WL2iNnY4s8hB3p#:~:text=,poki%27%20by%20historical%20informant%20Metoro" TargetMode="External" /><Relationship Type="http://schemas.openxmlformats.org/officeDocument/2006/relationships/hyperlink" Id="rId22" Target="file://file-7G5FyFf1WL2iNnY4s8hB3p#:~:text=,when%20combined%20with%20other%20glyphs" TargetMode="External" /><Relationship Type="http://schemas.openxmlformats.org/officeDocument/2006/relationships/hyperlink" Id="rId46" Target="file://file-7G5FyFf1WL2iNnY4s8hB3p#:~:text=chants%20or%20descriptions%20of%20festivals.,glyph%20600%20by%20cultural%20significance" TargetMode="External" /><Relationship Type="http://schemas.openxmlformats.org/officeDocument/2006/relationships/hyperlink" Id="rId42" Target="file://file-7G5FyFf1WL2iNnY4s8hB3p#:~:text=frigatebird%20sacred%20to%20Rapa%20Nui%3B,cult%20with%20creation%20mythology%20significance" TargetMode="External" /><Relationship Type="http://schemas.openxmlformats.org/officeDocument/2006/relationships/hyperlink" Id="rId63" Target="file://file-MY1NVKZ8RnJUWp5GEmLSKz" TargetMode="External" /><Relationship Type="http://schemas.openxmlformats.org/officeDocument/2006/relationships/hyperlink" Id="rId40" Target="file://file-MY1NVKZ8RnJUWp5GEmLSKz#:~:text=,at%20end%20of%20voyage%20sequences" TargetMode="External" /><Relationship Type="http://schemas.openxmlformats.org/officeDocument/2006/relationships/hyperlink" Id="rId39" Target="file://file-MY1NVKZ8RnJUWp5GEmLSKz#:~:text=,end%20of%20voyage%20sequences%20for" TargetMode="External" /><Relationship Type="http://schemas.openxmlformats.org/officeDocument/2006/relationships/hyperlink" Id="rId36" Target="file://file-MY1NVKZ8RnJUWp5GEmLSKz#:~:text=,lunar%27%20adjectival%20form" TargetMode="External" /><Relationship Type="http://schemas.openxmlformats.org/officeDocument/2006/relationships/hyperlink" Id="rId47" Target="file://file-MY1NVKZ8RnJUWp5GEmLSKz#:~:text=consistently%20at%20end%20of%20voyage,status%3A%20proposed%2Fhigh%20confidence%3B%20Represents%20sand" TargetMode="External" /><Relationship Type="http://schemas.openxmlformats.org/officeDocument/2006/relationships/hyperlink" Id="rId62" Target="https://ceramica.fandom.com/wiki/Decipherment_of_rongorongo" TargetMode="External" /><Relationship Type="http://schemas.openxmlformats.org/officeDocument/2006/relationships/hyperlink" Id="rId35" Target="https://ceramica.fandom.com/wiki/Decipherment_of_rongorongo#:~:text=,%28verse%2016" TargetMode="External" /><Relationship Type="http://schemas.openxmlformats.org/officeDocument/2006/relationships/hyperlink" Id="rId48" Target="https://ceramica.fandom.com/wiki/Decipherment_of_rongorongo#:~:text=Among%20the%20ethnographic%20data%20Thomson,He" TargetMode="External" /><Relationship Type="http://schemas.openxmlformats.org/officeDocument/2006/relationships/hyperlink" Id="rId53" Target="https://ceramica.fandom.com/wiki/Decipherment_of_rongorongo#:~:text=Guy%20,how%20the%20glyphs%20were%20composed" TargetMode="External" /><Relationship Type="http://schemas.openxmlformats.org/officeDocument/2006/relationships/hyperlink" Id="rId52" Target="https://ceramica.fandom.com/wiki/Decipherment_of_rongorongo#:~:text=Salmon%27s%20Rapanui%20was%20not%20fluent%2C,%28The" TargetMode="External" /><Relationship Type="http://schemas.openxmlformats.org/officeDocument/2006/relationships/hyperlink" Id="rId51" Target="https://ceramica.fandom.com/wiki/Decipherment_of_rongorongo#:~:text=entirely%20composed%20of%20proper%20names%2C,unwilling%20informant%3A%20Even%20with%20duress" TargetMode="External" /><Relationship Type="http://schemas.openxmlformats.org/officeDocument/2006/relationships/hyperlink" Id="rId34" Target="https://ceramica.fandom.com/wiki/Decipherment_of_rongorongo#:~:text=of%20Atua%20Matariri%20are%20of,they%20appear%20to%20be%20nonsense" TargetMode="External" /><Relationship Type="http://schemas.openxmlformats.org/officeDocument/2006/relationships/hyperlink" Id="rId29" Target="https://ceramica.fandom.com/wiki/Decipherment_of_rongorongo#:~:text=the%20text%20into%20sections%20containing,1%3B%20on" TargetMode="External" /><Relationship Type="http://schemas.openxmlformats.org/officeDocument/2006/relationships/hyperlink" Id="rId61" Target="https://en.wikipedia.org/wiki/Rongorongo_text_H" TargetMode="External" /><Relationship Type="http://schemas.openxmlformats.org/officeDocument/2006/relationships/hyperlink" Id="rId27" Target="https://en.wikipedia.org/wiki/Rongorongo_text_H#:~:text=" TargetMode="External" /><Relationship Type="http://schemas.openxmlformats.org/officeDocument/2006/relationships/hyperlink" Id="rId41" Target="https://en.wikipedia.org/wiki/Rongorongo_text_H#:~:text=The%20Large%20Santiago%20tablet%20holds,Qr2%3B%20and%20Hr4%20with%20Qr4" TargetMode="External" /><Relationship Type="http://schemas.openxmlformats.org/officeDocument/2006/relationships/hyperlink" Id="rId60" Target="https://rws.xoba.com/ror/" TargetMode="External" /><Relationship Type="http://schemas.openxmlformats.org/officeDocument/2006/relationships/hyperlink" Id="rId31" Target="https://rws.xoba.com/ror/#:~:text=,could%20demonstrate%20that" TargetMode="External" /><Relationship Type="http://schemas.openxmlformats.org/officeDocument/2006/relationships/hyperlink" Id="rId25" Target="https://rws.xoba.com/ror/#:~:text=Santiago%20Staff%20seems%20to%20be,g" TargetMode="External" /><Relationship Type="http://schemas.openxmlformats.org/officeDocument/2006/relationships/hyperlink" Id="rId28" Target="https://rws.xoba.com/ror/#:~:text=The%20plot%20immediately%20reveals%20the,phallus" TargetMode="External" /><Relationship Type="http://schemas.openxmlformats.org/officeDocument/2006/relationships/hyperlink" Id="rId55" Target="https://rws.xoba.com/ror/#:~:text=procreation%20chant%20with%20repeated%20formulae,Of%20course%2C%20with" TargetMode="External" /><Relationship Type="http://schemas.openxmlformats.org/officeDocument/2006/relationships/hyperlink" Id="rId44" Target="https://rws.xoba.com/ror/#:~:text=the%20vertical%20separator%20,could%20demonstrate%20that" TargetMode="External" /><Relationship Type="http://schemas.openxmlformats.org/officeDocument/2006/relationships/hyperlink" Id="rId64" Target="https://www.boloji.com/articles/13965/rongorongo-an-indigenous-holistic-approach" TargetMode="External" /><Relationship Type="http://schemas.openxmlformats.org/officeDocument/2006/relationships/hyperlink" Id="rId50" Target="https://www.boloji.com/articles/13965/rongorongo-an-indigenous-holistic-approach#:~:text=illustrated,in%20Polynesia%20this%20Creator%20and" TargetMode="External" /><Relationship Type="http://schemas.openxmlformats.org/officeDocument/2006/relationships/hyperlink" Id="rId49" Target="https://www.boloji.com/articles/13965/rongorongo-an-indigenous-holistic-approach#:~:text=would%20crown%20their%20chief%20as,writing%20tablet%20is%20given%20below" TargetMode="External" /></Relationships>
</file>

<file path=word/_rels/footnotes.xml.rels><?xml version="1.0" encoding="UTF-8"?><Relationships xmlns="http://schemas.openxmlformats.org/package/2006/relationships"><Relationship Type="http://schemas.openxmlformats.org/officeDocument/2006/relationships/hyperlink" Id="rId59" Target="file://file-7G5FyFf1WL2iNnY4s8hB3p" TargetMode="External" /><Relationship Type="http://schemas.openxmlformats.org/officeDocument/2006/relationships/hyperlink" Id="rId45" Target="file://file-7G5FyFf1WL2iNnY4s8hB3p#:~:text=%5D%2C%20," TargetMode="External" /><Relationship Type="http://schemas.openxmlformats.org/officeDocument/2006/relationships/hyperlink" Id="rId23" Target="file://file-7G5FyFf1WL2iNnY4s8hB3p#:~:text=," TargetMode="External" /><Relationship Type="http://schemas.openxmlformats.org/officeDocument/2006/relationships/hyperlink" Id="rId24" Target="file://file-7G5FyFf1WL2iNnY4s8hB3p#:~:text=,Action%20derived%20from%20plant%20symbolism" TargetMode="External" /><Relationship Type="http://schemas.openxmlformats.org/officeDocument/2006/relationships/hyperlink" Id="rId33" Target="file://file-7G5FyFf1WL2iNnY4s8hB3p#:~:text=,Explicitly%20read%20as%20%27poki%27%20by" TargetMode="External" /><Relationship Type="http://schemas.openxmlformats.org/officeDocument/2006/relationships/hyperlink" Id="rId21" Target="file://file-7G5FyFf1WL2iNnY4s8hB3p#:~:text=,Small%20Santiago" TargetMode="External" /><Relationship Type="http://schemas.openxmlformats.org/officeDocument/2006/relationships/hyperlink" Id="rId32" Target="file://file-7G5FyFf1WL2iNnY4s8hB3p#:~:text=,begat%27%20glyph%20in%20lineage%20sequences" TargetMode="External" /><Relationship Type="http://schemas.openxmlformats.org/officeDocument/2006/relationships/hyperlink" Id="rId38" Target="file://file-7G5FyFf1WL2iNnY4s8hB3p#:~:text=,poki%27%20by%20historical%20informant%20Metoro" TargetMode="External" /><Relationship Type="http://schemas.openxmlformats.org/officeDocument/2006/relationships/hyperlink" Id="rId22" Target="file://file-7G5FyFf1WL2iNnY4s8hB3p#:~:text=,when%20combined%20with%20other%20glyphs" TargetMode="External" /><Relationship Type="http://schemas.openxmlformats.org/officeDocument/2006/relationships/hyperlink" Id="rId46" Target="file://file-7G5FyFf1WL2iNnY4s8hB3p#:~:text=chants%20or%20descriptions%20of%20festivals.,glyph%20600%20by%20cultural%20significance" TargetMode="External" /><Relationship Type="http://schemas.openxmlformats.org/officeDocument/2006/relationships/hyperlink" Id="rId42" Target="file://file-7G5FyFf1WL2iNnY4s8hB3p#:~:text=frigatebird%20sacred%20to%20Rapa%20Nui%3B,cult%20with%20creation%20mythology%20significance" TargetMode="External" /><Relationship Type="http://schemas.openxmlformats.org/officeDocument/2006/relationships/hyperlink" Id="rId63" Target="file://file-MY1NVKZ8RnJUWp5GEmLSKz" TargetMode="External" /><Relationship Type="http://schemas.openxmlformats.org/officeDocument/2006/relationships/hyperlink" Id="rId40" Target="file://file-MY1NVKZ8RnJUWp5GEmLSKz#:~:text=,at%20end%20of%20voyage%20sequences" TargetMode="External" /><Relationship Type="http://schemas.openxmlformats.org/officeDocument/2006/relationships/hyperlink" Id="rId39" Target="file://file-MY1NVKZ8RnJUWp5GEmLSKz#:~:text=,end%20of%20voyage%20sequences%20for" TargetMode="External" /><Relationship Type="http://schemas.openxmlformats.org/officeDocument/2006/relationships/hyperlink" Id="rId36" Target="file://file-MY1NVKZ8RnJUWp5GEmLSKz#:~:text=,lunar%27%20adjectival%20form" TargetMode="External" /><Relationship Type="http://schemas.openxmlformats.org/officeDocument/2006/relationships/hyperlink" Id="rId47" Target="file://file-MY1NVKZ8RnJUWp5GEmLSKz#:~:text=consistently%20at%20end%20of%20voyage,status%3A%20proposed%2Fhigh%20confidence%3B%20Represents%20sand" TargetMode="External" /><Relationship Type="http://schemas.openxmlformats.org/officeDocument/2006/relationships/hyperlink" Id="rId62" Target="https://ceramica.fandom.com/wiki/Decipherment_of_rongorongo" TargetMode="External" /><Relationship Type="http://schemas.openxmlformats.org/officeDocument/2006/relationships/hyperlink" Id="rId35" Target="https://ceramica.fandom.com/wiki/Decipherment_of_rongorongo#:~:text=,%28verse%2016" TargetMode="External" /><Relationship Type="http://schemas.openxmlformats.org/officeDocument/2006/relationships/hyperlink" Id="rId48" Target="https://ceramica.fandom.com/wiki/Decipherment_of_rongorongo#:~:text=Among%20the%20ethnographic%20data%20Thomson,He" TargetMode="External" /><Relationship Type="http://schemas.openxmlformats.org/officeDocument/2006/relationships/hyperlink" Id="rId53" Target="https://ceramica.fandom.com/wiki/Decipherment_of_rongorongo#:~:text=Guy%20,how%20the%20glyphs%20were%20composed" TargetMode="External" /><Relationship Type="http://schemas.openxmlformats.org/officeDocument/2006/relationships/hyperlink" Id="rId52" Target="https://ceramica.fandom.com/wiki/Decipherment_of_rongorongo#:~:text=Salmon%27s%20Rapanui%20was%20not%20fluent%2C,%28The" TargetMode="External" /><Relationship Type="http://schemas.openxmlformats.org/officeDocument/2006/relationships/hyperlink" Id="rId51" Target="https://ceramica.fandom.com/wiki/Decipherment_of_rongorongo#:~:text=entirely%20composed%20of%20proper%20names%2C,unwilling%20informant%3A%20Even%20with%20duress" TargetMode="External" /><Relationship Type="http://schemas.openxmlformats.org/officeDocument/2006/relationships/hyperlink" Id="rId34" Target="https://ceramica.fandom.com/wiki/Decipherment_of_rongorongo#:~:text=of%20Atua%20Matariri%20are%20of,they%20appear%20to%20be%20nonsense" TargetMode="External" /><Relationship Type="http://schemas.openxmlformats.org/officeDocument/2006/relationships/hyperlink" Id="rId29" Target="https://ceramica.fandom.com/wiki/Decipherment_of_rongorongo#:~:text=the%20text%20into%20sections%20containing,1%3B%20on" TargetMode="External" /><Relationship Type="http://schemas.openxmlformats.org/officeDocument/2006/relationships/hyperlink" Id="rId61" Target="https://en.wikipedia.org/wiki/Rongorongo_text_H" TargetMode="External" /><Relationship Type="http://schemas.openxmlformats.org/officeDocument/2006/relationships/hyperlink" Id="rId27" Target="https://en.wikipedia.org/wiki/Rongorongo_text_H#:~:text=" TargetMode="External" /><Relationship Type="http://schemas.openxmlformats.org/officeDocument/2006/relationships/hyperlink" Id="rId41" Target="https://en.wikipedia.org/wiki/Rongorongo_text_H#:~:text=The%20Large%20Santiago%20tablet%20holds,Qr2%3B%20and%20Hr4%20with%20Qr4" TargetMode="External" /><Relationship Type="http://schemas.openxmlformats.org/officeDocument/2006/relationships/hyperlink" Id="rId60" Target="https://rws.xoba.com/ror/" TargetMode="External" /><Relationship Type="http://schemas.openxmlformats.org/officeDocument/2006/relationships/hyperlink" Id="rId31" Target="https://rws.xoba.com/ror/#:~:text=,could%20demonstrate%20that" TargetMode="External" /><Relationship Type="http://schemas.openxmlformats.org/officeDocument/2006/relationships/hyperlink" Id="rId25" Target="https://rws.xoba.com/ror/#:~:text=Santiago%20Staff%20seems%20to%20be,g" TargetMode="External" /><Relationship Type="http://schemas.openxmlformats.org/officeDocument/2006/relationships/hyperlink" Id="rId28" Target="https://rws.xoba.com/ror/#:~:text=The%20plot%20immediately%20reveals%20the,phallus" TargetMode="External" /><Relationship Type="http://schemas.openxmlformats.org/officeDocument/2006/relationships/hyperlink" Id="rId55" Target="https://rws.xoba.com/ror/#:~:text=procreation%20chant%20with%20repeated%20formulae,Of%20course%2C%20with" TargetMode="External" /><Relationship Type="http://schemas.openxmlformats.org/officeDocument/2006/relationships/hyperlink" Id="rId44" Target="https://rws.xoba.com/ror/#:~:text=the%20vertical%20separator%20,could%20demonstrate%20that" TargetMode="External" /><Relationship Type="http://schemas.openxmlformats.org/officeDocument/2006/relationships/hyperlink" Id="rId64" Target="https://www.boloji.com/articles/13965/rongorongo-an-indigenous-holistic-approach" TargetMode="External" /><Relationship Type="http://schemas.openxmlformats.org/officeDocument/2006/relationships/hyperlink" Id="rId50" Target="https://www.boloji.com/articles/13965/rongorongo-an-indigenous-holistic-approach#:~:text=illustrated,in%20Polynesia%20this%20Creator%20and" TargetMode="External" /><Relationship Type="http://schemas.openxmlformats.org/officeDocument/2006/relationships/hyperlink" Id="rId49" Target="https://www.boloji.com/articles/13965/rongorongo-an-indigenous-holistic-approach#:~:text=would%20crown%20their%20chief%20as,writing%20tablet%20is%20given%20be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2025-09-27T23:34:58Z</dcterms:created>
  <dcterms:modified xsi:type="dcterms:W3CDTF">2025-09-27T23:34:58Z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