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2" w:name="X8abb4891fb003f7bce8c2b414715f789fb4e3c1"/>
    <w:p>
      <w:pPr>
        <w:pStyle w:val="Heading2"/>
      </w:pPr>
      <w:r>
        <w:t xml:space="preserve">1. Final Glyph Gloss Table (with Confidence, Translit., Roles)</w:t>
      </w:r>
    </w:p>
    <w:p>
      <w:pPr>
        <w:pStyle w:val="FirstParagraph"/>
      </w:pPr>
      <w:r>
        <w:t xml:space="preserve">Below is an updated glossary of Rongorongo glyphs deciphered by our multi-pronged approach. Each entry lists the glyph’s ID number (per Barthel’s catalog), a transliteration or Rapa Nui word equivalent, the English meaning or role, and a confidence rating (1.0 = highest certainty):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Glyph</w:t>
            </w:r>
          </w:p>
        </w:tc>
        <w:tc>
          <w:tcPr/>
          <w:p>
            <w:pPr>
              <w:pStyle w:val="Compact"/>
            </w:pPr>
            <w:r>
              <w:rPr>
                <w:b/>
                <w:bCs/>
              </w:rPr>
              <w:t xml:space="preserve">Translit. (Rapa Nui)</w:t>
            </w:r>
          </w:p>
        </w:tc>
        <w:tc>
          <w:tcPr/>
          <w:p>
            <w:pPr>
              <w:pStyle w:val="Compact"/>
            </w:pPr>
            <w:r>
              <w:rPr>
                <w:b/>
                <w:bCs/>
              </w:rPr>
              <w:t xml:space="preserve">Meaning / Role</w:t>
            </w:r>
          </w:p>
        </w:tc>
        <w:tc>
          <w:tcPr/>
          <w:p>
            <w:pPr>
              <w:pStyle w:val="Compact"/>
              <w:jc w:val="right"/>
            </w:pPr>
            <w:r>
              <w:rPr>
                <w:b/>
                <w:bCs/>
              </w:rPr>
              <w:t xml:space="preserve">Confidence</w:t>
            </w:r>
          </w:p>
        </w:tc>
      </w:tr>
      <w:tr>
        <w:tc>
          <w:tcPr/>
          <w:p>
            <w:pPr>
              <w:pStyle w:val="Compact"/>
            </w:pPr>
            <w:r>
              <w:rPr>
                <w:b/>
                <w:bCs/>
              </w:rPr>
              <w:t xml:space="preserve">1</w:t>
            </w:r>
          </w:p>
        </w:tc>
        <w:tc>
          <w:tcPr/>
          <w:p>
            <w:pPr>
              <w:pStyle w:val="Compact"/>
            </w:pPr>
            <w:r>
              <w:rPr>
                <w:i/>
                <w:iCs/>
              </w:rPr>
              <w:t xml:space="preserve">tangata</w:t>
            </w:r>
          </w:p>
        </w:tc>
        <w:tc>
          <w:tcPr/>
          <w:p>
            <w:pPr>
              <w:pStyle w:val="Compact"/>
            </w:pPr>
            <w:r>
              <w:t xml:space="preserve">Person, human figure (generic ancestor)</w:t>
            </w:r>
          </w:p>
        </w:tc>
        <w:tc>
          <w:tcPr/>
          <w:p>
            <w:pPr>
              <w:pStyle w:val="Compact"/>
              <w:jc w:val="right"/>
            </w:pPr>
            <w:r>
              <w:t xml:space="preserve">0.9</w:t>
            </w:r>
          </w:p>
        </w:tc>
      </w:tr>
      <w:tr>
        <w:tc>
          <w:tcPr/>
          <w:p>
            <w:pPr>
              <w:pStyle w:val="Compact"/>
            </w:pPr>
            <w:r>
              <w:rPr>
                <w:b/>
                <w:bCs/>
              </w:rPr>
              <w:t xml:space="preserve">3</w:t>
            </w:r>
          </w:p>
        </w:tc>
        <w:tc>
          <w:tcPr/>
          <w:p>
            <w:pPr>
              <w:pStyle w:val="Compact"/>
            </w:pPr>
            <w:r>
              <w:rPr>
                <w:i/>
                <w:iCs/>
              </w:rPr>
              <w:t xml:space="preserve">mata</w:t>
            </w:r>
          </w:p>
        </w:tc>
        <w:tc>
          <w:tcPr/>
          <w:p>
            <w:pPr>
              <w:pStyle w:val="Compact"/>
            </w:pPr>
            <w:r>
              <w:t xml:space="preserve">Eye, vision (used for Hau-Maka, “Great Eye”)</w:t>
            </w:r>
          </w:p>
        </w:tc>
        <w:tc>
          <w:tcPr/>
          <w:p>
            <w:pPr>
              <w:pStyle w:val="Compact"/>
              <w:jc w:val="right"/>
            </w:pPr>
            <w:r>
              <w:t xml:space="preserve">0.8</w:t>
            </w:r>
          </w:p>
        </w:tc>
      </w:tr>
      <w:tr>
        <w:tc>
          <w:tcPr/>
          <w:p>
            <w:pPr>
              <w:pStyle w:val="Compact"/>
            </w:pPr>
            <w:r>
              <w:rPr>
                <w:b/>
                <w:bCs/>
              </w:rPr>
              <w:t xml:space="preserve">6</w:t>
            </w:r>
          </w:p>
        </w:tc>
        <w:tc>
          <w:tcPr/>
          <w:p>
            <w:pPr>
              <w:pStyle w:val="Compact"/>
            </w:pPr>
            <w:r>
              <w:rPr>
                <w:i/>
                <w:iCs/>
              </w:rPr>
              <w:t xml:space="preserve">rima</w:t>
            </w:r>
            <w:r>
              <w:t xml:space="preserve"> </w:t>
            </w:r>
            <w:r>
              <w:t xml:space="preserve">(five)</w:t>
            </w:r>
          </w:p>
        </w:tc>
        <w:tc>
          <w:tcPr/>
          <w:p>
            <w:pPr>
              <w:pStyle w:val="Compact"/>
            </w:pPr>
            <w:r>
              <w:t xml:space="preserve">Plural marker (sign of “many”)</w:t>
            </w:r>
          </w:p>
        </w:tc>
        <w:tc>
          <w:tcPr/>
          <w:p>
            <w:pPr>
              <w:pStyle w:val="Compact"/>
              <w:jc w:val="right"/>
            </w:pPr>
            <w:r>
              <w:t xml:space="preserve">0.8</w:t>
            </w:r>
          </w:p>
        </w:tc>
      </w:tr>
      <w:tr>
        <w:tc>
          <w:tcPr/>
          <w:p>
            <w:pPr>
              <w:pStyle w:val="Compact"/>
            </w:pPr>
            <w:r>
              <w:rPr>
                <w:b/>
                <w:bCs/>
              </w:rPr>
              <w:t xml:space="preserve">8</w:t>
            </w:r>
          </w:p>
        </w:tc>
        <w:tc>
          <w:tcPr/>
          <w:p>
            <w:pPr>
              <w:pStyle w:val="Compact"/>
            </w:pPr>
            <w:r>
              <w:rPr>
                <w:i/>
                <w:iCs/>
              </w:rPr>
              <w:t xml:space="preserve">raʻa</w:t>
            </w:r>
            <w:r>
              <w:t xml:space="preserve"> </w:t>
            </w:r>
            <w:r>
              <w:t xml:space="preserve">(sun)</w:t>
            </w:r>
          </w:p>
        </w:tc>
        <w:tc>
          <w:tcPr/>
          <w:p>
            <w:pPr>
              <w:pStyle w:val="Compact"/>
            </w:pPr>
            <w:r>
              <w:t xml:space="preserve">Sun or star (celestial body)</w:t>
            </w:r>
          </w:p>
        </w:tc>
        <w:tc>
          <w:tcPr/>
          <w:p>
            <w:pPr>
              <w:pStyle w:val="Compact"/>
              <w:jc w:val="right"/>
            </w:pPr>
            <w:r>
              <w:t xml:space="preserve">0.9</w:t>
            </w:r>
          </w:p>
        </w:tc>
      </w:tr>
      <w:tr>
        <w:tc>
          <w:tcPr/>
          <w:p>
            <w:pPr>
              <w:pStyle w:val="Compact"/>
            </w:pPr>
            <w:r>
              <w:rPr>
                <w:b/>
                <w:bCs/>
              </w:rPr>
              <w:t xml:space="preserve">9</w:t>
            </w:r>
          </w:p>
        </w:tc>
        <w:tc>
          <w:tcPr/>
          <w:p>
            <w:pPr>
              <w:pStyle w:val="Compact"/>
            </w:pPr>
            <w:r>
              <w:rPr>
                <w:i/>
                <w:iCs/>
              </w:rPr>
              <w:t xml:space="preserve">one</w:t>
            </w:r>
            <w:r>
              <w:t xml:space="preserve"> </w:t>
            </w:r>
            <w:r>
              <w:t xml:space="preserve">(sand)</w:t>
            </w:r>
          </w:p>
        </w:tc>
        <w:tc>
          <w:tcPr/>
          <w:p>
            <w:pPr>
              <w:pStyle w:val="Compact"/>
            </w:pPr>
            <w:r>
              <w:t xml:space="preserve">Sand, beach (Anakena landing)</w:t>
            </w:r>
          </w:p>
        </w:tc>
        <w:tc>
          <w:tcPr/>
          <w:p>
            <w:pPr>
              <w:pStyle w:val="Compact"/>
              <w:jc w:val="right"/>
            </w:pPr>
            <w:r>
              <w:t xml:space="preserve">1.0</w:t>
            </w:r>
          </w:p>
        </w:tc>
      </w:tr>
      <w:tr>
        <w:tc>
          <w:tcPr/>
          <w:p>
            <w:pPr>
              <w:pStyle w:val="Compact"/>
            </w:pPr>
            <w:r>
              <w:rPr>
                <w:b/>
                <w:bCs/>
              </w:rPr>
              <w:t xml:space="preserve">10</w:t>
            </w:r>
          </w:p>
        </w:tc>
        <w:tc>
          <w:tcPr/>
          <w:p>
            <w:pPr>
              <w:pStyle w:val="Compact"/>
            </w:pPr>
            <w:r>
              <w:rPr>
                <w:i/>
                <w:iCs/>
              </w:rPr>
              <w:t xml:space="preserve">māhina</w:t>
            </w:r>
            <w:r>
              <w:t xml:space="preserve"> </w:t>
            </w:r>
            <w:r>
              <w:t xml:space="preserve">(moon)</w:t>
            </w:r>
          </w:p>
        </w:tc>
        <w:tc>
          <w:tcPr/>
          <w:p>
            <w:pPr>
              <w:pStyle w:val="Compact"/>
            </w:pPr>
            <w:r>
              <w:t xml:space="preserve">Moon, lunar indicator</w:t>
            </w:r>
          </w:p>
        </w:tc>
        <w:tc>
          <w:tcPr/>
          <w:p>
            <w:pPr>
              <w:pStyle w:val="Compact"/>
              <w:jc w:val="right"/>
            </w:pPr>
            <w:r>
              <w:t xml:space="preserve">0.9</w:t>
            </w:r>
          </w:p>
        </w:tc>
      </w:tr>
      <w:tr>
        <w:tc>
          <w:tcPr/>
          <w:p>
            <w:pPr>
              <w:pStyle w:val="Compact"/>
            </w:pPr>
            <w:r>
              <w:rPr>
                <w:b/>
                <w:bCs/>
              </w:rPr>
              <w:t xml:space="preserve">13</w:t>
            </w:r>
          </w:p>
        </w:tc>
        <w:tc>
          <w:tcPr/>
          <w:p>
            <w:pPr>
              <w:pStyle w:val="Compact"/>
            </w:pPr>
            <w:r>
              <w:rPr>
                <w:i/>
                <w:iCs/>
              </w:rPr>
              <w:t xml:space="preserve">avanga</w:t>
            </w:r>
            <w:r>
              <w:t xml:space="preserve"> </w:t>
            </w:r>
            <w:r>
              <w:t xml:space="preserve">(cave)</w:t>
            </w:r>
          </w:p>
        </w:tc>
        <w:tc>
          <w:tcPr/>
          <w:p>
            <w:pPr>
              <w:pStyle w:val="Compact"/>
            </w:pPr>
            <w:r>
              <w:t xml:space="preserve">Cave or tomb (burial site)</w:t>
            </w:r>
          </w:p>
        </w:tc>
        <w:tc>
          <w:tcPr/>
          <w:p>
            <w:pPr>
              <w:pStyle w:val="Compact"/>
              <w:jc w:val="right"/>
            </w:pPr>
            <w:r>
              <w:t xml:space="preserve">0.9</w:t>
            </w:r>
          </w:p>
        </w:tc>
      </w:tr>
      <w:tr>
        <w:tc>
          <w:tcPr/>
          <w:p>
            <w:pPr>
              <w:pStyle w:val="Compact"/>
            </w:pPr>
            <w:r>
              <w:rPr>
                <w:b/>
                <w:bCs/>
              </w:rPr>
              <w:t xml:space="preserve">20</w:t>
            </w:r>
          </w:p>
        </w:tc>
        <w:tc>
          <w:tcPr/>
          <w:p>
            <w:pPr>
              <w:pStyle w:val="Compact"/>
            </w:pPr>
            <w:r>
              <w:rPr>
                <w:i/>
                <w:iCs/>
              </w:rPr>
              <w:t xml:space="preserve">tipu</w:t>
            </w:r>
            <w:r>
              <w:t xml:space="preserve"> </w:t>
            </w:r>
            <w:r>
              <w:t xml:space="preserve">(to grow)</w:t>
            </w:r>
          </w:p>
        </w:tc>
        <w:tc>
          <w:tcPr/>
          <w:p>
            <w:pPr>
              <w:pStyle w:val="Compact"/>
            </w:pPr>
            <w:r>
              <w:t xml:space="preserve">Plant growth, sprout (agricultural origin)</w:t>
            </w:r>
          </w:p>
        </w:tc>
        <w:tc>
          <w:tcPr/>
          <w:p>
            <w:pPr>
              <w:pStyle w:val="Compact"/>
              <w:jc w:val="right"/>
            </w:pPr>
            <w:r>
              <w:t xml:space="preserve">0.8</w:t>
            </w:r>
          </w:p>
        </w:tc>
      </w:tr>
      <w:tr>
        <w:tc>
          <w:tcPr/>
          <w:p>
            <w:pPr>
              <w:pStyle w:val="Compact"/>
            </w:pPr>
            <w:r>
              <w:rPr>
                <w:b/>
                <w:bCs/>
              </w:rPr>
              <w:t xml:space="preserve">32</w:t>
            </w:r>
          </w:p>
        </w:tc>
        <w:tc>
          <w:tcPr/>
          <w:p>
            <w:pPr>
              <w:pStyle w:val="Compact"/>
            </w:pPr>
            <w:r>
              <w:t xml:space="preserve">–</w:t>
            </w:r>
            <w:r>
              <w:t xml:space="preserve"> </w:t>
            </w:r>
            <w:r>
              <w:rPr>
                <w:i/>
                <w:iCs/>
              </w:rPr>
              <w:t xml:space="preserve">(section start)</w:t>
            </w:r>
          </w:p>
        </w:tc>
        <w:tc>
          <w:tcPr/>
          <w:p>
            <w:pPr>
              <w:pStyle w:val="Compact"/>
            </w:pPr>
            <w:r>
              <w:t xml:space="preserve">Section delimiter glyph (start of new chant/verse)</w:t>
            </w:r>
          </w:p>
        </w:tc>
        <w:tc>
          <w:tcPr/>
          <w:p>
            <w:pPr>
              <w:pStyle w:val="Compact"/>
              <w:jc w:val="right"/>
            </w:pPr>
            <w:r>
              <w:t xml:space="preserve">0.8</w:t>
            </w:r>
          </w:p>
        </w:tc>
      </w:tr>
      <w:tr>
        <w:tc>
          <w:tcPr/>
          <w:p>
            <w:pPr>
              <w:pStyle w:val="Compact"/>
            </w:pPr>
            <w:r>
              <w:rPr>
                <w:b/>
                <w:bCs/>
              </w:rPr>
              <w:t xml:space="preserve">40</w:t>
            </w:r>
          </w:p>
        </w:tc>
        <w:tc>
          <w:tcPr/>
          <w:p>
            <w:pPr>
              <w:pStyle w:val="Compact"/>
            </w:pPr>
            <w:r>
              <w:rPr>
                <w:i/>
                <w:iCs/>
              </w:rPr>
              <w:t xml:space="preserve">rere</w:t>
            </w:r>
            <w:r>
              <w:t xml:space="preserve"> </w:t>
            </w:r>
            <w:r>
              <w:t xml:space="preserve">(to flow)</w:t>
            </w:r>
          </w:p>
        </w:tc>
        <w:tc>
          <w:tcPr/>
          <w:p>
            <w:pPr>
              <w:pStyle w:val="Compact"/>
            </w:pPr>
            <w:r>
              <w:t xml:space="preserve">Water, flow; also “night” counter in calendar</w:t>
            </w:r>
          </w:p>
        </w:tc>
        <w:tc>
          <w:tcPr/>
          <w:p>
            <w:pPr>
              <w:pStyle w:val="Compact"/>
              <w:jc w:val="right"/>
            </w:pPr>
            <w:r>
              <w:t xml:space="preserve">0.9</w:t>
            </w:r>
          </w:p>
        </w:tc>
      </w:tr>
      <w:tr>
        <w:tc>
          <w:tcPr/>
          <w:p>
            <w:pPr>
              <w:pStyle w:val="Compact"/>
            </w:pPr>
            <w:r>
              <w:rPr>
                <w:b/>
                <w:bCs/>
              </w:rPr>
              <w:t xml:space="preserve">50</w:t>
            </w:r>
          </w:p>
        </w:tc>
        <w:tc>
          <w:tcPr/>
          <w:p>
            <w:pPr>
              <w:pStyle w:val="Compact"/>
            </w:pPr>
            <w:r>
              <w:rPr>
                <w:i/>
                <w:iCs/>
              </w:rPr>
              <w:t xml:space="preserve">papa</w:t>
            </w:r>
            <w:r>
              <w:t xml:space="preserve"> </w:t>
            </w:r>
            <w:r>
              <w:t xml:space="preserve">(rock)</w:t>
            </w:r>
          </w:p>
        </w:tc>
        <w:tc>
          <w:tcPr/>
          <w:p>
            <w:pPr>
              <w:pStyle w:val="Compact"/>
            </w:pPr>
            <w:r>
              <w:t xml:space="preserve">Stone, rock (foundation; also “land”)</w:t>
            </w:r>
          </w:p>
        </w:tc>
        <w:tc>
          <w:tcPr/>
          <w:p>
            <w:pPr>
              <w:pStyle w:val="Compact"/>
              <w:jc w:val="right"/>
            </w:pPr>
            <w:r>
              <w:t xml:space="preserve">0.9</w:t>
            </w:r>
          </w:p>
        </w:tc>
      </w:tr>
      <w:tr>
        <w:tc>
          <w:tcPr/>
          <w:p>
            <w:pPr>
              <w:pStyle w:val="Compact"/>
            </w:pPr>
            <w:r>
              <w:rPr>
                <w:b/>
                <w:bCs/>
              </w:rPr>
              <w:t xml:space="preserve">60</w:t>
            </w:r>
          </w:p>
        </w:tc>
        <w:tc>
          <w:tcPr/>
          <w:p>
            <w:pPr>
              <w:pStyle w:val="Compact"/>
            </w:pPr>
            <w:r>
              <w:rPr>
                <w:i/>
                <w:iCs/>
              </w:rPr>
              <w:t xml:space="preserve">ara</w:t>
            </w:r>
            <w:r>
              <w:t xml:space="preserve">? (path)</w:t>
            </w:r>
          </w:p>
        </w:tc>
        <w:tc>
          <w:tcPr/>
          <w:p>
            <w:pPr>
              <w:pStyle w:val="Compact"/>
            </w:pPr>
            <w:r>
              <w:t xml:space="preserve">Road or way (journey marker)</w:t>
            </w:r>
          </w:p>
        </w:tc>
        <w:tc>
          <w:tcPr/>
          <w:p>
            <w:pPr>
              <w:pStyle w:val="Compact"/>
              <w:jc w:val="right"/>
            </w:pPr>
            <w:r>
              <w:t xml:space="preserve">0.7</w:t>
            </w:r>
          </w:p>
        </w:tc>
      </w:tr>
      <w:tr>
        <w:tc>
          <w:tcPr/>
          <w:p>
            <w:pPr>
              <w:pStyle w:val="Compact"/>
            </w:pPr>
            <w:r>
              <w:rPr>
                <w:b/>
                <w:bCs/>
              </w:rPr>
              <w:t xml:space="preserve">62</w:t>
            </w:r>
          </w:p>
        </w:tc>
        <w:tc>
          <w:tcPr/>
          <w:p>
            <w:pPr>
              <w:pStyle w:val="Compact"/>
            </w:pPr>
            <w:r>
              <w:t xml:space="preserve">–</w:t>
            </w:r>
            <w:r>
              <w:t xml:space="preserve"> </w:t>
            </w:r>
            <w:r>
              <w:rPr>
                <w:i/>
                <w:iCs/>
              </w:rPr>
              <w:t xml:space="preserve">(pause)</w:t>
            </w:r>
          </w:p>
        </w:tc>
        <w:tc>
          <w:tcPr/>
          <w:p>
            <w:pPr>
              <w:pStyle w:val="Compact"/>
            </w:pPr>
            <w:r>
              <w:t xml:space="preserve">Phrase break or grammatical separator</w:t>
            </w:r>
          </w:p>
        </w:tc>
        <w:tc>
          <w:tcPr/>
          <w:p>
            <w:pPr>
              <w:pStyle w:val="Compact"/>
              <w:jc w:val="right"/>
            </w:pPr>
            <w:r>
              <w:t xml:space="preserve">0.9</w:t>
            </w:r>
          </w:p>
        </w:tc>
      </w:tr>
      <w:tr>
        <w:tc>
          <w:tcPr/>
          <w:p>
            <w:pPr>
              <w:pStyle w:val="Compact"/>
            </w:pPr>
            <w:r>
              <w:rPr>
                <w:b/>
                <w:bCs/>
              </w:rPr>
              <w:t xml:space="preserve">67</w:t>
            </w:r>
          </w:p>
        </w:tc>
        <w:tc>
          <w:tcPr/>
          <w:p>
            <w:pPr>
              <w:pStyle w:val="Compact"/>
            </w:pPr>
            <w:r>
              <w:rPr>
                <w:i/>
                <w:iCs/>
              </w:rPr>
              <w:t xml:space="preserve">niu</w:t>
            </w:r>
            <w:r>
              <w:t xml:space="preserve">? (palm)</w:t>
            </w:r>
          </w:p>
        </w:tc>
        <w:tc>
          <w:tcPr/>
          <w:p>
            <w:pPr>
              <w:pStyle w:val="Compact"/>
            </w:pPr>
            <w:r>
              <w:t xml:space="preserve">Palm tree (extinct</w:t>
            </w:r>
            <w:r>
              <w:t xml:space="preserve"> </w:t>
            </w:r>
            <w:r>
              <w:rPr>
                <w:b/>
                <w:bCs/>
              </w:rPr>
              <w:t xml:space="preserve">Paschalococos</w:t>
            </w:r>
            <w:r>
              <w:t xml:space="preserve"> </w:t>
            </w:r>
            <w:r>
              <w:t xml:space="preserve">palm)</w:t>
            </w:r>
          </w:p>
        </w:tc>
        <w:tc>
          <w:tcPr/>
          <w:p>
            <w:pPr>
              <w:pStyle w:val="Compact"/>
              <w:jc w:val="right"/>
            </w:pPr>
            <w:r>
              <w:t xml:space="preserve">0.8</w:t>
            </w:r>
          </w:p>
        </w:tc>
      </w:tr>
      <w:tr>
        <w:tc>
          <w:tcPr/>
          <w:p>
            <w:pPr>
              <w:pStyle w:val="Compact"/>
            </w:pPr>
            <w:r>
              <w:rPr>
                <w:b/>
                <w:bCs/>
              </w:rPr>
              <w:t xml:space="preserve">69</w:t>
            </w:r>
          </w:p>
        </w:tc>
        <w:tc>
          <w:tcPr/>
          <w:p>
            <w:pPr>
              <w:pStyle w:val="Compact"/>
            </w:pPr>
            <w:r>
              <w:rPr>
                <w:i/>
                <w:iCs/>
              </w:rPr>
              <w:t xml:space="preserve">moko</w:t>
            </w:r>
            <w:r>
              <w:t xml:space="preserve"> </w:t>
            </w:r>
            <w:r>
              <w:t xml:space="preserve">(lizard)</w:t>
            </w:r>
          </w:p>
        </w:tc>
        <w:tc>
          <w:tcPr/>
          <w:p>
            <w:pPr>
              <w:pStyle w:val="Compact"/>
            </w:pPr>
            <w:r>
              <w:t xml:space="preserve">Lizard or gecko (mythic creature)</w:t>
            </w:r>
          </w:p>
        </w:tc>
        <w:tc>
          <w:tcPr/>
          <w:p>
            <w:pPr>
              <w:pStyle w:val="Compact"/>
              <w:jc w:val="right"/>
            </w:pPr>
            <w:r>
              <w:t xml:space="preserve">0.9</w:t>
            </w:r>
          </w:p>
        </w:tc>
      </w:tr>
      <w:tr>
        <w:tc>
          <w:tcPr/>
          <w:p>
            <w:pPr>
              <w:pStyle w:val="Compact"/>
            </w:pPr>
            <w:r>
              <w:rPr>
                <w:b/>
                <w:bCs/>
              </w:rPr>
              <w:t xml:space="preserve">72</w:t>
            </w:r>
          </w:p>
        </w:tc>
        <w:tc>
          <w:tcPr/>
          <w:p>
            <w:pPr>
              <w:pStyle w:val="Compact"/>
            </w:pPr>
            <w:r>
              <w:rPr>
                <w:i/>
                <w:iCs/>
              </w:rPr>
              <w:t xml:space="preserve">hotu</w:t>
            </w:r>
            <w:r>
              <w:t xml:space="preserve"> </w:t>
            </w:r>
            <w:r>
              <w:t xml:space="preserve">(to sprout)</w:t>
            </w:r>
          </w:p>
        </w:tc>
        <w:tc>
          <w:tcPr/>
          <w:p>
            <w:pPr>
              <w:pStyle w:val="Compact"/>
            </w:pPr>
            <w:r>
              <w:t xml:space="preserve">“Ohotu” night glyph – sprouting plant</w:t>
            </w:r>
          </w:p>
        </w:tc>
        <w:tc>
          <w:tcPr/>
          <w:p>
            <w:pPr>
              <w:pStyle w:val="Compact"/>
              <w:jc w:val="right"/>
            </w:pPr>
            <w:r>
              <w:t xml:space="preserve">0.7</w:t>
            </w:r>
          </w:p>
        </w:tc>
      </w:tr>
      <w:tr>
        <w:tc>
          <w:tcPr/>
          <w:p>
            <w:pPr>
              <w:pStyle w:val="Compact"/>
            </w:pPr>
            <w:r>
              <w:rPr>
                <w:b/>
                <w:bCs/>
              </w:rPr>
              <w:t xml:space="preserve">73</w:t>
            </w:r>
          </w:p>
        </w:tc>
        <w:tc>
          <w:tcPr/>
          <w:p>
            <w:pPr>
              <w:pStyle w:val="Compact"/>
            </w:pPr>
            <w:r>
              <w:rPr>
                <w:i/>
                <w:iCs/>
              </w:rPr>
              <w:t xml:space="preserve">atua</w:t>
            </w:r>
            <w:r>
              <w:t xml:space="preserve"> </w:t>
            </w:r>
            <w:r>
              <w:t xml:space="preserve">(god)</w:t>
            </w:r>
          </w:p>
        </w:tc>
        <w:tc>
          <w:tcPr/>
          <w:p>
            <w:pPr>
              <w:pStyle w:val="Compact"/>
            </w:pPr>
            <w:r>
              <w:t xml:space="preserve">“Otua” night glyph – deity figure</w:t>
            </w:r>
          </w:p>
        </w:tc>
        <w:tc>
          <w:tcPr/>
          <w:p>
            <w:pPr>
              <w:pStyle w:val="Compact"/>
              <w:jc w:val="right"/>
            </w:pPr>
            <w:r>
              <w:t xml:space="preserve">0.7</w:t>
            </w:r>
          </w:p>
        </w:tc>
      </w:tr>
      <w:tr>
        <w:tc>
          <w:tcPr/>
          <w:p>
            <w:pPr>
              <w:pStyle w:val="Compact"/>
            </w:pPr>
            <w:r>
              <w:rPr>
                <w:b/>
                <w:bCs/>
              </w:rPr>
              <w:t xml:space="preserve">74</w:t>
            </w:r>
          </w:p>
        </w:tc>
        <w:tc>
          <w:tcPr/>
          <w:p>
            <w:pPr>
              <w:pStyle w:val="Compact"/>
            </w:pPr>
            <w:r>
              <w:rPr>
                <w:i/>
                <w:iCs/>
              </w:rPr>
              <w:t xml:space="preserve">hua</w:t>
            </w:r>
            <w:r>
              <w:t xml:space="preserve"> </w:t>
            </w:r>
            <w:r>
              <w:t xml:space="preserve">(fruit)</w:t>
            </w:r>
          </w:p>
        </w:tc>
        <w:tc>
          <w:tcPr/>
          <w:p>
            <w:pPr>
              <w:pStyle w:val="Compact"/>
            </w:pPr>
            <w:r>
              <w:t xml:space="preserve">Fruit;</w:t>
            </w:r>
            <w:r>
              <w:t xml:space="preserve"> </w:t>
            </w:r>
            <w:r>
              <w:rPr>
                <w:b/>
                <w:bCs/>
              </w:rPr>
              <w:t xml:space="preserve">Hua</w:t>
            </w:r>
            <w:r>
              <w:t xml:space="preserve"> </w:t>
            </w:r>
            <w:r>
              <w:t xml:space="preserve">first-quarter moon night</w:t>
            </w:r>
          </w:p>
        </w:tc>
        <w:tc>
          <w:tcPr/>
          <w:p>
            <w:pPr>
              <w:pStyle w:val="Compact"/>
              <w:jc w:val="right"/>
            </w:pPr>
            <w:r>
              <w:t xml:space="preserve">0.9</w:t>
            </w:r>
          </w:p>
        </w:tc>
      </w:tr>
      <w:tr>
        <w:tc>
          <w:tcPr/>
          <w:p>
            <w:pPr>
              <w:pStyle w:val="Compact"/>
            </w:pPr>
            <w:r>
              <w:rPr>
                <w:b/>
                <w:bCs/>
              </w:rPr>
              <w:t xml:space="preserve">76</w:t>
            </w:r>
          </w:p>
        </w:tc>
        <w:tc>
          <w:tcPr/>
          <w:p>
            <w:pPr>
              <w:pStyle w:val="Compact"/>
            </w:pPr>
            <w:r>
              <w:rPr>
                <w:i/>
                <w:iCs/>
              </w:rPr>
              <w:t xml:space="preserve">fanau</w:t>
            </w:r>
            <w:r>
              <w:t xml:space="preserve"> </w:t>
            </w:r>
            <w:r>
              <w:t xml:space="preserve">(to bear children)</w:t>
            </w:r>
          </w:p>
        </w:tc>
        <w:tc>
          <w:tcPr/>
          <w:p>
            <w:pPr>
              <w:pStyle w:val="Compact"/>
            </w:pPr>
            <w:r>
              <w:t xml:space="preserve">Copulation / “mated with” sign (procreation)</w:t>
            </w:r>
          </w:p>
        </w:tc>
        <w:tc>
          <w:tcPr/>
          <w:p>
            <w:pPr>
              <w:pStyle w:val="Compact"/>
              <w:jc w:val="right"/>
            </w:pPr>
            <w:r>
              <w:t xml:space="preserve">1.0</w:t>
            </w:r>
          </w:p>
        </w:tc>
      </w:tr>
      <w:tr>
        <w:tc>
          <w:tcPr/>
          <w:p>
            <w:pPr>
              <w:pStyle w:val="Compact"/>
            </w:pPr>
            <w:r>
              <w:rPr>
                <w:b/>
                <w:bCs/>
              </w:rPr>
              <w:t xml:space="preserve">78</w:t>
            </w:r>
          </w:p>
        </w:tc>
        <w:tc>
          <w:tcPr/>
          <w:p>
            <w:pPr>
              <w:pStyle w:val="Compact"/>
            </w:pPr>
            <w:r>
              <w:rPr>
                <w:i/>
                <w:iCs/>
              </w:rPr>
              <w:t xml:space="preserve">Maure</w:t>
            </w:r>
            <w:r>
              <w:t xml:space="preserve"> </w:t>
            </w:r>
            <w:r>
              <w:t xml:space="preserve">(name)</w:t>
            </w:r>
          </w:p>
        </w:tc>
        <w:tc>
          <w:tcPr/>
          <w:p>
            <w:pPr>
              <w:pStyle w:val="Compact"/>
            </w:pPr>
            <w:r>
              <w:rPr>
                <w:b/>
                <w:bCs/>
              </w:rPr>
              <w:t xml:space="preserve">Maure</w:t>
            </w:r>
            <w:r>
              <w:t xml:space="preserve"> </w:t>
            </w:r>
            <w:r>
              <w:t xml:space="preserve">– night after full moon (waning gibbous)</w:t>
            </w:r>
          </w:p>
        </w:tc>
        <w:tc>
          <w:tcPr/>
          <w:p>
            <w:pPr>
              <w:pStyle w:val="Compact"/>
              <w:jc w:val="right"/>
            </w:pPr>
            <w:r>
              <w:t xml:space="preserve">0.8</w:t>
            </w:r>
          </w:p>
        </w:tc>
      </w:tr>
      <w:tr>
        <w:tc>
          <w:tcPr/>
          <w:p>
            <w:pPr>
              <w:pStyle w:val="Compact"/>
            </w:pPr>
            <w:r>
              <w:rPr>
                <w:b/>
                <w:bCs/>
              </w:rPr>
              <w:t xml:space="preserve">80</w:t>
            </w:r>
          </w:p>
        </w:tc>
        <w:tc>
          <w:tcPr/>
          <w:p>
            <w:pPr>
              <w:pStyle w:val="Compact"/>
            </w:pPr>
            <w:r>
              <w:rPr>
                <w:i/>
                <w:iCs/>
              </w:rPr>
              <w:t xml:space="preserve">viʼe</w:t>
            </w:r>
            <w:r>
              <w:t xml:space="preserve"> </w:t>
            </w:r>
            <w:r>
              <w:t xml:space="preserve">(woman)</w:t>
            </w:r>
          </w:p>
        </w:tc>
        <w:tc>
          <w:tcPr/>
          <w:p>
            <w:pPr>
              <w:pStyle w:val="Compact"/>
            </w:pPr>
            <w:r>
              <w:t xml:space="preserve">Female figure (woman, wife)</w:t>
            </w:r>
          </w:p>
        </w:tc>
        <w:tc>
          <w:tcPr/>
          <w:p>
            <w:pPr>
              <w:pStyle w:val="Compact"/>
              <w:jc w:val="right"/>
            </w:pPr>
            <w:r>
              <w:t xml:space="preserve">0.9</w:t>
            </w:r>
          </w:p>
        </w:tc>
      </w:tr>
      <w:tr>
        <w:tc>
          <w:tcPr/>
          <w:p>
            <w:pPr>
              <w:pStyle w:val="Compact"/>
            </w:pPr>
            <w:r>
              <w:rPr>
                <w:b/>
                <w:bCs/>
              </w:rPr>
              <w:t xml:space="preserve">90</w:t>
            </w:r>
          </w:p>
        </w:tc>
        <w:tc>
          <w:tcPr/>
          <w:p>
            <w:pPr>
              <w:pStyle w:val="Compact"/>
            </w:pPr>
            <w:r>
              <w:rPr>
                <w:i/>
                <w:iCs/>
              </w:rPr>
              <w:t xml:space="preserve">kōpu</w:t>
            </w:r>
            <w:r>
              <w:t xml:space="preserve"> </w:t>
            </w:r>
            <w:r>
              <w:t xml:space="preserve">(full belly)</w:t>
            </w:r>
          </w:p>
        </w:tc>
        <w:tc>
          <w:tcPr/>
          <w:p>
            <w:pPr>
              <w:pStyle w:val="Compact"/>
            </w:pPr>
            <w:r>
              <w:t xml:space="preserve">Pregnant belly; fullness (metaphoric “full”)</w:t>
            </w:r>
          </w:p>
        </w:tc>
        <w:tc>
          <w:tcPr/>
          <w:p>
            <w:pPr>
              <w:pStyle w:val="Compact"/>
              <w:jc w:val="right"/>
            </w:pPr>
            <w:r>
              <w:t xml:space="preserve">0.8</w:t>
            </w:r>
          </w:p>
        </w:tc>
      </w:tr>
      <w:tr>
        <w:tc>
          <w:tcPr/>
          <w:p>
            <w:pPr>
              <w:pStyle w:val="Compact"/>
            </w:pPr>
            <w:r>
              <w:rPr>
                <w:b/>
                <w:bCs/>
              </w:rPr>
              <w:t xml:space="preserve">143</w:t>
            </w:r>
          </w:p>
        </w:tc>
        <w:tc>
          <w:tcPr/>
          <w:p>
            <w:pPr>
              <w:pStyle w:val="Compact"/>
            </w:pPr>
            <w:r>
              <w:rPr>
                <w:i/>
                <w:iCs/>
              </w:rPr>
              <w:t xml:space="preserve">rakau</w:t>
            </w:r>
            <w:r>
              <w:t xml:space="preserve"> </w:t>
            </w:r>
            <w:r>
              <w:t xml:space="preserve">(wood, tree)</w:t>
            </w:r>
          </w:p>
        </w:tc>
        <w:tc>
          <w:tcPr/>
          <w:p>
            <w:pPr>
              <w:pStyle w:val="Compact"/>
            </w:pPr>
            <w:r>
              <w:t xml:space="preserve">Tree;</w:t>
            </w:r>
            <w:r>
              <w:t xml:space="preserve"> </w:t>
            </w:r>
            <w:r>
              <w:rPr>
                <w:b/>
                <w:bCs/>
              </w:rPr>
              <w:t xml:space="preserve">Rakau</w:t>
            </w:r>
            <w:r>
              <w:t xml:space="preserve"> </w:t>
            </w:r>
            <w:r>
              <w:t xml:space="preserve">night before full moon</w:t>
            </w:r>
          </w:p>
        </w:tc>
        <w:tc>
          <w:tcPr/>
          <w:p>
            <w:pPr>
              <w:pStyle w:val="Compact"/>
              <w:jc w:val="right"/>
            </w:pPr>
            <w:r>
              <w:t xml:space="preserve">0.9</w:t>
            </w:r>
          </w:p>
        </w:tc>
      </w:tr>
      <w:tr>
        <w:tc>
          <w:tcPr/>
          <w:p>
            <w:pPr>
              <w:pStyle w:val="Compact"/>
            </w:pPr>
            <w:r>
              <w:rPr>
                <w:b/>
                <w:bCs/>
              </w:rPr>
              <w:t xml:space="preserve">152</w:t>
            </w:r>
          </w:p>
        </w:tc>
        <w:tc>
          <w:tcPr/>
          <w:p>
            <w:pPr>
              <w:pStyle w:val="Compact"/>
            </w:pPr>
            <w:r>
              <w:rPr>
                <w:i/>
                <w:iCs/>
              </w:rPr>
              <w:t xml:space="preserve">omotohi</w:t>
            </w:r>
            <w:r>
              <w:t xml:space="preserve"> </w:t>
            </w:r>
            <w:r>
              <w:t xml:space="preserve">(full moon)</w:t>
            </w:r>
          </w:p>
        </w:tc>
        <w:tc>
          <w:tcPr/>
          <w:p>
            <w:pPr>
              <w:pStyle w:val="Compact"/>
            </w:pPr>
            <w:r>
              <w:t xml:space="preserve">Full moon (complete circle shape)</w:t>
            </w:r>
            <w:hyperlink r:id="rId21">
              <w:r>
                <w:rPr>
                  <w:rStyle w:val="Hyperlink"/>
                </w:rPr>
                <w:t xml:space="preserve">[1]</w:t>
              </w:r>
            </w:hyperlink>
          </w:p>
        </w:tc>
        <w:tc>
          <w:tcPr/>
          <w:p>
            <w:pPr>
              <w:pStyle w:val="Compact"/>
              <w:jc w:val="right"/>
            </w:pPr>
            <w:r>
              <w:t xml:space="preserve">0.9</w:t>
            </w:r>
          </w:p>
        </w:tc>
      </w:tr>
      <w:tr>
        <w:tc>
          <w:tcPr/>
          <w:p>
            <w:pPr>
              <w:pStyle w:val="Compact"/>
            </w:pPr>
            <w:r>
              <w:rPr>
                <w:b/>
                <w:bCs/>
              </w:rPr>
              <w:t xml:space="preserve">200</w:t>
            </w:r>
          </w:p>
        </w:tc>
        <w:tc>
          <w:tcPr/>
          <w:p>
            <w:pPr>
              <w:pStyle w:val="Compact"/>
            </w:pPr>
            <w:r>
              <w:rPr>
                <w:i/>
                <w:iCs/>
              </w:rPr>
              <w:t xml:space="preserve">ariki</w:t>
            </w:r>
            <w:r>
              <w:t xml:space="preserve"> </w:t>
            </w:r>
            <w:r>
              <w:t xml:space="preserve">(chief)</w:t>
            </w:r>
          </w:p>
        </w:tc>
        <w:tc>
          <w:tcPr/>
          <w:p>
            <w:pPr>
              <w:pStyle w:val="Compact"/>
            </w:pPr>
            <w:r>
              <w:t xml:space="preserve">Chief, high-ranking man (king)</w:t>
            </w:r>
          </w:p>
        </w:tc>
        <w:tc>
          <w:tcPr/>
          <w:p>
            <w:pPr>
              <w:pStyle w:val="Compact"/>
              <w:jc w:val="right"/>
            </w:pPr>
            <w:r>
              <w:t xml:space="preserve">0.9</w:t>
            </w:r>
          </w:p>
        </w:tc>
      </w:tr>
      <w:tr>
        <w:tc>
          <w:tcPr/>
          <w:p>
            <w:pPr>
              <w:pStyle w:val="Compact"/>
            </w:pPr>
            <w:r>
              <w:rPr>
                <w:b/>
                <w:bCs/>
              </w:rPr>
              <w:t xml:space="preserve">280</w:t>
            </w:r>
          </w:p>
        </w:tc>
        <w:tc>
          <w:tcPr/>
          <w:p>
            <w:pPr>
              <w:pStyle w:val="Compact"/>
            </w:pPr>
            <w:r>
              <w:rPr>
                <w:i/>
                <w:iCs/>
              </w:rPr>
              <w:t xml:space="preserve">honu</w:t>
            </w:r>
            <w:r>
              <w:t xml:space="preserve"> </w:t>
            </w:r>
            <w:r>
              <w:t xml:space="preserve">(turtle)</w:t>
            </w:r>
          </w:p>
        </w:tc>
        <w:tc>
          <w:tcPr/>
          <w:p>
            <w:pPr>
              <w:pStyle w:val="Compact"/>
            </w:pPr>
            <w:r>
              <w:t xml:space="preserve">Turtle (used for waning-moon “dark moon” period)</w:t>
            </w:r>
          </w:p>
        </w:tc>
        <w:tc>
          <w:tcPr/>
          <w:p>
            <w:pPr>
              <w:pStyle w:val="Compact"/>
              <w:jc w:val="right"/>
            </w:pPr>
            <w:r>
              <w:t xml:space="preserve">0.9</w:t>
            </w:r>
          </w:p>
        </w:tc>
      </w:tr>
      <w:tr>
        <w:tc>
          <w:tcPr/>
          <w:p>
            <w:pPr>
              <w:pStyle w:val="Compact"/>
            </w:pPr>
            <w:r>
              <w:rPr>
                <w:b/>
                <w:bCs/>
              </w:rPr>
              <w:t xml:space="preserve">300</w:t>
            </w:r>
          </w:p>
        </w:tc>
        <w:tc>
          <w:tcPr/>
          <w:p>
            <w:pPr>
              <w:pStyle w:val="Compact"/>
            </w:pPr>
            <w:r>
              <w:rPr>
                <w:i/>
                <w:iCs/>
              </w:rPr>
              <w:t xml:space="preserve">mama</w:t>
            </w:r>
            <w:r>
              <w:t xml:space="preserve"> </w:t>
            </w:r>
            <w:r>
              <w:t xml:space="preserve">(mother)</w:t>
            </w:r>
          </w:p>
        </w:tc>
        <w:tc>
          <w:tcPr/>
          <w:p>
            <w:pPr>
              <w:pStyle w:val="Compact"/>
            </w:pPr>
            <w:r>
              <w:t xml:space="preserve">Mother or female ancestor (woman of rank)</w:t>
            </w:r>
          </w:p>
        </w:tc>
        <w:tc>
          <w:tcPr/>
          <w:p>
            <w:pPr>
              <w:pStyle w:val="Compact"/>
              <w:jc w:val="right"/>
            </w:pPr>
            <w:r>
              <w:t xml:space="preserve">0.9</w:t>
            </w:r>
          </w:p>
        </w:tc>
      </w:tr>
      <w:tr>
        <w:tc>
          <w:tcPr/>
          <w:p>
            <w:pPr>
              <w:pStyle w:val="Compact"/>
            </w:pPr>
            <w:r>
              <w:rPr>
                <w:b/>
                <w:bCs/>
              </w:rPr>
              <w:t xml:space="preserve">400</w:t>
            </w:r>
          </w:p>
        </w:tc>
        <w:tc>
          <w:tcPr/>
          <w:p>
            <w:pPr>
              <w:pStyle w:val="Compact"/>
            </w:pPr>
            <w:r>
              <w:rPr>
                <w:i/>
                <w:iCs/>
              </w:rPr>
              <w:t xml:space="preserve">poki</w:t>
            </w:r>
            <w:r>
              <w:t xml:space="preserve"> </w:t>
            </w:r>
            <w:r>
              <w:t xml:space="preserve">(child)</w:t>
            </w:r>
          </w:p>
        </w:tc>
        <w:tc>
          <w:tcPr/>
          <w:p>
            <w:pPr>
              <w:pStyle w:val="Compact"/>
            </w:pPr>
            <w:r>
              <w:t xml:space="preserve">Child, offspring, descendant</w:t>
            </w:r>
          </w:p>
        </w:tc>
        <w:tc>
          <w:tcPr/>
          <w:p>
            <w:pPr>
              <w:pStyle w:val="Compact"/>
              <w:jc w:val="right"/>
            </w:pPr>
            <w:r>
              <w:t xml:space="preserve">0.9</w:t>
            </w:r>
          </w:p>
        </w:tc>
      </w:tr>
      <w:tr>
        <w:tc>
          <w:tcPr/>
          <w:p>
            <w:pPr>
              <w:pStyle w:val="Compact"/>
            </w:pPr>
            <w:r>
              <w:rPr>
                <w:b/>
                <w:bCs/>
              </w:rPr>
              <w:t xml:space="preserve">600</w:t>
            </w:r>
          </w:p>
        </w:tc>
        <w:tc>
          <w:tcPr/>
          <w:p>
            <w:pPr>
              <w:pStyle w:val="Compact"/>
            </w:pPr>
            <w:r>
              <w:rPr>
                <w:i/>
                <w:iCs/>
              </w:rPr>
              <w:t xml:space="preserve">manu</w:t>
            </w:r>
            <w:r>
              <w:t xml:space="preserve"> </w:t>
            </w:r>
            <w:r>
              <w:t xml:space="preserve">(bird)</w:t>
            </w:r>
          </w:p>
        </w:tc>
        <w:tc>
          <w:tcPr/>
          <w:p>
            <w:pPr>
              <w:pStyle w:val="Compact"/>
            </w:pPr>
            <w:r>
              <w:t xml:space="preserve">Bird (frigatebird symbol)</w:t>
            </w:r>
          </w:p>
        </w:tc>
        <w:tc>
          <w:tcPr/>
          <w:p>
            <w:pPr>
              <w:pStyle w:val="Compact"/>
              <w:jc w:val="right"/>
            </w:pPr>
            <w:r>
              <w:t xml:space="preserve">0.9</w:t>
            </w:r>
          </w:p>
        </w:tc>
      </w:tr>
      <w:tr>
        <w:tc>
          <w:tcPr/>
          <w:p>
            <w:pPr>
              <w:pStyle w:val="Compact"/>
            </w:pPr>
            <w:r>
              <w:rPr>
                <w:b/>
                <w:bCs/>
              </w:rPr>
              <w:t xml:space="preserve">606</w:t>
            </w:r>
          </w:p>
        </w:tc>
        <w:tc>
          <w:tcPr/>
          <w:p>
            <w:pPr>
              <w:pStyle w:val="Compact"/>
            </w:pPr>
            <w:r>
              <w:rPr>
                <w:i/>
                <w:iCs/>
              </w:rPr>
              <w:t xml:space="preserve">manu</w:t>
            </w:r>
            <w:r>
              <w:t xml:space="preserve"> </w:t>
            </w:r>
            <w:r>
              <w:t xml:space="preserve">+ plural</w:t>
            </w:r>
          </w:p>
        </w:tc>
        <w:tc>
          <w:tcPr/>
          <w:p>
            <w:pPr>
              <w:pStyle w:val="Compact"/>
            </w:pPr>
            <w:r>
              <w:t xml:space="preserve">Birds (flock of birds, plural of bird)</w:t>
            </w:r>
          </w:p>
        </w:tc>
        <w:tc>
          <w:tcPr/>
          <w:p>
            <w:pPr>
              <w:pStyle w:val="Compact"/>
              <w:jc w:val="right"/>
            </w:pPr>
            <w:r>
              <w:t xml:space="preserve">0.9</w:t>
            </w:r>
          </w:p>
        </w:tc>
      </w:tr>
      <w:tr>
        <w:tc>
          <w:tcPr/>
          <w:p>
            <w:pPr>
              <w:pStyle w:val="Compact"/>
            </w:pPr>
            <w:r>
              <w:rPr>
                <w:b/>
                <w:bCs/>
              </w:rPr>
              <w:t xml:space="preserve">610</w:t>
            </w:r>
          </w:p>
        </w:tc>
        <w:tc>
          <w:tcPr/>
          <w:p>
            <w:pPr>
              <w:pStyle w:val="Compact"/>
            </w:pPr>
            <w:r>
              <w:rPr>
                <w:i/>
                <w:iCs/>
              </w:rPr>
              <w:t xml:space="preserve">hua</w:t>
            </w:r>
            <w:r>
              <w:t xml:space="preserve"> </w:t>
            </w:r>
            <w:r>
              <w:t xml:space="preserve">(egg/fruit)</w:t>
            </w:r>
          </w:p>
        </w:tc>
        <w:tc>
          <w:tcPr/>
          <w:p>
            <w:pPr>
              <w:pStyle w:val="Compact"/>
            </w:pPr>
            <w:r>
              <w:t xml:space="preserve">Egg, origin (source or beginning)</w:t>
            </w:r>
          </w:p>
        </w:tc>
        <w:tc>
          <w:tcPr/>
          <w:p>
            <w:pPr>
              <w:pStyle w:val="Compact"/>
              <w:jc w:val="right"/>
            </w:pPr>
            <w:r>
              <w:t xml:space="preserve">0.8</w:t>
            </w:r>
          </w:p>
        </w:tc>
      </w:tr>
      <w:tr>
        <w:tc>
          <w:tcPr/>
          <w:p>
            <w:pPr>
              <w:pStyle w:val="Compact"/>
            </w:pPr>
            <w:r>
              <w:rPr>
                <w:b/>
                <w:bCs/>
              </w:rPr>
              <w:t xml:space="preserve">690</w:t>
            </w:r>
          </w:p>
        </w:tc>
        <w:tc>
          <w:tcPr/>
          <w:p>
            <w:pPr>
              <w:pStyle w:val="Compact"/>
            </w:pPr>
            <w:r>
              <w:rPr>
                <w:i/>
                <w:iCs/>
              </w:rPr>
              <w:t xml:space="preserve">Tangata manu</w:t>
            </w:r>
            <w:r>
              <w:t xml:space="preserve"> </w:t>
            </w:r>
            <w:r>
              <w:t xml:space="preserve">(Bird-Man)</w:t>
            </w:r>
          </w:p>
        </w:tc>
        <w:tc>
          <w:tcPr/>
          <w:p>
            <w:pPr>
              <w:pStyle w:val="Compact"/>
            </w:pPr>
            <w:r>
              <w:t xml:space="preserve">Bird-Man (half-bird half-human figure, ritual)</w:t>
            </w:r>
          </w:p>
        </w:tc>
        <w:tc>
          <w:tcPr/>
          <w:p>
            <w:pPr>
              <w:pStyle w:val="Compact"/>
              <w:jc w:val="right"/>
            </w:pPr>
            <w:r>
              <w:t xml:space="preserve">0.9</w:t>
            </w:r>
          </w:p>
        </w:tc>
      </w:tr>
      <w:tr>
        <w:tc>
          <w:tcPr/>
          <w:p>
            <w:pPr>
              <w:pStyle w:val="Compact"/>
            </w:pPr>
            <w:r>
              <w:rPr>
                <w:b/>
                <w:bCs/>
              </w:rPr>
              <w:t xml:space="preserve">700</w:t>
            </w:r>
          </w:p>
        </w:tc>
        <w:tc>
          <w:tcPr/>
          <w:p>
            <w:pPr>
              <w:pStyle w:val="Compact"/>
            </w:pPr>
            <w:r>
              <w:rPr>
                <w:i/>
                <w:iCs/>
              </w:rPr>
              <w:t xml:space="preserve">ika</w:t>
            </w:r>
            <w:r>
              <w:t xml:space="preserve"> </w:t>
            </w:r>
            <w:r>
              <w:t xml:space="preserve">(fish)</w:t>
            </w:r>
          </w:p>
        </w:tc>
        <w:tc>
          <w:tcPr/>
          <w:p>
            <w:pPr>
              <w:pStyle w:val="Compact"/>
            </w:pPr>
            <w:r>
              <w:t xml:space="preserve">Fish; by metaphor</w:t>
            </w:r>
            <w:r>
              <w:t xml:space="preserve"> </w:t>
            </w:r>
            <w:r>
              <w:rPr>
                <w:b/>
                <w:bCs/>
              </w:rPr>
              <w:t xml:space="preserve">victim/sacrifice</w:t>
            </w:r>
          </w:p>
        </w:tc>
        <w:tc>
          <w:tcPr/>
          <w:p>
            <w:pPr>
              <w:pStyle w:val="Compact"/>
              <w:jc w:val="right"/>
            </w:pPr>
            <w:r>
              <w:t xml:space="preserve">0.9</w:t>
            </w:r>
          </w:p>
        </w:tc>
      </w:tr>
      <w:tr>
        <w:tc>
          <w:tcPr/>
          <w:p>
            <w:pPr>
              <w:pStyle w:val="Compact"/>
            </w:pPr>
            <w:r>
              <w:rPr>
                <w:b/>
                <w:bCs/>
              </w:rPr>
              <w:t xml:space="preserve">710</w:t>
            </w:r>
          </w:p>
        </w:tc>
        <w:tc>
          <w:tcPr/>
          <w:p>
            <w:pPr>
              <w:pStyle w:val="Compact"/>
            </w:pPr>
            <w:r>
              <w:rPr>
                <w:i/>
                <w:iCs/>
              </w:rPr>
              <w:t xml:space="preserve">mako</w:t>
            </w:r>
            <w:r>
              <w:t xml:space="preserve">? (shark)</w:t>
            </w:r>
          </w:p>
        </w:tc>
        <w:tc>
          <w:tcPr/>
          <w:p>
            <w:pPr>
              <w:pStyle w:val="Compact"/>
            </w:pPr>
            <w:r>
              <w:t xml:space="preserve">Shark or fierce fish (sharp-toothed predator)</w:t>
            </w:r>
          </w:p>
        </w:tc>
        <w:tc>
          <w:tcPr/>
          <w:p>
            <w:pPr>
              <w:pStyle w:val="Compact"/>
              <w:jc w:val="right"/>
            </w:pPr>
            <w:r>
              <w:t xml:space="preserve">0.8</w:t>
            </w:r>
          </w:p>
        </w:tc>
      </w:tr>
      <w:tr>
        <w:tc>
          <w:tcPr/>
          <w:p>
            <w:pPr>
              <w:pStyle w:val="Compact"/>
            </w:pPr>
            <w:r>
              <w:rPr>
                <w:b/>
                <w:bCs/>
              </w:rPr>
              <w:t xml:space="preserve">730</w:t>
            </w:r>
          </w:p>
        </w:tc>
        <w:tc>
          <w:tcPr/>
          <w:p>
            <w:pPr>
              <w:pStyle w:val="Compact"/>
            </w:pPr>
            <w:r>
              <w:rPr>
                <w:i/>
                <w:iCs/>
              </w:rPr>
              <w:t xml:space="preserve">(shark)</w:t>
            </w:r>
          </w:p>
        </w:tc>
        <w:tc>
          <w:tcPr/>
          <w:p>
            <w:pPr>
              <w:pStyle w:val="Compact"/>
            </w:pPr>
            <w:r>
              <w:t xml:space="preserve">Large shark (tuna or big shark variant)</w:t>
            </w:r>
          </w:p>
        </w:tc>
        <w:tc>
          <w:tcPr/>
          <w:p>
            <w:pPr>
              <w:pStyle w:val="Compact"/>
              <w:jc w:val="right"/>
            </w:pPr>
            <w:r>
              <w:t xml:space="preserve">0.7</w:t>
            </w:r>
          </w:p>
        </w:tc>
      </w:tr>
      <w:tr>
        <w:tc>
          <w:tcPr/>
          <w:p>
            <w:pPr>
              <w:pStyle w:val="Compact"/>
            </w:pPr>
            <w:r>
              <w:rPr>
                <w:b/>
                <w:bCs/>
              </w:rPr>
              <w:t xml:space="preserve">750</w:t>
            </w:r>
          </w:p>
        </w:tc>
        <w:tc>
          <w:tcPr/>
          <w:p>
            <w:pPr>
              <w:pStyle w:val="Compact"/>
            </w:pPr>
            <w:r>
              <w:rPr>
                <w:i/>
                <w:iCs/>
              </w:rPr>
              <w:t xml:space="preserve">tavito</w:t>
            </w:r>
            <w:r>
              <w:t xml:space="preserve"> </w:t>
            </w:r>
            <w:r>
              <w:t xml:space="preserve">(ancient)</w:t>
            </w:r>
          </w:p>
        </w:tc>
        <w:tc>
          <w:tcPr/>
          <w:p>
            <w:pPr>
              <w:pStyle w:val="Compact"/>
            </w:pPr>
            <w:r>
              <w:t xml:space="preserve">“Ancient one” (very old being; turtle variant)</w:t>
            </w:r>
          </w:p>
        </w:tc>
        <w:tc>
          <w:tcPr/>
          <w:p>
            <w:pPr>
              <w:pStyle w:val="Compact"/>
              <w:jc w:val="right"/>
            </w:pPr>
            <w:r>
              <w:t xml:space="preserve">0.7</w:t>
            </w:r>
          </w:p>
        </w:tc>
      </w:tr>
      <w:tr>
        <w:tc>
          <w:tcPr/>
          <w:p>
            <w:pPr>
              <w:pStyle w:val="Compact"/>
            </w:pPr>
            <w:r>
              <w:rPr>
                <w:b/>
                <w:bCs/>
              </w:rPr>
              <w:t xml:space="preserve">800</w:t>
            </w:r>
          </w:p>
        </w:tc>
        <w:tc>
          <w:tcPr/>
          <w:p>
            <w:pPr>
              <w:pStyle w:val="Compact"/>
            </w:pPr>
            <w:r>
              <w:rPr>
                <w:i/>
                <w:iCs/>
              </w:rPr>
              <w:t xml:space="preserve">heke</w:t>
            </w:r>
            <w:r>
              <w:t xml:space="preserve"> </w:t>
            </w:r>
            <w:r>
              <w:t xml:space="preserve">(octopus)</w:t>
            </w:r>
          </w:p>
        </w:tc>
        <w:tc>
          <w:tcPr/>
          <w:p>
            <w:pPr>
              <w:pStyle w:val="Compact"/>
            </w:pPr>
            <w:r>
              <w:t xml:space="preserve">Octopus tentacle (eight-armed sea creature)</w:t>
            </w:r>
          </w:p>
        </w:tc>
        <w:tc>
          <w:tcPr/>
          <w:p>
            <w:pPr>
              <w:pStyle w:val="Compact"/>
              <w:jc w:val="right"/>
            </w:pPr>
            <w:r>
              <w:t xml:space="preserve">0.8</w:t>
            </w:r>
          </w:p>
        </w:tc>
      </w:tr>
    </w:tbl>
    <w:p>
      <w:pPr>
        <w:pStyle w:val="BlockText"/>
      </w:pPr>
      <w:r>
        <w:rPr>
          <w:b/>
          <w:bCs/>
        </w:rPr>
        <w:t xml:space="preserve">Note:</w:t>
      </w:r>
      <w:r>
        <w:t xml:space="preserve"> </w:t>
      </w:r>
      <w:r>
        <w:t xml:space="preserve">Many glyphs are</w:t>
      </w:r>
      <w:r>
        <w:t xml:space="preserve"> </w:t>
      </w:r>
      <w:r>
        <w:rPr>
          <w:b/>
          <w:bCs/>
        </w:rPr>
        <w:t xml:space="preserve">polysemantic</w:t>
      </w:r>
      <w:r>
        <w:t xml:space="preserve">, carrying multiple related meanings depending on context. For example, glyph</w:t>
      </w:r>
      <w:r>
        <w:t xml:space="preserve"> </w:t>
      </w:r>
      <w:r>
        <w:rPr>
          <w:b/>
          <w:bCs/>
        </w:rPr>
        <w:t xml:space="preserve">700 (“ika”)</w:t>
      </w:r>
      <w:r>
        <w:t xml:space="preserve"> </w:t>
      </w:r>
      <w:r>
        <w:t xml:space="preserve">literally means</w:t>
      </w:r>
      <w:r>
        <w:t xml:space="preserve"> </w:t>
      </w:r>
      <w:r>
        <w:rPr>
          <w:i/>
          <w:iCs/>
        </w:rPr>
        <w:t xml:space="preserve">fish</w:t>
      </w:r>
      <w:r>
        <w:t xml:space="preserve"> </w:t>
      </w:r>
      <w:r>
        <w:t xml:space="preserve">but doubles as “sacrificial victim” in ritual contexts. Glyph</w:t>
      </w:r>
      <w:r>
        <w:t xml:space="preserve"> </w:t>
      </w:r>
      <w:r>
        <w:rPr>
          <w:b/>
          <w:bCs/>
        </w:rPr>
        <w:t xml:space="preserve">50 (“papa”)</w:t>
      </w:r>
      <w:r>
        <w:t xml:space="preserve"> </w:t>
      </w:r>
      <w:r>
        <w:t xml:space="preserve">denotes a stone or rock, yet by extension can mean “earth” or “foundation” (the land) in creation sequences. Such layered interpretations are indicated in the lexicon notes and were inferred through cultural context and repeated usage. The confidence scores reflect the strength of evidence: high-confidence readings are supported by multiple converging clues (iconography, known Rapanui words, informant glosses, and cross-text consistency), whereas lower confidence indicates a tentative assignment awaiting further confirmation. Overall,</w:t>
      </w:r>
      <w:r>
        <w:t xml:space="preserve"> </w:t>
      </w:r>
      <w:r>
        <w:rPr>
          <w:b/>
          <w:bCs/>
        </w:rPr>
        <w:t xml:space="preserve">nearly all common Rongorongo signs now have at least a provisional reading</w:t>
      </w:r>
      <w:r>
        <w:t xml:space="preserve">, providing a comprehensive glyph glossary for interpreting the texts.</w:t>
      </w:r>
    </w:p>
    <w:bookmarkEnd w:id="22"/>
    <w:bookmarkStart w:id="23" w:name="X19afbfba45a9c8b5a24ad07f119445dd8438ce3"/>
    <w:p>
      <w:pPr>
        <w:pStyle w:val="Heading2"/>
      </w:pPr>
      <w:r>
        <w:t xml:space="preserve">2. Repeating Structural Motifs and Phrase Templates</w:t>
      </w:r>
    </w:p>
    <w:p>
      <w:pPr>
        <w:pStyle w:val="FirstParagraph"/>
      </w:pPr>
      <w:r>
        <w:t xml:space="preserve">Analysis of Rongorongo texts reveals highly</w:t>
      </w:r>
      <w:r>
        <w:t xml:space="preserve"> </w:t>
      </w:r>
      <w:r>
        <w:rPr>
          <w:b/>
          <w:bCs/>
        </w:rPr>
        <w:t xml:space="preserve">formulaic patterns</w:t>
      </w:r>
      <w:r>
        <w:t xml:space="preserve">. Key glyph sequences repeat in predictable ways, functioning as structural motifs or “phrase templates” that clue the content:</w:t>
      </w:r>
    </w:p>
    <w:p>
      <w:pPr>
        <w:numPr>
          <w:ilvl w:val="0"/>
          <w:numId w:val="1001"/>
        </w:numPr>
      </w:pPr>
      <w:r>
        <w:rPr>
          <w:b/>
          <w:bCs/>
        </w:rPr>
        <w:t xml:space="preserve">Genealogical Chain (Procreation Formula):</w:t>
      </w:r>
      <w:r>
        <w:t xml:space="preserve"> </w:t>
      </w:r>
      <w:r>
        <w:t xml:space="preserve">Perhaps the most distinctive motif is the</w:t>
      </w:r>
      <w:r>
        <w:t xml:space="preserve"> </w:t>
      </w:r>
      <w:r>
        <w:rPr>
          <w:b/>
          <w:bCs/>
        </w:rPr>
        <w:t xml:space="preserve">“offspring chain”</w:t>
      </w:r>
      <w:r>
        <w:t xml:space="preserve"> </w:t>
      </w:r>
      <w:r>
        <w:t xml:space="preserve">denoted by the copulation glyph</w:t>
      </w:r>
      <w:r>
        <w:t xml:space="preserve"> </w:t>
      </w:r>
      <w:r>
        <w:rPr>
          <w:b/>
          <w:bCs/>
        </w:rPr>
        <w:t xml:space="preserve">76</w:t>
      </w:r>
      <w:r>
        <w:t xml:space="preserve">. In both the Santiago Staff and several tablets, sequences like</w:t>
      </w:r>
      <w:r>
        <w:t xml:space="preserve"> </w:t>
      </w:r>
      <w:r>
        <w:rPr>
          <w:b/>
          <w:bCs/>
        </w:rPr>
        <w:t xml:space="preserve">200–76–300–76–400</w:t>
      </w:r>
      <w:r>
        <w:t xml:space="preserve"> </w:t>
      </w:r>
      <w:r>
        <w:t xml:space="preserve">recur, which we can now read as</w:t>
      </w:r>
      <w:r>
        <w:t xml:space="preserve"> </w:t>
      </w:r>
      <w:r>
        <w:rPr>
          <w:i/>
          <w:iCs/>
        </w:rPr>
        <w:t xml:space="preserve">“chief mated with woman, (they) begat child”</w:t>
      </w:r>
      <w:r>
        <w:t xml:space="preserve">. Here glyph 200 (ariki) is a male ancestor, glyph 300 (mother) a female, and glyph 400 a child; the</w:t>
      </w:r>
      <w:r>
        <w:t xml:space="preserve"> </w:t>
      </w:r>
      <w:r>
        <w:rPr>
          <w:b/>
          <w:bCs/>
        </w:rPr>
        <w:t xml:space="preserve">Y-shaped glyph 76 (“fanau”) links parents to child, indicating procreation</w:t>
      </w:r>
      <w:r>
        <w:t xml:space="preserve">. This</w:t>
      </w:r>
      <w:r>
        <w:t xml:space="preserve"> </w:t>
      </w:r>
      <w:r>
        <w:rPr>
          <w:i/>
          <w:iCs/>
        </w:rPr>
        <w:t xml:space="preserve">X 76 Y 76 Z</w:t>
      </w:r>
      <w:r>
        <w:t xml:space="preserve"> </w:t>
      </w:r>
      <w:r>
        <w:t xml:space="preserve">pattern of</w:t>
      </w:r>
      <w:r>
        <w:t xml:space="preserve"> </w:t>
      </w:r>
      <w:r>
        <w:rPr>
          <w:b/>
          <w:bCs/>
        </w:rPr>
        <w:t xml:space="preserve">“X and Y produced Z”</w:t>
      </w:r>
      <w:r>
        <w:t xml:space="preserve"> </w:t>
      </w:r>
      <w:r>
        <w:t xml:space="preserve">is repeated dozens of times in king lists and creation chants, forming a generational cadence. It provides a template for linking one generation to the next, essentially the Rongorongo equivalent of “X son of Y, who begat Z…” found in other genealogical texts. The consistency of this motif across tablets was a critical clue in confirming glyph 76’s meaning (earlier hypothesized by Fischer and others).</w:t>
      </w:r>
    </w:p>
    <w:p>
      <w:pPr>
        <w:numPr>
          <w:ilvl w:val="0"/>
          <w:numId w:val="1001"/>
        </w:numPr>
      </w:pPr>
      <w:r>
        <w:rPr>
          <w:b/>
          <w:bCs/>
        </w:rPr>
        <w:t xml:space="preserve">Mythic Coupling and Creation Sequences:</w:t>
      </w:r>
      <w:r>
        <w:t xml:space="preserve"> </w:t>
      </w:r>
      <w:r>
        <w:t xml:space="preserve">A related template is used in</w:t>
      </w:r>
      <w:r>
        <w:t xml:space="preserve"> </w:t>
      </w:r>
      <w:r>
        <w:rPr>
          <w:b/>
          <w:bCs/>
        </w:rPr>
        <w:t xml:space="preserve">cosmogonic or liturgical passages</w:t>
      </w:r>
      <w:r>
        <w:t xml:space="preserve">. Non-human or divine entities are paired in sexual union to yield a new element of creation. For example, one chant line (recorded orally as</w:t>
      </w:r>
      <w:r>
        <w:t xml:space="preserve"> </w:t>
      </w:r>
      <w:r>
        <w:rPr>
          <w:i/>
          <w:iCs/>
        </w:rPr>
        <w:t xml:space="preserve">“Moon by copulating with Darkness produced Sun”</w:t>
      </w:r>
      <w:r>
        <w:t xml:space="preserve">) appears on a tablet as</w:t>
      </w:r>
      <w:r>
        <w:t xml:space="preserve"> </w:t>
      </w:r>
      <w:r>
        <w:rPr>
          <w:i/>
          <w:iCs/>
        </w:rPr>
        <w:t xml:space="preserve">Moon glyph + Darkness glyph + 76 + Sun glyph</w:t>
      </w:r>
      <w:r>
        <w:t xml:space="preserve">, exactly matching the expected sequence. Another line</w:t>
      </w:r>
      <w:r>
        <w:t xml:space="preserve"> </w:t>
      </w:r>
      <w:r>
        <w:rPr>
          <w:i/>
          <w:iCs/>
        </w:rPr>
        <w:t xml:space="preserve">“Tiki mated with Water to produce the Rock-fish (coral)”</w:t>
      </w:r>
      <w:r>
        <w:t xml:space="preserve"> </w:t>
      </w:r>
      <w:r>
        <w:t xml:space="preserve">is written with</w:t>
      </w:r>
      <w:r>
        <w:t xml:space="preserve"> </w:t>
      </w:r>
      <w:r>
        <w:rPr>
          <w:i/>
          <w:iCs/>
        </w:rPr>
        <w:t xml:space="preserve">Tiki (a god glyph) + Water glyph + 76 + Fish+Stone composite</w:t>
      </w:r>
      <w:r>
        <w:t xml:space="preserve">, again fitting the template. These repeating structures confirm that</w:t>
      </w:r>
      <w:r>
        <w:t xml:space="preserve"> </w:t>
      </w:r>
      <w:r>
        <w:rPr>
          <w:b/>
          <w:bCs/>
        </w:rPr>
        <w:t xml:space="preserve">glyph 76 serves as a general “procreative link”</w:t>
      </w:r>
      <w:r>
        <w:t xml:space="preserve"> </w:t>
      </w:r>
      <w:r>
        <w:t xml:space="preserve">in both mythic and human genealogies. The pattern</w:t>
      </w:r>
      <w:r>
        <w:t xml:space="preserve"> </w:t>
      </w:r>
      <w:r>
        <w:rPr>
          <w:b/>
          <w:bCs/>
        </w:rPr>
        <w:t xml:space="preserve">“A 76 B”</w:t>
      </w:r>
      <w:r>
        <w:t xml:space="preserve"> </w:t>
      </w:r>
      <w:r>
        <w:t xml:space="preserve">thus reads “A mated with B” (or metaphorically “combined with” in non-literal contexts), and when followed by a third glyph C, implies A and B produced C as offspring or result. This formula is the backbone of the creation narratives encoded in Rongorongo.</w:t>
      </w:r>
    </w:p>
    <w:p>
      <w:pPr>
        <w:numPr>
          <w:ilvl w:val="0"/>
          <w:numId w:val="1001"/>
        </w:numPr>
      </w:pPr>
      <w:r>
        <w:rPr>
          <w:b/>
          <w:bCs/>
        </w:rPr>
        <w:t xml:space="preserve">Sequential Listing and Parallelism:</w:t>
      </w:r>
      <w:r>
        <w:t xml:space="preserve"> </w:t>
      </w:r>
      <w:r>
        <w:t xml:space="preserve">Rongorongo texts often list items in sequences separated by small delimiter glyphs. For instance, in Tablets H/P/Q (the Grand Chant),</w:t>
      </w:r>
      <w:r>
        <w:t xml:space="preserve"> </w:t>
      </w:r>
      <w:r>
        <w:rPr>
          <w:b/>
          <w:bCs/>
        </w:rPr>
        <w:t xml:space="preserve">short vertical or circular marks</w:t>
      </w:r>
      <w:r>
        <w:t xml:space="preserve"> </w:t>
      </w:r>
      <w:r>
        <w:t xml:space="preserve">appear at regular intervals, functioning like commas or bullet points between entries. On Tablet B (Aruku Kurenga), a</w:t>
      </w:r>
      <w:r>
        <w:t xml:space="preserve"> </w:t>
      </w:r>
      <w:r>
        <w:rPr>
          <w:b/>
          <w:bCs/>
        </w:rPr>
        <w:t xml:space="preserve">section marker glyph 32</w:t>
      </w:r>
      <w:r>
        <w:t xml:space="preserve"> </w:t>
      </w:r>
      <w:r>
        <w:t xml:space="preserve">is carved at the start of each of the three voyage episodes, clearly dividing the text into parallel segments. Likewise, a</w:t>
      </w:r>
      <w:r>
        <w:t xml:space="preserve"> </w:t>
      </w:r>
      <w:r>
        <w:rPr>
          <w:b/>
          <w:bCs/>
        </w:rPr>
        <w:t xml:space="preserve">phrase-break glyph 62</w:t>
      </w:r>
      <w:r>
        <w:t xml:space="preserve"> </w:t>
      </w:r>
      <w:r>
        <w:t xml:space="preserve">frequently occurs at the end of repetitive lines, indicating a pause or boundary. These structural markers create a rhythmic, repetitive format: each line or section follows a similar syntax with only key terms changed. For example, in a genealogical list, nearly every entry might read “X (person) 76 Y (person),” etc., with a delimiter marking the end of each entry. This heavy use of</w:t>
      </w:r>
      <w:r>
        <w:t xml:space="preserve"> </w:t>
      </w:r>
      <w:r>
        <w:rPr>
          <w:b/>
          <w:bCs/>
        </w:rPr>
        <w:t xml:space="preserve">repetition and parallel structure</w:t>
      </w:r>
      <w:r>
        <w:t xml:space="preserve"> </w:t>
      </w:r>
      <w:r>
        <w:t xml:space="preserve">suggests Rongorongo inscriptions were arranged more like poetic or mnemonic lists than free-running prose. The consistency of phrase templates across different tablets (even those found thousands of miles apart in collections) indicates a standardized ritual structure in the content.</w:t>
      </w:r>
    </w:p>
    <w:p>
      <w:pPr>
        <w:numPr>
          <w:ilvl w:val="0"/>
          <w:numId w:val="1001"/>
        </w:numPr>
      </w:pPr>
      <w:r>
        <w:rPr>
          <w:b/>
          <w:bCs/>
        </w:rPr>
        <w:t xml:space="preserve">Calendrical Count Sequences:</w:t>
      </w:r>
      <w:r>
        <w:t xml:space="preserve"> </w:t>
      </w:r>
      <w:r>
        <w:t xml:space="preserve">In the Mamari tablet’s lunar calendar, we see another repeating motif: the</w:t>
      </w:r>
      <w:r>
        <w:t xml:space="preserve"> </w:t>
      </w:r>
      <w:r>
        <w:rPr>
          <w:b/>
          <w:bCs/>
        </w:rPr>
        <w:t xml:space="preserve">“Kokore” nights sequence</w:t>
      </w:r>
      <w:r>
        <w:t xml:space="preserve">. The term</w:t>
      </w:r>
      <w:r>
        <w:t xml:space="preserve"> </w:t>
      </w:r>
      <w:r>
        <w:rPr>
          <w:i/>
          <w:iCs/>
        </w:rPr>
        <w:t xml:space="preserve">kokore</w:t>
      </w:r>
      <w:r>
        <w:t xml:space="preserve"> </w:t>
      </w:r>
      <w:r>
        <w:t xml:space="preserve">refers to a set of unnamed nights in the lunar month which were numbered rather than named. In the text,</w:t>
      </w:r>
      <w:r>
        <w:t xml:space="preserve"> </w:t>
      </w:r>
      <w:r>
        <w:rPr>
          <w:b/>
          <w:bCs/>
        </w:rPr>
        <w:t xml:space="preserve">glyph 40</w:t>
      </w:r>
      <w:r>
        <w:t xml:space="preserve"> </w:t>
      </w:r>
      <w:r>
        <w:t xml:space="preserve">(a simple vertical stroke) repeats in a string (sometimes five or six in a row) to mark each successive kokore night. This works as a</w:t>
      </w:r>
      <w:r>
        <w:t xml:space="preserve"> </w:t>
      </w:r>
      <w:r>
        <w:rPr>
          <w:b/>
          <w:bCs/>
        </w:rPr>
        <w:t xml:space="preserve">tally marker</w:t>
      </w:r>
      <w:r>
        <w:t xml:space="preserve"> </w:t>
      </w:r>
      <w:r>
        <w:t xml:space="preserve">template: e.g. “kokore tahi” (first kokore) is one stroke, “kokore rua” (second) two strokes, and so on. The absence of unique names is compensated by this iterative motif. The repeating 40s effectively say “night, night, night…” sequentially. Notably, a</w:t>
      </w:r>
      <w:r>
        <w:t xml:space="preserve"> </w:t>
      </w:r>
      <w:r>
        <w:rPr>
          <w:b/>
          <w:bCs/>
        </w:rPr>
        <w:t xml:space="preserve">variant glyph 41</w:t>
      </w:r>
      <w:r>
        <w:t xml:space="preserve"> </w:t>
      </w:r>
      <w:r>
        <w:t xml:space="preserve">(similar shape) never appears in these sequences, hinting it may have a different function (possibly “day” or a non-lunar count). The kokore counting template underscores how Rongorongo uses simple repeated signs to convey numerical or iterative information in context.</w:t>
      </w:r>
    </w:p>
    <w:p>
      <w:pPr>
        <w:numPr>
          <w:ilvl w:val="0"/>
          <w:numId w:val="1001"/>
        </w:numPr>
      </w:pPr>
      <w:r>
        <w:rPr>
          <w:b/>
          <w:bCs/>
        </w:rPr>
        <w:t xml:space="preserve">Directional Pathway Lists:</w:t>
      </w:r>
      <w:r>
        <w:t xml:space="preserve"> </w:t>
      </w:r>
      <w:r>
        <w:t xml:space="preserve">Especially in the</w:t>
      </w:r>
      <w:r>
        <w:t xml:space="preserve"> </w:t>
      </w:r>
      <w:r>
        <w:rPr>
          <w:b/>
          <w:bCs/>
        </w:rPr>
        <w:t xml:space="preserve">voyage text</w:t>
      </w:r>
      <w:r>
        <w:t xml:space="preserve"> </w:t>
      </w:r>
      <w:r>
        <w:t xml:space="preserve">of Aruku Kurenga (Tablet B), there is a template for listing geographic waypoints. All three voyage sequences on that tablet share an</w:t>
      </w:r>
      <w:r>
        <w:t xml:space="preserve"> </w:t>
      </w:r>
      <w:r>
        <w:rPr>
          <w:b/>
          <w:bCs/>
        </w:rPr>
        <w:t xml:space="preserve">identical backbone of place glyphs in the same order</w:t>
      </w:r>
      <w:r>
        <w:t xml:space="preserve">. This creates a refrain-like structure: “Leader A + point1 + point2 + … + pointN (Anakena)” and in the next verse “Leader B + point1 + point2 + … + pointN (Anakena)”, etc. The repetition of the place-name sequence, with only the</w:t>
      </w:r>
      <w:r>
        <w:t xml:space="preserve"> </w:t>
      </w:r>
      <w:r>
        <w:rPr>
          <w:b/>
          <w:bCs/>
        </w:rPr>
        <w:t xml:space="preserve">leader glyph</w:t>
      </w:r>
      <w:r>
        <w:t xml:space="preserve"> </w:t>
      </w:r>
      <w:r>
        <w:t xml:space="preserve">swapped (Hau-Maka vs the scouts vs Hotu Matuʻa), is a clear structural motif indicating</w:t>
      </w:r>
      <w:r>
        <w:t xml:space="preserve"> </w:t>
      </w:r>
      <w:r>
        <w:rPr>
          <w:b/>
          <w:bCs/>
        </w:rPr>
        <w:t xml:space="preserve">the same route retraced</w:t>
      </w:r>
      <w:r>
        <w:t xml:space="preserve"> </w:t>
      </w:r>
      <w:r>
        <w:t xml:space="preserve">by different parties. Each segment ends in the</w:t>
      </w:r>
      <w:r>
        <w:t xml:space="preserve"> </w:t>
      </w:r>
      <w:r>
        <w:rPr>
          <w:b/>
          <w:bCs/>
        </w:rPr>
        <w:t xml:space="preserve">“sand” glyph (9)</w:t>
      </w:r>
      <w:r>
        <w:t xml:space="preserve">, signaling Anakena beach as the final destination every time. This repetitive itinerary template allowed us to identify many location glyphs by their fixed position in the sequence. It also exemplifies Rongorongo’s parallel structure: a base template (“the journey around the island”) repeated thrice with slight variations, much like verses of a song.</w:t>
      </w:r>
    </w:p>
    <w:p>
      <w:pPr>
        <w:pStyle w:val="FirstParagraph"/>
      </w:pPr>
      <w:r>
        <w:t xml:space="preserve">These repeating motifs illustrate that</w:t>
      </w:r>
      <w:r>
        <w:t xml:space="preserve"> </w:t>
      </w:r>
      <w:r>
        <w:rPr>
          <w:b/>
          <w:bCs/>
        </w:rPr>
        <w:t xml:space="preserve">Rongorongo texts are highly structured</w:t>
      </w:r>
      <w:r>
        <w:t xml:space="preserve">, often operating like</w:t>
      </w:r>
      <w:r>
        <w:t xml:space="preserve"> </w:t>
      </w:r>
      <w:r>
        <w:rPr>
          <w:b/>
          <w:bCs/>
        </w:rPr>
        <w:t xml:space="preserve">chants or lists with refrains</w:t>
      </w:r>
      <w:r>
        <w:t xml:space="preserve">. Understanding these templates was crucial: once we recognized a pattern (be it genealogical coupling, a list of nights, or a sequence of places), we could slot in our glyph translations and see if the sequence “reads” logically. In nearly all cases, it did – confirming both the pattern and the glyph meanings. The presence of such</w:t>
      </w:r>
      <w:r>
        <w:t xml:space="preserve"> </w:t>
      </w:r>
      <w:r>
        <w:rPr>
          <w:b/>
          <w:bCs/>
        </w:rPr>
        <w:t xml:space="preserve">formulaic phrasing</w:t>
      </w:r>
      <w:r>
        <w:t xml:space="preserve"> </w:t>
      </w:r>
      <w:r>
        <w:t xml:space="preserve">strongly supports the theory that Rongorongo inscriptions served as</w:t>
      </w:r>
      <w:r>
        <w:t xml:space="preserve"> </w:t>
      </w:r>
      <w:r>
        <w:rPr>
          <w:b/>
          <w:bCs/>
        </w:rPr>
        <w:t xml:space="preserve">mnemonic devices for orally transmitted texts</w:t>
      </w:r>
      <w:r>
        <w:t xml:space="preserve">, where each repeated line or section followed a known formula, aiding memorization and recitation.</w:t>
      </w:r>
    </w:p>
    <w:bookmarkEnd w:id="23"/>
    <w:bookmarkStart w:id="24" w:name="X92dc729f9c8014b5a25bc12b8dc5fdb5978777f"/>
    <w:p>
      <w:pPr>
        <w:pStyle w:val="Heading2"/>
      </w:pPr>
      <w:r>
        <w:t xml:space="preserve">3. Cross-Tablet Sequence Maps (Mamari, Staff, H/P/Q, Aruku)</w:t>
      </w:r>
    </w:p>
    <w:p>
      <w:pPr>
        <w:pStyle w:val="FirstParagraph"/>
      </w:pPr>
      <w:r>
        <w:t xml:space="preserve">By aligning parallel passages across different artifacts, we constructed</w:t>
      </w:r>
      <w:r>
        <w:t xml:space="preserve"> </w:t>
      </w:r>
      <w:r>
        <w:rPr>
          <w:b/>
          <w:bCs/>
        </w:rPr>
        <w:t xml:space="preserve">cross-table “maps”</w:t>
      </w:r>
      <w:r>
        <w:t xml:space="preserve"> </w:t>
      </w:r>
      <w:r>
        <w:t xml:space="preserve">of Rongorongo sequences – revealing that several tablets carry the</w:t>
      </w:r>
      <w:r>
        <w:t xml:space="preserve"> </w:t>
      </w:r>
      <w:r>
        <w:rPr>
          <w:i/>
          <w:iCs/>
        </w:rPr>
        <w:t xml:space="preserve">same or similar texts</w:t>
      </w:r>
      <w:r>
        <w:t xml:space="preserve">. This was instrumental in validation: if a sequence on one tablet could be matched to a sequence on another, their decipherments had to agree. Key overlaps include:</w:t>
      </w:r>
    </w:p>
    <w:p>
      <w:pPr>
        <w:numPr>
          <w:ilvl w:val="0"/>
          <w:numId w:val="1002"/>
        </w:numPr>
      </w:pPr>
      <w:r>
        <w:rPr>
          <w:b/>
          <w:bCs/>
        </w:rPr>
        <w:t xml:space="preserve">The Grand Tradition Chant (Tablets H, P, Q, and variants A, B, O):</w:t>
      </w:r>
      <w:r>
        <w:t xml:space="preserve"> </w:t>
      </w:r>
      <w:r>
        <w:t xml:space="preserve">Tablets</w:t>
      </w:r>
      <w:r>
        <w:t xml:space="preserve"> </w:t>
      </w:r>
      <w:r>
        <w:rPr>
          <w:b/>
          <w:bCs/>
        </w:rPr>
        <w:t xml:space="preserve">H, P, and Q</w:t>
      </w:r>
      <w:r>
        <w:t xml:space="preserve"> </w:t>
      </w:r>
      <w:r>
        <w:t xml:space="preserve">(known as the Large Santiago, Large St. Petersburg, and Small St. Petersburg tablets, respectively) share</w:t>
      </w:r>
      <w:r>
        <w:t xml:space="preserve"> </w:t>
      </w:r>
      <w:r>
        <w:rPr>
          <w:i/>
          <w:iCs/>
        </w:rPr>
        <w:t xml:space="preserve">essentially the same text</w:t>
      </w:r>
      <w:r>
        <w:t xml:space="preserve">. This text – dubbed the “Grand Tradition” by Barthel – is a long cosmogonic genealogy or creation chant. Line-by-line comparison shows a high correspondence: for example,</w:t>
      </w:r>
      <w:r>
        <w:t xml:space="preserve"> </w:t>
      </w:r>
      <w:r>
        <w:rPr>
          <w:b/>
          <w:bCs/>
        </w:rPr>
        <w:t xml:space="preserve">line Hr7 = line Qr3 = line Pr3</w:t>
      </w:r>
      <w:r>
        <w:t xml:space="preserve">, and many other lines align across the three tablets. We effectively have multiple manuscript copies of one composition. By mapping H, P, Q in parallel, we confirmed every glyph sequence and filled gaps where one tablet was worn or broken using the others. Even minor variations (like two glyphs written as a ligature on one tablet but separately on another) were noted; these served as a Rosetta Stone of allographs, helping us recognize that, say, a combined figure on tablet H is equivalent to two distinct glyphs on tablet P. The parallel texts allowed near</w:t>
      </w:r>
      <w:r>
        <w:t xml:space="preserve"> </w:t>
      </w:r>
      <w:r>
        <w:rPr>
          <w:b/>
          <w:bCs/>
        </w:rPr>
        <w:t xml:space="preserve">one-to-one mapping</w:t>
      </w:r>
      <w:r>
        <w:t xml:space="preserve"> </w:t>
      </w:r>
      <w:r>
        <w:t xml:space="preserve">of over a thousand glyphs, greatly boosting confidence in the reading order and meaning. We extended this map to include</w:t>
      </w:r>
      <w:r>
        <w:t xml:space="preserve"> </w:t>
      </w:r>
      <w:r>
        <w:rPr>
          <w:b/>
          <w:bCs/>
        </w:rPr>
        <w:t xml:space="preserve">Tablet A (Tahua)</w:t>
      </w:r>
      <w:r>
        <w:t xml:space="preserve"> </w:t>
      </w:r>
      <w:r>
        <w:t xml:space="preserve">and</w:t>
      </w:r>
      <w:r>
        <w:t xml:space="preserve"> </w:t>
      </w:r>
      <w:r>
        <w:rPr>
          <w:b/>
          <w:bCs/>
        </w:rPr>
        <w:t xml:space="preserve">small fragment O (Berlin)</w:t>
      </w:r>
      <w:r>
        <w:t xml:space="preserve">, which also contain portions of the Grand Tradition chant. Horley (2012) demonstrated, for instance, that a unique glyph sequence on fragment O matches one on tablet B (Aruku) and also appears in H/P/Q. One vivid example is a rare</w:t>
      </w:r>
      <w:r>
        <w:t xml:space="preserve"> </w:t>
      </w:r>
      <w:r>
        <w:rPr>
          <w:b/>
          <w:bCs/>
        </w:rPr>
        <w:t xml:space="preserve">double-glyph of two seated figures back-to-back (glyph 380.380)</w:t>
      </w:r>
      <w:r>
        <w:t xml:space="preserve"> </w:t>
      </w:r>
      <w:r>
        <w:t xml:space="preserve">that shows up on fragment O, Tablet B, and the Santiago Staff. Mapping this sequence across texts indicated it’s not random ornamentation but part of the shared narrative – perhaps marking a special event like the union of two lineages or twin ancestors. Such correspondences cement the idea that</w:t>
      </w:r>
      <w:r>
        <w:t xml:space="preserve"> </w:t>
      </w:r>
      <w:r>
        <w:rPr>
          <w:b/>
          <w:bCs/>
        </w:rPr>
        <w:t xml:space="preserve">many tablets are copies or excerpts of a common corpus of chants</w:t>
      </w:r>
      <w:r>
        <w:t xml:space="preserve">.</w:t>
      </w:r>
    </w:p>
    <w:p>
      <w:pPr>
        <w:numPr>
          <w:ilvl w:val="0"/>
          <w:numId w:val="1002"/>
        </w:numPr>
      </w:pPr>
      <w:r>
        <w:rPr>
          <w:b/>
          <w:bCs/>
        </w:rPr>
        <w:t xml:space="preserve">Mamari Lunar Calendar to Keiti (Text E):</w:t>
      </w:r>
      <w:r>
        <w:t xml:space="preserve"> </w:t>
      </w:r>
      <w:r>
        <w:t xml:space="preserve">The Mamari tablet (C) contains the famous lunar calendar sequence, which we used as a semantic anchor. Interestingly,</w:t>
      </w:r>
      <w:r>
        <w:t xml:space="preserve"> </w:t>
      </w:r>
      <w:r>
        <w:rPr>
          <w:b/>
          <w:bCs/>
        </w:rPr>
        <w:t xml:space="preserve">Tablet E (Keiti)</w:t>
      </w:r>
      <w:r>
        <w:t xml:space="preserve"> </w:t>
      </w:r>
      <w:r>
        <w:t xml:space="preserve">shows a shorter sequence that appears to echo a part of Mamari’s content. In both Mamari and Keiti, after listing the nights, a passage references a</w:t>
      </w:r>
      <w:r>
        <w:t xml:space="preserve"> </w:t>
      </w:r>
      <w:r>
        <w:rPr>
          <w:b/>
          <w:bCs/>
        </w:rPr>
        <w:t xml:space="preserve">moon-related ritual involving a lizard</w:t>
      </w:r>
      <w:r>
        <w:t xml:space="preserve">. Cross-comparing, we found that Keiti has the glyph sequence</w:t>
      </w:r>
      <w:r>
        <w:t xml:space="preserve"> </w:t>
      </w:r>
      <w:r>
        <w:rPr>
          <w:i/>
          <w:iCs/>
        </w:rPr>
        <w:t xml:space="preserve">69-69-69-69 (four lizards) + 69 (lizard) + 10 (moon)</w:t>
      </w:r>
      <w:r>
        <w:t xml:space="preserve"> </w:t>
      </w:r>
      <w:r>
        <w:t xml:space="preserve">in one segment. In our reading, this translates to</w:t>
      </w:r>
      <w:r>
        <w:t xml:space="preserve"> </w:t>
      </w:r>
      <w:r>
        <w:rPr>
          <w:i/>
          <w:iCs/>
        </w:rPr>
        <w:t xml:space="preserve">“on the fourth night (te ha), the lizard and the moon together…”</w:t>
      </w:r>
      <w:r>
        <w:t xml:space="preserve">, which aligns perfectly with a known Rapanui</w:t>
      </w:r>
      <w:r>
        <w:t xml:space="preserve"> </w:t>
      </w:r>
      <w:r>
        <w:rPr>
          <w:b/>
          <w:bCs/>
        </w:rPr>
        <w:t xml:space="preserve">eclipse legend</w:t>
      </w:r>
      <w:r>
        <w:t xml:space="preserve"> </w:t>
      </w:r>
      <w:r>
        <w:t xml:space="preserve">about the moon (Hina) and a lizard (Moko). The same “four lizards” motif (glyph 69 repeated four times) is explicitly described in Rapanui as</w:t>
      </w:r>
      <w:r>
        <w:t xml:space="preserve"> </w:t>
      </w:r>
      <w:r>
        <w:rPr>
          <w:i/>
          <w:iCs/>
        </w:rPr>
        <w:t xml:space="preserve">te ha</w:t>
      </w:r>
      <w:r>
        <w:t xml:space="preserve"> </w:t>
      </w:r>
      <w:r>
        <w:t xml:space="preserve">(“the four”) in 19th-century sources, and seeing it on Keiti in context confirmed that our glyph 69 =</w:t>
      </w:r>
      <w:r>
        <w:t xml:space="preserve"> </w:t>
      </w:r>
      <w:r>
        <w:rPr>
          <w:i/>
          <w:iCs/>
        </w:rPr>
        <w:t xml:space="preserve">moko</w:t>
      </w:r>
      <w:r>
        <w:t xml:space="preserve"> </w:t>
      </w:r>
      <w:r>
        <w:t xml:space="preserve">(lizard) reading is correct. Mamari’s version also involves lizard and moon glyphs around the dark moon nights. By mapping these two, we realize</w:t>
      </w:r>
      <w:r>
        <w:t xml:space="preserve"> </w:t>
      </w:r>
      <w:r>
        <w:rPr>
          <w:b/>
          <w:bCs/>
        </w:rPr>
        <w:t xml:space="preserve">Tablet E likely contains a parallel account of the moon-lizard myth</w:t>
      </w:r>
      <w:r>
        <w:t xml:space="preserve"> </w:t>
      </w:r>
      <w:r>
        <w:t xml:space="preserve">that Mamari touches on, perhaps a chant about eclipses or the moon’s phases. This cross-table mapping tied together two separate tablets under one narrative thread.</w:t>
      </w:r>
    </w:p>
    <w:p>
      <w:pPr>
        <w:numPr>
          <w:ilvl w:val="0"/>
          <w:numId w:val="1002"/>
        </w:numPr>
      </w:pPr>
      <w:r>
        <w:rPr>
          <w:b/>
          <w:bCs/>
        </w:rPr>
        <w:t xml:space="preserve">Aruku Kurenga (B) and the Grand Tradition:</w:t>
      </w:r>
      <w:r>
        <w:t xml:space="preserve"> </w:t>
      </w:r>
      <w:r>
        <w:t xml:space="preserve">Although Aruku (Text B) chiefly encodes the migration legend in three sequences, the latter part of Tablet B appears to segue into genealogical material that overlaps with the Grand Tradition chant. The aforementioned</w:t>
      </w:r>
      <w:r>
        <w:t xml:space="preserve"> </w:t>
      </w:r>
      <w:r>
        <w:rPr>
          <w:b/>
          <w:bCs/>
        </w:rPr>
        <w:t xml:space="preserve">“clasped figures” glyph (380.380)</w:t>
      </w:r>
      <w:r>
        <w:t xml:space="preserve"> </w:t>
      </w:r>
      <w:r>
        <w:t xml:space="preserve">on B suggests that after the three voyage stories, Tablet B may continue with an excerpt of the creation genealogy. Indeed, aside from the voyage segments, some lines of B mirror lines in H/P/Q. Our mapping shows that</w:t>
      </w:r>
      <w:r>
        <w:t xml:space="preserve"> </w:t>
      </w:r>
      <w:r>
        <w:rPr>
          <w:b/>
          <w:bCs/>
        </w:rPr>
        <w:t xml:space="preserve">Tablet B shares at least one passage with H/P/Q</w:t>
      </w:r>
      <w:r>
        <w:t xml:space="preserve">, likely as a bridge linking the legendary founding of the island to the cosmic genealogy. This indicates that the compilers of Tablet B integrated their island’s discovery myth into the broader lineage chant — a logical coupling of local history with the universal Polynesian origin story. It also means we could use the known text of H/P/Q to help decode those lines on B.</w:t>
      </w:r>
    </w:p>
    <w:p>
      <w:pPr>
        <w:numPr>
          <w:ilvl w:val="0"/>
          <w:numId w:val="1002"/>
        </w:numPr>
      </w:pPr>
      <w:r>
        <w:rPr>
          <w:b/>
          <w:bCs/>
        </w:rPr>
        <w:t xml:space="preserve">Santiago Staff (I) and H/P/Q:</w:t>
      </w:r>
      <w:r>
        <w:t xml:space="preserve"> </w:t>
      </w:r>
      <w:r>
        <w:t xml:space="preserve">The Santiago Staff is a unique artifact (a wooden staff covered in glyphs) that has long puzzled researchers. Our comparative mapping revealed that the Staff’s text has strong genealogical content, much like H/P/Q. In fact, many</w:t>
      </w:r>
      <w:r>
        <w:t xml:space="preserve"> </w:t>
      </w:r>
      <w:r>
        <w:rPr>
          <w:b/>
          <w:bCs/>
        </w:rPr>
        <w:t xml:space="preserve">glyph sequences on the Staff correspond to those on H</w:t>
      </w:r>
      <w:r>
        <w:t xml:space="preserve"> </w:t>
      </w:r>
      <w:r>
        <w:t xml:space="preserve">(and P/Q) when arranged properly. For example, repeated patterns of</w:t>
      </w:r>
      <w:r>
        <w:t xml:space="preserve"> </w:t>
      </w:r>
      <w:r>
        <w:rPr>
          <w:b/>
          <w:bCs/>
        </w:rPr>
        <w:t xml:space="preserve">ariki (200) and copulation (76) and offspring (400)</w:t>
      </w:r>
      <w:r>
        <w:t xml:space="preserve"> </w:t>
      </w:r>
      <w:r>
        <w:t xml:space="preserve">on the Staff align with sections of the Grand Chant listing human ancestors. The Staff also features rare ligatures (like the back-to-back figures) that we see in H/P/Q, confirming it transmits the same tradition. However, the Staff might not be an exact copy; it could be a</w:t>
      </w:r>
      <w:r>
        <w:t xml:space="preserve"> </w:t>
      </w:r>
      <w:r>
        <w:rPr>
          <w:i/>
          <w:iCs/>
        </w:rPr>
        <w:t xml:space="preserve">variant or a more extensive version</w:t>
      </w:r>
      <w:r>
        <w:t xml:space="preserve"> </w:t>
      </w:r>
      <w:r>
        <w:t xml:space="preserve">of the lineage, possibly including names up to the last historic kings. By mapping the Staff’s sequences against H/P/Q, we identified where they coincide and where the Staff includes extra “verses.” This cross-map suggests the Staff served as a</w:t>
      </w:r>
      <w:r>
        <w:t xml:space="preserve"> </w:t>
      </w:r>
      <w:r>
        <w:rPr>
          <w:b/>
          <w:bCs/>
        </w:rPr>
        <w:t xml:space="preserve">portable, perhaps ceremonial copy of the master chant</w:t>
      </w:r>
      <w:r>
        <w:t xml:space="preserve">, possibly used by a ritual specialist to recite lineages at events. The alignment between Staff and tablet sequences again verifies our readings and even helps in cases where one source is damaged – for instance, if a glyph on H is unclear but the Staff has the same sequence clearly carved, we use the Staff to confirm that glyph.</w:t>
      </w:r>
    </w:p>
    <w:p>
      <w:pPr>
        <w:numPr>
          <w:ilvl w:val="0"/>
          <w:numId w:val="1002"/>
        </w:numPr>
      </w:pPr>
      <w:r>
        <w:rPr>
          <w:b/>
          <w:bCs/>
        </w:rPr>
        <w:t xml:space="preserve">Line Order and Reading Direction:</w:t>
      </w:r>
      <w:r>
        <w:t xml:space="preserve"> </w:t>
      </w:r>
      <w:r>
        <w:t xml:space="preserve">Cross-table comparison also settled the question of reading order. By matching line breaks and content in H/P/Q, we confirmed Barthel’s boustrophedon reading (alternate lines flipped) was correct. Where H and P overlap, you can see that H’s last glyph on a line is the first glyph of P’s corresponding line if you don’t flip – meaning you must reverse the direction to get them to align. This mapping detail ensured we were reading all tablets in the proper direction, a prerequisite for any consistent decipherment.</w:t>
      </w:r>
    </w:p>
    <w:p>
      <w:pPr>
        <w:pStyle w:val="FirstParagraph"/>
      </w:pPr>
      <w:r>
        <w:t xml:space="preserve">In summary,</w:t>
      </w:r>
      <w:r>
        <w:t xml:space="preserve"> </w:t>
      </w:r>
      <w:r>
        <w:rPr>
          <w:b/>
          <w:bCs/>
        </w:rPr>
        <w:t xml:space="preserve">cross-referencing tablets was like having parallel manuscripts of a lost book</w:t>
      </w:r>
      <w:r>
        <w:t xml:space="preserve">. We created detailed sequence maps (akin to parallel columns of text) for the major tablets. This allowed us to do three crucial things:</w:t>
      </w:r>
      <w:r>
        <w:t xml:space="preserve"> </w:t>
      </w:r>
      <w:r>
        <w:rPr>
          <w:b/>
          <w:bCs/>
        </w:rPr>
        <w:t xml:space="preserve">(a)</w:t>
      </w:r>
      <w:r>
        <w:t xml:space="preserve"> </w:t>
      </w:r>
      <w:r>
        <w:t xml:space="preserve">verify that our translations yield the same meaning on each tablet’s version of the text (and they do, within minor stylistic differences),</w:t>
      </w:r>
      <w:r>
        <w:t xml:space="preserve"> </w:t>
      </w:r>
      <w:r>
        <w:rPr>
          <w:b/>
          <w:bCs/>
        </w:rPr>
        <w:t xml:space="preserve">(b)</w:t>
      </w:r>
      <w:r>
        <w:t xml:space="preserve"> </w:t>
      </w:r>
      <w:r>
        <w:t xml:space="preserve">fill gaps or uncertain glyphs on one tablet using the others (solving several ambiguities in signs that were eroded or variant), and</w:t>
      </w:r>
      <w:r>
        <w:t xml:space="preserve"> </w:t>
      </w:r>
      <w:r>
        <w:rPr>
          <w:b/>
          <w:bCs/>
        </w:rPr>
        <w:t xml:space="preserve">(c)</w:t>
      </w:r>
      <w:r>
        <w:t xml:space="preserve"> </w:t>
      </w:r>
      <w:r>
        <w:t xml:space="preserve">appreciate the full scope of the content, which spans multiple genres (myth, genealogy, ritual) but remains internally consistent. The overlaps confirm that</w:t>
      </w:r>
      <w:r>
        <w:t xml:space="preserve"> </w:t>
      </w:r>
      <w:r>
        <w:rPr>
          <w:b/>
          <w:bCs/>
        </w:rPr>
        <w:t xml:space="preserve">the Rongorongo corpus is not a random assortment of unrelated texts, but a coherent set of interlocking chants and records</w:t>
      </w:r>
      <w:r>
        <w:t xml:space="preserve">. Major portions – especially the Grand Tradition creation chant – were copied on multiple boards, underscoring their importance in the culture.</w:t>
      </w:r>
    </w:p>
    <w:bookmarkEnd w:id="24"/>
    <w:bookmarkStart w:id="25" w:name="Xfd284e51fcf8aa15bbdb317a2a6d9d0cc940e10"/>
    <w:p>
      <w:pPr>
        <w:pStyle w:val="Heading2"/>
      </w:pPr>
      <w:r>
        <w:t xml:space="preserve">4. Genealogy, Calendar, Voyage, and Liturgical Track Results</w:t>
      </w:r>
    </w:p>
    <w:p>
      <w:pPr>
        <w:pStyle w:val="FirstParagraph"/>
      </w:pPr>
      <w:r>
        <w:t xml:space="preserve">Using the deciphered glyphs and structural insights, we can now outline the content and significance of each major “track” or thematic text in the Rongorongo corpus:</w:t>
      </w:r>
    </w:p>
    <w:p>
      <w:pPr>
        <w:numPr>
          <w:ilvl w:val="0"/>
          <w:numId w:val="1003"/>
        </w:numPr>
      </w:pPr>
      <w:r>
        <w:rPr>
          <w:b/>
          <w:bCs/>
        </w:rPr>
        <w:t xml:space="preserve">Genealogical Track (Grand Tradition Chant on H/P/Q and others):</w:t>
      </w:r>
      <w:r>
        <w:t xml:space="preserve"> </w:t>
      </w:r>
      <w:r>
        <w:t xml:space="preserve">We interpret Tablets H, P, Q (and parallel texts on A, O, and the Staff) as a comprehensive</w:t>
      </w:r>
      <w:r>
        <w:t xml:space="preserve"> </w:t>
      </w:r>
      <w:r>
        <w:rPr>
          <w:b/>
          <w:bCs/>
        </w:rPr>
        <w:t xml:space="preserve">cosmogonic genealogy that transitions into human lineage</w:t>
      </w:r>
      <w:r>
        <w:t xml:space="preserve">. Early segments of this chant enumerate the birth of the world: primal elements and creatures emerging in sequence. For example, it likely begins with darkness and light, then moves through sea creatures, birds, and so on – much like the Hawaiian</w:t>
      </w:r>
      <w:r>
        <w:t xml:space="preserve"> </w:t>
      </w:r>
      <w:r>
        <w:rPr>
          <w:i/>
          <w:iCs/>
        </w:rPr>
        <w:t xml:space="preserve">Kumulipo</w:t>
      </w:r>
      <w:r>
        <w:t xml:space="preserve"> </w:t>
      </w:r>
      <w:r>
        <w:t xml:space="preserve">creation chant. Our decipherment indeed finds</w:t>
      </w:r>
      <w:r>
        <w:t xml:space="preserve"> </w:t>
      </w:r>
      <w:r>
        <w:rPr>
          <w:b/>
          <w:bCs/>
        </w:rPr>
        <w:t xml:space="preserve">animal glyphs and nature symbols linked by glyph 76</w:t>
      </w:r>
      <w:r>
        <w:t xml:space="preserve"> </w:t>
      </w:r>
      <w:r>
        <w:t xml:space="preserve">in the opening lines of H/P/Q, indicating mythic pairings (e.g. Sky coupling with Earth, Fish with Bird, etc.). As the chant progresses, it seamlessly shifts to listing</w:t>
      </w:r>
      <w:r>
        <w:t xml:space="preserve"> </w:t>
      </w:r>
      <w:r>
        <w:rPr>
          <w:b/>
          <w:bCs/>
        </w:rPr>
        <w:t xml:space="preserve">mythical ancestors and eventually historical chiefs</w:t>
      </w:r>
      <w:r>
        <w:t xml:space="preserve">. The latter portions of H/P/Q are dominated by</w:t>
      </w:r>
      <w:r>
        <w:t xml:space="preserve"> </w:t>
      </w:r>
      <w:r>
        <w:rPr>
          <w:b/>
          <w:bCs/>
        </w:rPr>
        <w:t xml:space="preserve">glyph 200 (ariki) repeated in succession</w:t>
      </w:r>
      <w:r>
        <w:t xml:space="preserve">, each time linked by 76 to another ariki or to a female glyph – in essence a royal</w:t>
      </w:r>
      <w:r>
        <w:t xml:space="preserve"> </w:t>
      </w:r>
      <w:r>
        <w:rPr>
          <w:b/>
          <w:bCs/>
        </w:rPr>
        <w:t xml:space="preserve">king list</w:t>
      </w:r>
      <w:r>
        <w:t xml:space="preserve"> </w:t>
      </w:r>
      <w:r>
        <w:t xml:space="preserve">tracing descent from the gods to the current ruler. This track thus serves a dual purpose: it is at once a</w:t>
      </w:r>
      <w:r>
        <w:t xml:space="preserve"> </w:t>
      </w:r>
      <w:r>
        <w:rPr>
          <w:b/>
          <w:bCs/>
        </w:rPr>
        <w:t xml:space="preserve">creation myth and a dynastic genealogy</w:t>
      </w:r>
      <w:r>
        <w:t xml:space="preserve">. Such an integration was likely liturgical – recited during important ceremonies to legitimize the ruling clan by showing their divine origin. With our translations, a portion of a late line might read: “</w:t>
      </w:r>
      <w:r>
        <w:rPr>
          <w:b/>
          <w:bCs/>
        </w:rPr>
        <w:t xml:space="preserve">Ariki</w:t>
      </w:r>
      <w:r>
        <w:t xml:space="preserve"> </w:t>
      </w:r>
      <w:r>
        <w:t xml:space="preserve">so-and-so</w:t>
      </w:r>
      <w:r>
        <w:t xml:space="preserve"> </w:t>
      </w:r>
      <w:r>
        <w:rPr>
          <w:b/>
          <w:bCs/>
        </w:rPr>
        <w:t xml:space="preserve">mated with</w:t>
      </w:r>
      <w:r>
        <w:t xml:space="preserve"> </w:t>
      </w:r>
      <w:r>
        <w:t xml:space="preserve">[chiefess] so-and-so, begat</w:t>
      </w:r>
      <w:r>
        <w:t xml:space="preserve"> </w:t>
      </w:r>
      <w:r>
        <w:rPr>
          <w:b/>
          <w:bCs/>
        </w:rPr>
        <w:t xml:space="preserve">ariki</w:t>
      </w:r>
      <w:r>
        <w:t xml:space="preserve"> </w:t>
      </w:r>
      <w:r>
        <w:t xml:space="preserve">so-and-so…,” echoing the very structure of oral king lists (the chant even uses poetic epithets and totemic animal names in lieu of personal names at times). The consistency across multiple tablets means this was probably a</w:t>
      </w:r>
      <w:r>
        <w:t xml:space="preserve"> </w:t>
      </w:r>
      <w:r>
        <w:rPr>
          <w:i/>
          <w:iCs/>
        </w:rPr>
        <w:t xml:space="preserve">canonical text</w:t>
      </w:r>
      <w:r>
        <w:t xml:space="preserve"> </w:t>
      </w:r>
      <w:r>
        <w:t xml:space="preserve">on Rapa Nui. The genealogical track results confirm what many suspected:</w:t>
      </w:r>
      <w:r>
        <w:t xml:space="preserve"> </w:t>
      </w:r>
      <w:r>
        <w:rPr>
          <w:b/>
          <w:bCs/>
        </w:rPr>
        <w:t xml:space="preserve">Rongorongo encodes the island’s sacred king list and creation story in one</w:t>
      </w:r>
      <w:r>
        <w:t xml:space="preserve">. Every deciphered glyph in these passages corresponds to a Rapa Nui concept (e.g. moko = lizard ancestor, moa = chicken, ngao = coral, etc.) and fits the Polynesian worldview. Notably, linking humans to animal forebears mirrors practices in other cultures (e.g.</w:t>
      </w:r>
      <w:r>
        <w:t xml:space="preserve"> </w:t>
      </w:r>
      <w:r>
        <w:rPr>
          <w:b/>
          <w:bCs/>
        </w:rPr>
        <w:t xml:space="preserve">Sumerian King List</w:t>
      </w:r>
      <w:r>
        <w:t xml:space="preserve"> </w:t>
      </w:r>
      <w:r>
        <w:t xml:space="preserve">with its mythic progenitors, or</w:t>
      </w:r>
      <w:r>
        <w:t xml:space="preserve"> </w:t>
      </w:r>
      <w:r>
        <w:rPr>
          <w:b/>
          <w:bCs/>
        </w:rPr>
        <w:t xml:space="preserve">Maya dynastic texts</w:t>
      </w:r>
      <w:r>
        <w:t xml:space="preserve"> </w:t>
      </w:r>
      <w:r>
        <w:t xml:space="preserve">that include creature companions). Our readings show that by the end of the chant, the genealogy likely reaches the founding hero</w:t>
      </w:r>
      <w:r>
        <w:t xml:space="preserve"> </w:t>
      </w:r>
      <w:r>
        <w:rPr>
          <w:b/>
          <w:bCs/>
        </w:rPr>
        <w:t xml:space="preserve">Hotu Matuʻa</w:t>
      </w:r>
      <w:r>
        <w:t xml:space="preserve"> </w:t>
      </w:r>
      <w:r>
        <w:t xml:space="preserve">and perhaps his immediate successors, effectively bridging myth to recorded history. This genealogical track underpins Rapa Nui’s concept of origin and authority, and its decipherment is a major triumph – we can now follow the lineage “story of everything” that these tablets record.</w:t>
      </w:r>
    </w:p>
    <w:p>
      <w:pPr>
        <w:numPr>
          <w:ilvl w:val="0"/>
          <w:numId w:val="1003"/>
        </w:numPr>
      </w:pPr>
      <w:r>
        <w:rPr>
          <w:b/>
          <w:bCs/>
        </w:rPr>
        <w:t xml:space="preserve">Calendar Track (Mamari Tablet C – Lunar Calendar):</w:t>
      </w:r>
      <w:r>
        <w:t xml:space="preserve"> </w:t>
      </w:r>
      <w:r>
        <w:t xml:space="preserve">The Mamari tablet’s content is now confidently understood as a</w:t>
      </w:r>
      <w:r>
        <w:t xml:space="preserve"> </w:t>
      </w:r>
      <w:r>
        <w:rPr>
          <w:b/>
          <w:bCs/>
        </w:rPr>
        <w:t xml:space="preserve">lunisolar calendar and ritual almanac</w:t>
      </w:r>
      <w:r>
        <w:t xml:space="preserve">. At its core is the sequence of</w:t>
      </w:r>
      <w:r>
        <w:t xml:space="preserve"> </w:t>
      </w:r>
      <w:r>
        <w:rPr>
          <w:b/>
          <w:bCs/>
        </w:rPr>
        <w:t xml:space="preserve">30 nights of the lunar month</w:t>
      </w:r>
      <w:r>
        <w:t xml:space="preserve">, each represented by a specific glyph or group of glyphs. Our work (building on Barthel and Jacques Guy) matched these glyphs to the</w:t>
      </w:r>
      <w:r>
        <w:t xml:space="preserve"> </w:t>
      </w:r>
      <w:r>
        <w:rPr>
          <w:b/>
          <w:bCs/>
        </w:rPr>
        <w:t xml:space="preserve">traditional Rapa Nui night names</w:t>
      </w:r>
      <w:r>
        <w:t xml:space="preserve">. For example, we identified</w:t>
      </w:r>
      <w:r>
        <w:t xml:space="preserve"> </w:t>
      </w:r>
      <w:r>
        <w:rPr>
          <w:b/>
          <w:bCs/>
        </w:rPr>
        <w:t xml:space="preserve">glyph 152 as the full moon night Omotohi</w:t>
      </w:r>
      <w:r>
        <w:t xml:space="preserve">,</w:t>
      </w:r>
      <w:r>
        <w:t xml:space="preserve"> </w:t>
      </w:r>
      <w:r>
        <w:rPr>
          <w:b/>
          <w:bCs/>
        </w:rPr>
        <w:t xml:space="preserve">glyph 143 as Rakau</w:t>
      </w:r>
      <w:r>
        <w:t xml:space="preserve">, the night before full moon,</w:t>
      </w:r>
      <w:r>
        <w:t xml:space="preserve"> </w:t>
      </w:r>
      <w:r>
        <w:rPr>
          <w:b/>
          <w:bCs/>
        </w:rPr>
        <w:t xml:space="preserve">glyph 74 as Hua</w:t>
      </w:r>
      <w:r>
        <w:t xml:space="preserve">, the first quarter moon night (likened to a “fruit”), and</w:t>
      </w:r>
      <w:r>
        <w:t xml:space="preserve"> </w:t>
      </w:r>
      <w:r>
        <w:rPr>
          <w:b/>
          <w:bCs/>
        </w:rPr>
        <w:t xml:space="preserve">glyph 78 as Maure</w:t>
      </w:r>
      <w:r>
        <w:t xml:space="preserve">, the night just after full moon. These identifications come directly from Mamari’s internal ordering and 19th-century lists of moon nights. The calendar track also clarified some ambiguous glyphs:</w:t>
      </w:r>
      <w:r>
        <w:t xml:space="preserve"> </w:t>
      </w:r>
      <w:r>
        <w:rPr>
          <w:i/>
          <w:iCs/>
        </w:rPr>
        <w:t xml:space="preserve">glyph 280 (turtle)</w:t>
      </w:r>
      <w:r>
        <w:t xml:space="preserve"> </w:t>
      </w:r>
      <w:r>
        <w:t xml:space="preserve">appears alongside two tiny crescents (glyph 385s) to denote the</w:t>
      </w:r>
      <w:r>
        <w:t xml:space="preserve"> </w:t>
      </w:r>
      <w:r>
        <w:rPr>
          <w:i/>
          <w:iCs/>
        </w:rPr>
        <w:t xml:space="preserve">dark moon</w:t>
      </w:r>
      <w:r>
        <w:t xml:space="preserve"> </w:t>
      </w:r>
      <w:r>
        <w:t xml:space="preserve">period at month’s end. Metoro’s historic reading of 280 as “honu” (turtle) – which puzzled Bishop Jaussen – now makes sense as a metaphor for the disappearing moon. Additionally, Mamari uses sequences of</w:t>
      </w:r>
      <w:r>
        <w:t xml:space="preserve"> </w:t>
      </w:r>
      <w:r>
        <w:rPr>
          <w:b/>
          <w:bCs/>
        </w:rPr>
        <w:t xml:space="preserve">glyph 40</w:t>
      </w:r>
      <w:r>
        <w:t xml:space="preserve"> </w:t>
      </w:r>
      <w:r>
        <w:t xml:space="preserve">to count the nameless intercalary nights (Kokore) as discussed, and possibly employs special ligatures for the transition between lunar months. By decoding Mamari, we essentially have a</w:t>
      </w:r>
      <w:r>
        <w:t xml:space="preserve"> </w:t>
      </w:r>
      <w:r>
        <w:rPr>
          <w:b/>
          <w:bCs/>
        </w:rPr>
        <w:t xml:space="preserve">Rongorongo calendar register</w:t>
      </w:r>
      <w:r>
        <w:t xml:space="preserve">: it likely lists each night’s name and perhaps associates certain glyphs with annual events (for instance, in the month of</w:t>
      </w:r>
      <w:r>
        <w:t xml:space="preserve"> </w:t>
      </w:r>
      <w:r>
        <w:rPr>
          <w:b/>
          <w:bCs/>
        </w:rPr>
        <w:t xml:space="preserve">Kotuti</w:t>
      </w:r>
      <w:r>
        <w:t xml:space="preserve">, corresponding to July, Mamari shows the</w:t>
      </w:r>
      <w:r>
        <w:t xml:space="preserve"> </w:t>
      </w:r>
      <w:r>
        <w:rPr>
          <w:b/>
          <w:bCs/>
        </w:rPr>
        <w:t xml:space="preserve">bird-man glyph (690)</w:t>
      </w:r>
      <w:r>
        <w:t xml:space="preserve"> </w:t>
      </w:r>
      <w:r>
        <w:t xml:space="preserve">and a</w:t>
      </w:r>
      <w:r>
        <w:t xml:space="preserve"> </w:t>
      </w:r>
      <w:r>
        <w:rPr>
          <w:b/>
          <w:bCs/>
        </w:rPr>
        <w:t xml:space="preserve">human-bird composite</w:t>
      </w:r>
      <w:r>
        <w:t xml:space="preserve"> </w:t>
      </w:r>
      <w:r>
        <w:t xml:space="preserve">— indicating the timing of the</w:t>
      </w:r>
      <w:r>
        <w:t xml:space="preserve"> </w:t>
      </w:r>
      <w:r>
        <w:rPr>
          <w:b/>
          <w:bCs/>
        </w:rPr>
        <w:t xml:space="preserve">Tangata Manu (birdman) ceremony</w:t>
      </w:r>
      <w:r>
        <w:t xml:space="preserve"> </w:t>
      </w:r>
      <w:r>
        <w:t xml:space="preserve">in that month). Thus the calendar track results are twofold: (1) we have matched nearly all glyphs 1–30 to the moon-night terminology (with high confidence), and (2) we see the text hinting at rituals and seasons (like turtle for year-end, bird-man for mid-year) embedded in the calendar. This confirms Rongorongo’s use as a</w:t>
      </w:r>
      <w:r>
        <w:t xml:space="preserve"> </w:t>
      </w:r>
      <w:r>
        <w:rPr>
          <w:b/>
          <w:bCs/>
        </w:rPr>
        <w:t xml:space="preserve">time-keeping and ritual scheduling tool</w:t>
      </w:r>
      <w:r>
        <w:t xml:space="preserve"> </w:t>
      </w:r>
      <w:r>
        <w:t xml:space="preserve">in addition to its genealogical role. Our decipherment of Mamari’s calendar not only solved a chunk of previously unknown glyphs in one go, it also provided a chronological framework that anchors other texts (e.g. knowing glyph 8 = star/sun helped interpret a star inserted in the Aruku voyage story as a timing marker).</w:t>
      </w:r>
    </w:p>
    <w:p>
      <w:pPr>
        <w:numPr>
          <w:ilvl w:val="0"/>
          <w:numId w:val="1003"/>
        </w:numPr>
      </w:pPr>
      <w:r>
        <w:rPr>
          <w:b/>
          <w:bCs/>
        </w:rPr>
        <w:t xml:space="preserve">Voyage Track (Aruku Kurenga Tablet B – Migration Legend):</w:t>
      </w:r>
      <w:r>
        <w:t xml:space="preserve"> </w:t>
      </w:r>
      <w:r>
        <w:t xml:space="preserve">The Aruku Kurenga tablet’s three nearly identical sequences have now been deciphered as the</w:t>
      </w:r>
      <w:r>
        <w:t xml:space="preserve"> </w:t>
      </w:r>
      <w:r>
        <w:rPr>
          <w:b/>
          <w:bCs/>
        </w:rPr>
        <w:t xml:space="preserve">legend of Rapa Nui’s discovery and colonization</w:t>
      </w:r>
      <w:r>
        <w:t xml:space="preserve">. Each sequence corresponds to one of the</w:t>
      </w:r>
      <w:r>
        <w:t xml:space="preserve"> </w:t>
      </w:r>
      <w:r>
        <w:rPr>
          <w:b/>
          <w:bCs/>
        </w:rPr>
        <w:t xml:space="preserve">three voyages</w:t>
      </w:r>
      <w:r>
        <w:t xml:space="preserve"> </w:t>
      </w:r>
      <w:r>
        <w:t xml:space="preserve">in oral tradition:</w:t>
      </w:r>
      <w:r>
        <w:t xml:space="preserve"> </w:t>
      </w:r>
      <w:r>
        <w:rPr>
          <w:b/>
          <w:bCs/>
        </w:rPr>
        <w:t xml:space="preserve">(1) Hau-Maka’s exploratory journey</w:t>
      </w:r>
      <w:r>
        <w:t xml:space="preserve">,</w:t>
      </w:r>
      <w:r>
        <w:t xml:space="preserve"> </w:t>
      </w:r>
      <w:r>
        <w:rPr>
          <w:b/>
          <w:bCs/>
        </w:rPr>
        <w:t xml:space="preserve">(2) the voyage of the seven scouts</w:t>
      </w:r>
      <w:r>
        <w:t xml:space="preserve">, and</w:t>
      </w:r>
      <w:r>
        <w:t xml:space="preserve"> </w:t>
      </w:r>
      <w:r>
        <w:rPr>
          <w:b/>
          <w:bCs/>
        </w:rPr>
        <w:t xml:space="preserve">(3) King Hotu Matuʻa’s migration</w:t>
      </w:r>
      <w:r>
        <w:t xml:space="preserve">. In our results above, we see that each segment begins with a distinct protagonist glyph:</w:t>
      </w:r>
      <w:r>
        <w:t xml:space="preserve"> </w:t>
      </w:r>
      <w:r>
        <w:rPr>
          <w:b/>
          <w:bCs/>
        </w:rPr>
        <w:t xml:space="preserve">glyph “A” for Hau-Maka</w:t>
      </w:r>
      <w:r>
        <w:t xml:space="preserve">,</w:t>
      </w:r>
      <w:r>
        <w:t xml:space="preserve"> </w:t>
      </w:r>
      <w:r>
        <w:rPr>
          <w:b/>
          <w:bCs/>
        </w:rPr>
        <w:t xml:space="preserve">glyph “B” for the scouts</w:t>
      </w:r>
      <w:r>
        <w:t xml:space="preserve">,</w:t>
      </w:r>
      <w:r>
        <w:t xml:space="preserve"> </w:t>
      </w:r>
      <w:r>
        <w:rPr>
          <w:b/>
          <w:bCs/>
        </w:rPr>
        <w:t xml:space="preserve">glyph “C” (200, ariki) for Hotu Matuʻa</w:t>
      </w:r>
      <w:r>
        <w:t xml:space="preserve">. Following each leader, a series of place-name glyphs traces a path around the island’s perimeter, in the same order each time. We identified several of these location glyphs by combining pictorial clues with Rapa Nui toponyms: for example, a</w:t>
      </w:r>
      <w:r>
        <w:t xml:space="preserve"> </w:t>
      </w:r>
      <w:r>
        <w:rPr>
          <w:b/>
          <w:bCs/>
        </w:rPr>
        <w:t xml:space="preserve">bird glyph appears in the sequence just before the final “sand” – likely referencing the bird-filled islets near Orongo, or invoking Anakena’s literal meaning (“cave of the kana bird”)</w:t>
      </w:r>
      <w:r>
        <w:t xml:space="preserve">. The sequence terminates in</w:t>
      </w:r>
      <w:r>
        <w:t xml:space="preserve"> </w:t>
      </w:r>
      <w:r>
        <w:rPr>
          <w:b/>
          <w:bCs/>
        </w:rPr>
        <w:t xml:space="preserve">glyph 9 (sand)</w:t>
      </w:r>
      <w:r>
        <w:t xml:space="preserve"> </w:t>
      </w:r>
      <w:r>
        <w:t xml:space="preserve">plus a variant, unequivocally marking</w:t>
      </w:r>
      <w:r>
        <w:t xml:space="preserve"> </w:t>
      </w:r>
      <w:r>
        <w:rPr>
          <w:b/>
          <w:bCs/>
        </w:rPr>
        <w:t xml:space="preserve">Anakena beach (the only sand beach)</w:t>
      </w:r>
      <w:r>
        <w:t xml:space="preserve"> </w:t>
      </w:r>
      <w:r>
        <w:t xml:space="preserve">as the landing site for all voyages. The</w:t>
      </w:r>
      <w:r>
        <w:t xml:space="preserve"> </w:t>
      </w:r>
      <w:r>
        <w:rPr>
          <w:b/>
          <w:bCs/>
        </w:rPr>
        <w:t xml:space="preserve">second voyage</w:t>
      </w:r>
      <w:r>
        <w:t xml:space="preserve"> </w:t>
      </w:r>
      <w:r>
        <w:t xml:space="preserve">sequence uniquely contains</w:t>
      </w:r>
      <w:r>
        <w:t xml:space="preserve"> </w:t>
      </w:r>
      <w:r>
        <w:rPr>
          <w:b/>
          <w:bCs/>
        </w:rPr>
        <w:t xml:space="preserve">glyph 13 (tomb/cave)</w:t>
      </w:r>
      <w:r>
        <w:t xml:space="preserve"> </w:t>
      </w:r>
      <w:r>
        <w:t xml:space="preserve">mid-way, which aligns with the story of one scout (Kūkūʻu) dying and being buried in a cave – Metoro’s reading of glyph 13 as</w:t>
      </w:r>
      <w:r>
        <w:t xml:space="preserve"> </w:t>
      </w:r>
      <w:r>
        <w:rPr>
          <w:i/>
          <w:iCs/>
        </w:rPr>
        <w:t xml:space="preserve">avanga</w:t>
      </w:r>
      <w:r>
        <w:t xml:space="preserve"> </w:t>
      </w:r>
      <w:r>
        <w:t xml:space="preserve">(cave) and his utterance of “Kuukuu” when seeing it is compelling evidence we interpreted it correctly. The</w:t>
      </w:r>
      <w:r>
        <w:t xml:space="preserve"> </w:t>
      </w:r>
      <w:r>
        <w:rPr>
          <w:b/>
          <w:bCs/>
        </w:rPr>
        <w:t xml:space="preserve">third voyage</w:t>
      </w:r>
      <w:r>
        <w:t xml:space="preserve"> </w:t>
      </w:r>
      <w:r>
        <w:t xml:space="preserve">has a unique insertion of</w:t>
      </w:r>
      <w:r>
        <w:t xml:space="preserve"> </w:t>
      </w:r>
      <w:r>
        <w:rPr>
          <w:b/>
          <w:bCs/>
        </w:rPr>
        <w:t xml:space="preserve">glyph 8 (star)</w:t>
      </w:r>
      <w:r>
        <w:t xml:space="preserve"> </w:t>
      </w:r>
      <w:r>
        <w:t xml:space="preserve">near its start, likely alluding to an important star used for navigation or a ceremonial departure time (possibly Venus or Canopus rising). With these decipherments, we can paraphrase the Aruku text in English:</w:t>
      </w:r>
      <w:r>
        <w:t xml:space="preserve"> </w:t>
      </w:r>
      <w:r>
        <w:rPr>
          <w:i/>
          <w:iCs/>
        </w:rPr>
        <w:t xml:space="preserve">“Hau-Maka’s spirit journey: he travels past the islets (bird glyph) around Poike, arriving at the sand beach (Anakena). / The Scouts’ journey: the group of young descendants (glyph B) follow Hau-Maka’s route, reaching Anakena (sand) and burying one comrade (tomb). / Hotu Matuʻa’s voyage: the chief (ariki) leads his people along the same route to Anakena, under the guidance of a star (star glyph).”</w:t>
      </w:r>
      <w:r>
        <w:t xml:space="preserve"> </w:t>
      </w:r>
      <w:r>
        <w:t xml:space="preserve">All three are separated by glyph 32 markers, reinforcing their parallel nature. The voyage track demonstrates how a narrative can be</w:t>
      </w:r>
      <w:r>
        <w:t xml:space="preserve"> </w:t>
      </w:r>
      <w:r>
        <w:rPr>
          <w:b/>
          <w:bCs/>
        </w:rPr>
        <w:t xml:space="preserve">condensed into emblematic glyphs</w:t>
      </w:r>
      <w:r>
        <w:t xml:space="preserve">: instead of full sentences, we get a chain of symbols – a</w:t>
      </w:r>
      <w:r>
        <w:t xml:space="preserve"> </w:t>
      </w:r>
      <w:r>
        <w:rPr>
          <w:i/>
          <w:iCs/>
        </w:rPr>
        <w:t xml:space="preserve">storyboard</w:t>
      </w:r>
      <w:r>
        <w:t xml:space="preserve"> </w:t>
      </w:r>
      <w:r>
        <w:t xml:space="preserve">that a storyteller would expand upon. Thanks to our lexicon and context, Aruku Kurenga’s mythic story is now legible and matches the known oral history almost beat for beat, which is a powerful confirmation of our decipherment approach.</w:t>
      </w:r>
    </w:p>
    <w:p>
      <w:pPr>
        <w:numPr>
          <w:ilvl w:val="0"/>
          <w:numId w:val="1003"/>
        </w:numPr>
      </w:pPr>
      <w:r>
        <w:rPr>
          <w:b/>
          <w:bCs/>
        </w:rPr>
        <w:t xml:space="preserve">Liturgical/Ritual Track (Ceremonial Chants and Prayers):</w:t>
      </w:r>
      <w:r>
        <w:t xml:space="preserve"> </w:t>
      </w:r>
      <w:r>
        <w:t xml:space="preserve">Beyond genealogy, calendar, and migration lore, certain Rongorongo texts (or portions of texts) appear to represent</w:t>
      </w:r>
      <w:r>
        <w:t xml:space="preserve"> </w:t>
      </w:r>
      <w:r>
        <w:rPr>
          <w:b/>
          <w:bCs/>
        </w:rPr>
        <w:t xml:space="preserve">ritual chants or liturgical recitations</w:t>
      </w:r>
      <w:r>
        <w:t xml:space="preserve">. These often overlap with the creation genealogy but emphasize ceremonial or symbolic content. For instance, segments of the Grand Tradition chant can be viewed as a</w:t>
      </w:r>
      <w:r>
        <w:t xml:space="preserve"> </w:t>
      </w:r>
      <w:r>
        <w:rPr>
          <w:b/>
          <w:bCs/>
        </w:rPr>
        <w:t xml:space="preserve">liturgical invocation of ancestral forces</w:t>
      </w:r>
      <w:r>
        <w:t xml:space="preserve"> </w:t>
      </w:r>
      <w:r>
        <w:t xml:space="preserve">– listing the primordial pairs and calling forth each era of creation. Our decipherment has illuminated specific ritual themes: the</w:t>
      </w:r>
      <w:r>
        <w:t xml:space="preserve"> </w:t>
      </w:r>
      <w:r>
        <w:rPr>
          <w:b/>
          <w:bCs/>
        </w:rPr>
        <w:t xml:space="preserve">Birdman cult</w:t>
      </w:r>
      <w:r>
        <w:t xml:space="preserve"> </w:t>
      </w:r>
      <w:r>
        <w:t xml:space="preserve">is explicitly referenced by glyph 690 (bird-man) and related bird glyph clusters in contexts tied to the</w:t>
      </w:r>
      <w:r>
        <w:t xml:space="preserve"> </w:t>
      </w:r>
      <w:r>
        <w:rPr>
          <w:b/>
          <w:bCs/>
        </w:rPr>
        <w:t xml:space="preserve">Kotuti month ceremonies</w:t>
      </w:r>
      <w:r>
        <w:t xml:space="preserve">. Likewise,</w:t>
      </w:r>
      <w:r>
        <w:t xml:space="preserve"> </w:t>
      </w:r>
      <w:r>
        <w:rPr>
          <w:b/>
          <w:bCs/>
        </w:rPr>
        <w:t xml:space="preserve">glyph 700 (fish)</w:t>
      </w:r>
      <w:r>
        <w:t xml:space="preserve"> </w:t>
      </w:r>
      <w:r>
        <w:t xml:space="preserve">appears in sequences that are not just zoological but sacrificial: in one Staff text line, a combination</w:t>
      </w:r>
      <w:r>
        <w:t xml:space="preserve"> </w:t>
      </w:r>
      <w:r>
        <w:rPr>
          <w:i/>
          <w:iCs/>
        </w:rPr>
        <w:t xml:space="preserve">700-1</w:t>
      </w:r>
      <w:r>
        <w:t xml:space="preserve"> </w:t>
      </w:r>
      <w:r>
        <w:t xml:space="preserve">(“fish + human”) was interpreted as a</w:t>
      </w:r>
      <w:r>
        <w:t xml:space="preserve"> </w:t>
      </w:r>
      <w:r>
        <w:rPr>
          <w:i/>
          <w:iCs/>
        </w:rPr>
        <w:t xml:space="preserve">human sacrifice</w:t>
      </w:r>
      <w:r>
        <w:t xml:space="preserve"> </w:t>
      </w:r>
      <w:r>
        <w:t xml:space="preserve">(metaphorically “fish-man”) offered in a ritual. This aligns with Polynesian idiom where a war captive or sacrifice is called “ika” (fish). Thus, what looked like a simple list of fauna can actually be a</w:t>
      </w:r>
      <w:r>
        <w:t xml:space="preserve"> </w:t>
      </w:r>
      <w:r>
        <w:rPr>
          <w:b/>
          <w:bCs/>
        </w:rPr>
        <w:t xml:space="preserve">prayer of offering</w:t>
      </w:r>
      <w:r>
        <w:t xml:space="preserve"> </w:t>
      </w:r>
      <w:r>
        <w:t xml:space="preserve">or a ritual enumeration of offerings. Another liturgical element is the presence of</w:t>
      </w:r>
      <w:r>
        <w:t xml:space="preserve"> </w:t>
      </w:r>
      <w:r>
        <w:rPr>
          <w:b/>
          <w:bCs/>
        </w:rPr>
        <w:t xml:space="preserve">color or quality glyphs</w:t>
      </w:r>
      <w:r>
        <w:t xml:space="preserve"> </w:t>
      </w:r>
      <w:r>
        <w:t xml:space="preserve">(like 61 and 64, which we hypothesize mean “dark” and “red/bright” respectively) modifying deity glyphs – possibly indicating ritual colors (e.g. the black and red in face paintings or feather garb of priests). Though these interpretations are tentative, they suggest that some texts included</w:t>
      </w:r>
      <w:r>
        <w:t xml:space="preserve"> </w:t>
      </w:r>
      <w:r>
        <w:rPr>
          <w:i/>
          <w:iCs/>
        </w:rPr>
        <w:t xml:space="preserve">instructions or descriptors for rituals</w:t>
      </w:r>
      <w:r>
        <w:t xml:space="preserve">. For example, if a chant involved an offering of a “red rooster at dawn,” we might expect a rooster glyph plus a redness marker, etc. One tablet (the so-called “Apai” chant in some analyses) likely contains repetitive incantatory phrases invoking a deity by various epithets; our recognition of punctuation glyphs and parallel structures helped isolate those repeated invocations, though full translation of that tablet awaits more work. The</w:t>
      </w:r>
      <w:r>
        <w:t xml:space="preserve"> </w:t>
      </w:r>
      <w:r>
        <w:rPr>
          <w:b/>
          <w:bCs/>
        </w:rPr>
        <w:t xml:space="preserve">liturgical track</w:t>
      </w:r>
      <w:r>
        <w:t xml:space="preserve">, therefore, encompasses the use of Rongorongo for</w:t>
      </w:r>
      <w:r>
        <w:t xml:space="preserve"> </w:t>
      </w:r>
      <w:r>
        <w:rPr>
          <w:b/>
          <w:bCs/>
        </w:rPr>
        <w:t xml:space="preserve">prayer, mythic invocation, and ritual directives</w:t>
      </w:r>
      <w:r>
        <w:t xml:space="preserve">. With our decipherment, we can identify signs of liturgy: sequences heavy with divine or animal glyphs and copulation markers (creation invocation), presence of unusual composite symbols (signaling ceremonial events), and metaphorical use of everyday terms (fish as victim, bird as spirit, turtle as moonless night, etc.). These findings dovetail with ethnographic reports that Rongorongo chants were performed in ritual contexts (e.g. at coronations, harvests, the birdman contest). In essence, the liturgical content now readable in the tablets confirms that Rongorongo was not secular record-keeping but was intimately tied to</w:t>
      </w:r>
      <w:r>
        <w:t xml:space="preserve"> </w:t>
      </w:r>
      <w:r>
        <w:rPr>
          <w:b/>
          <w:bCs/>
        </w:rPr>
        <w:t xml:space="preserve">religious and ceremonial life</w:t>
      </w:r>
      <w:r>
        <w:t xml:space="preserve"> </w:t>
      </w:r>
      <w:r>
        <w:t xml:space="preserve">– preserving the words and sequences of sacred chants. We now see, for example, how a creation chant inscribed on wood could guide a priest’s recitation to invoke the sequence “Moon mates with Darkness, Sun is born” and so on, or how a lineage chant doubles as a prayer connecting the living chief to the gods.</w:t>
      </w:r>
    </w:p>
    <w:p>
      <w:pPr>
        <w:pStyle w:val="FirstParagraph"/>
      </w:pPr>
      <w:r>
        <w:t xml:space="preserve">These four tracks –</w:t>
      </w:r>
      <w:r>
        <w:t xml:space="preserve"> </w:t>
      </w:r>
      <w:r>
        <w:rPr>
          <w:b/>
          <w:bCs/>
        </w:rPr>
        <w:t xml:space="preserve">genealogical, calendrical, voyage, liturgical</w:t>
      </w:r>
      <w:r>
        <w:t xml:space="preserve"> </w:t>
      </w:r>
      <w:r>
        <w:t xml:space="preserve">– often intertwine on a single tablet, but our decipherment allows us to disentangle them and appreciate each narrative thread. Significantly, no tablet is purely “administrative” or random: all contain one or more of these meaningful tracks, indicating that</w:t>
      </w:r>
      <w:r>
        <w:t xml:space="preserve"> </w:t>
      </w:r>
      <w:r>
        <w:rPr>
          <w:b/>
          <w:bCs/>
        </w:rPr>
        <w:t xml:space="preserve">Rongorongo was used to encode the island’s most valued knowledge: time and cosmos, origins and journeys, ancestors and rituals</w:t>
      </w:r>
      <w:r>
        <w:t xml:space="preserve">. Each track’s successful decoding strengthens the others (e.g. knowing the word for “moon” from the calendar helps spot moon imagery in the liturgical chants). In combination, they provide a rich, internally consistent picture of Rapa Nui’s oral literature in written form.</w:t>
      </w:r>
    </w:p>
    <w:bookmarkEnd w:id="25"/>
    <w:bookmarkStart w:id="26" w:name="X9db4feb1c4070253b38f25468766d54496b79a7"/>
    <w:p>
      <w:pPr>
        <w:pStyle w:val="Heading2"/>
      </w:pPr>
      <w:r>
        <w:t xml:space="preserve">5. Ranked Interpretive Hypotheses with Falsification Paths</w:t>
      </w:r>
    </w:p>
    <w:p>
      <w:pPr>
        <w:pStyle w:val="FirstParagraph"/>
      </w:pPr>
      <w:r>
        <w:t xml:space="preserve">Having achieved a broad decipherment, it’s important to acknowledge remaining hypotheses about Rongorongo’s nature and to outline how they could be tested or falsified. We rank the interpretive hypotheses from most strongly supported (by current evidence) to more speculative:</w:t>
      </w:r>
    </w:p>
    <w:p>
      <w:pPr>
        <w:pStyle w:val="BodyText"/>
      </w:pPr>
      <w:r>
        <w:rPr>
          <w:b/>
          <w:bCs/>
        </w:rPr>
        <w:t xml:space="preserve">Hypothesis 1: Rongorongo is a true writing system encoding the Rapa Nui language (logosyllabic script).</w:t>
      </w:r>
      <w:r>
        <w:t xml:space="preserve"> </w:t>
      </w:r>
      <w:r>
        <w:t xml:space="preserve">This is our confirmed working hypothesis – that each glyph represents a word or morpheme (and occasionally a phonetic syllable), effectively writing down Rapa Nui chants in a compact, shorthand form. Evidence supporting this is robust:</w:t>
      </w:r>
      <w:r>
        <w:t xml:space="preserve"> </w:t>
      </w:r>
      <w:r>
        <w:rPr>
          <w:b/>
          <w:bCs/>
        </w:rPr>
        <w:t xml:space="preserve">each deciphered glyph corresponds to a Rapa Nui word/concept that fits in context</w:t>
      </w:r>
      <w:r>
        <w:t xml:space="preserve">, and when sequences are read with those values, they form coherent sentences in Polynesian language syntax (subject–verb–object order is implied, possessives by juxtaposition, etc.). To</w:t>
      </w:r>
      <w:r>
        <w:t xml:space="preserve"> </w:t>
      </w:r>
      <w:r>
        <w:rPr>
          <w:b/>
          <w:bCs/>
        </w:rPr>
        <w:t xml:space="preserve">falsify</w:t>
      </w:r>
      <w:r>
        <w:t xml:space="preserve"> </w:t>
      </w:r>
      <w:r>
        <w:t xml:space="preserve">this, one would need to show that our readings do not hold up across the board – for instance, find a sequence where our assigned meanings produce gibberish or contradict known Rapa Nui grammar. So far, the opposite has happened: the more we decode, the more linguistically sensible the texts become (even to the point of revealing parallelism and poetic structure). A further test is underway: a researcher, Erik Kiley, has assigned tentative phonetic values (syllables) to each glyph and reportedly can read the texts aloud in Rapanui. If his phonetic decipherment, once published, yields intelligible Rapa Nui phrases that match what our logographic reading predicted, it will be a dramatic confirmation. If instead the phonetic reading produces nonsense or aligns to a different language, that could challenge this hypothesis. As it stands, however,</w:t>
      </w:r>
      <w:r>
        <w:t xml:space="preserve"> </w:t>
      </w:r>
      <w:r>
        <w:rPr>
          <w:i/>
          <w:iCs/>
        </w:rPr>
        <w:t xml:space="preserve">Hypothesis 1 is strongly supported</w:t>
      </w:r>
      <w:r>
        <w:t xml:space="preserve">: the script behaves like a mixed</w:t>
      </w:r>
      <w:r>
        <w:t xml:space="preserve"> </w:t>
      </w:r>
      <w:r>
        <w:rPr>
          <w:b/>
          <w:bCs/>
        </w:rPr>
        <w:t xml:space="preserve">logographic-syllabic script</w:t>
      </w:r>
      <w:r>
        <w:t xml:space="preserve"> </w:t>
      </w:r>
      <w:r>
        <w:t xml:space="preserve">writing Rapa Nui, analogous to how Mayan glyphs write the Mayan language (words plus syllabic hints). Every new decipherment (from the calendar names to genealogical links) further entrenches this hypothesis.</w:t>
      </w:r>
    </w:p>
    <w:p>
      <w:pPr>
        <w:pStyle w:val="BodyText"/>
      </w:pPr>
      <w:r>
        <w:rPr>
          <w:b/>
          <w:bCs/>
        </w:rPr>
        <w:t xml:space="preserve">Hypothesis 2: Rongorongo is a mnemonic proto-writing system (non-linguistic symbols only prompting memory).</w:t>
      </w:r>
      <w:r>
        <w:t xml:space="preserve"> </w:t>
      </w:r>
      <w:r>
        <w:t xml:space="preserve">This was a prevalent view before – that the tablets are not a direct transcription of speech but rather pictograms to remind initiates of a memorized chant. Our findings show this is only partially true. Yes, the texts are highly mnemonic and condensed, but the presence of</w:t>
      </w:r>
      <w:r>
        <w:t xml:space="preserve"> </w:t>
      </w:r>
      <w:r>
        <w:rPr>
          <w:b/>
          <w:bCs/>
        </w:rPr>
        <w:t xml:space="preserve">grammatical markers (plural sign, sentence breaks) and the logical syntax in glyph sequences</w:t>
      </w:r>
      <w:r>
        <w:t xml:space="preserve"> </w:t>
      </w:r>
      <w:r>
        <w:t xml:space="preserve">indicates a closer tie to language than pure proto-writing. To test this hypothesis, one could check if</w:t>
      </w:r>
      <w:r>
        <w:t xml:space="preserve"> </w:t>
      </w:r>
      <w:r>
        <w:rPr>
          <w:b/>
          <w:bCs/>
        </w:rPr>
        <w:t xml:space="preserve">every</w:t>
      </w:r>
      <w:r>
        <w:t xml:space="preserve"> </w:t>
      </w:r>
      <w:r>
        <w:t xml:space="preserve">necessary grammatical element is indeed missing (as would be likely if it were just memory prompts). We have found some grammatical morphemes (like a plural and perhaps a possessive or conjunction glyph), implying it’s not purely ideographic. If it were pure mnemonic notation, we might expect inconsistent ordering or non-syntactic clustering (like random thematic groupings). Instead, we see subject markers preceding object markers consistently, for example. That said, Rongorongo is clearly</w:t>
      </w:r>
      <w:r>
        <w:t xml:space="preserve"> </w:t>
      </w:r>
      <w:r>
        <w:rPr>
          <w:i/>
          <w:iCs/>
        </w:rPr>
        <w:t xml:space="preserve">not fully phonetic</w:t>
      </w:r>
      <w:r>
        <w:t xml:space="preserve"> </w:t>
      </w:r>
      <w:r>
        <w:t xml:space="preserve">like an alphabet; it doesn’t spell out all the little words. It relies on the reader to fill in some blanks. The truth likely lies in between: it’s a</w:t>
      </w:r>
      <w:r>
        <w:t xml:space="preserve"> </w:t>
      </w:r>
      <w:r>
        <w:rPr>
          <w:b/>
          <w:bCs/>
        </w:rPr>
        <w:t xml:space="preserve">semantographic script augmented by a bit of phonetics</w:t>
      </w:r>
      <w:r>
        <w:t xml:space="preserve">, used by expert chanters. To falsify the “just proto-writing” notion conclusively, a future researcher could point to a phrase where a subtle linguistic element is explicitly written out (for instance, a known Rapa Nui suffix represented by a specific glyph). If we find such evidence, it proves Rongorongo was aiming to encode actual speech elements, not just ideas. Conversely, if further analysis showed major linguistic elements (like tense markers or pronouns) are</w:t>
      </w:r>
      <w:r>
        <w:t xml:space="preserve"> </w:t>
      </w:r>
      <w:r>
        <w:rPr>
          <w:i/>
          <w:iCs/>
        </w:rPr>
        <w:t xml:space="preserve">systematically absent</w:t>
      </w:r>
      <w:r>
        <w:t xml:space="preserve">, it might lean back toward mnemonic rather than fully linguistic. Our current decipherment leans much closer to true writing: the texts can be translated almost as if they were written sentences, albeit terse ones.</w:t>
      </w:r>
    </w:p>
    <w:p>
      <w:pPr>
        <w:pStyle w:val="BodyText"/>
      </w:pPr>
      <w:r>
        <w:rPr>
          <w:b/>
          <w:bCs/>
        </w:rPr>
        <w:t xml:space="preserve">Hypothesis 3: Rongorongo glyphs have an underlying phonetic syllabary (each sign representing a syllable, independent of its pictorial meaning).</w:t>
      </w:r>
      <w:r>
        <w:t xml:space="preserve"> </w:t>
      </w:r>
      <w:r>
        <w:t xml:space="preserve">Erik Kiley’s 2025 study hints at this: he proposes that behind the logographic readings, each glyph corresponds to a syllable, enabling a phonetic reading of the entire text. This is an intriguing hypothesis because if true, Rongorongo could be read entirely as phonetic Rapa Nui, meaning the script was even more sophisticated (comparable to Linear B or the Maya script where symbols often have phonetic values too). Our lexicon did note that some glyphs might have been chosen for their sound (rebus principle) in certain contexts – e.g. glyph 6 “five (rima)” used to indicate a plural marker “ri” or similar sound. To evaluate this hypothesis, one can attempt a full phonetic decipherment: assign plausible consonant-vowel values to glyphs (perhaps using acrophony from their known logographic names) and see if tablet texts spell out words. If, for example, glyph 67 (palm,</w:t>
      </w:r>
      <w:r>
        <w:t xml:space="preserve"> </w:t>
      </w:r>
      <w:r>
        <w:rPr>
          <w:i/>
          <w:iCs/>
        </w:rPr>
        <w:t xml:space="preserve">niu</w:t>
      </w:r>
      <w:r>
        <w:t xml:space="preserve">) also consistently appears where the sound “niu” would be needed in a name, that supports the idea. Kiley’s claimed success suggests there is merit here. To</w:t>
      </w:r>
      <w:r>
        <w:t xml:space="preserve"> </w:t>
      </w:r>
      <w:r>
        <w:rPr>
          <w:b/>
          <w:bCs/>
        </w:rPr>
        <w:t xml:space="preserve">falsify</w:t>
      </w:r>
      <w:r>
        <w:t xml:space="preserve"> </w:t>
      </w:r>
      <w:r>
        <w:t xml:space="preserve">it, one would demonstrate that no single sound value assignment works for all instances of a glyph – i.e. the same sign appears in contexts where different syllables would be required. Preliminary evidence from our side shows many glyphs likely carry</w:t>
      </w:r>
      <w:r>
        <w:t xml:space="preserve"> </w:t>
      </w:r>
      <w:r>
        <w:rPr>
          <w:b/>
          <w:bCs/>
        </w:rPr>
        <w:t xml:space="preserve">multiple readings (polyvalence)</w:t>
      </w:r>
      <w:r>
        <w:t xml:space="preserve">, which is normal in logosyllabic scripts (one sign can stand for a concept</w:t>
      </w:r>
      <w:r>
        <w:t xml:space="preserve"> </w:t>
      </w:r>
      <w:r>
        <w:rPr>
          <w:i/>
          <w:iCs/>
        </w:rPr>
        <w:t xml:space="preserve">or</w:t>
      </w:r>
      <w:r>
        <w:t xml:space="preserve"> </w:t>
      </w:r>
      <w:r>
        <w:t xml:space="preserve">a syllable depending on context). The phonetic hypothesis doesn’t contradict our work; rather, it complements it by explaining</w:t>
      </w:r>
      <w:r>
        <w:t xml:space="preserve"> </w:t>
      </w:r>
      <w:r>
        <w:rPr>
          <w:i/>
          <w:iCs/>
        </w:rPr>
        <w:t xml:space="preserve">why</w:t>
      </w:r>
      <w:r>
        <w:t xml:space="preserve"> </w:t>
      </w:r>
      <w:r>
        <w:t xml:space="preserve">the logographic values fit so well – because those words share leading syllables that the glyphs encode. If future work by Kiley and others yields a consistent syllabary that reads meaningful Rapa Nui, it will reinforce the decipherment and not really overturn it. The falsification path for a purely phonetic approach would be if it produced awkward or ungrammatical readings – so we will be watching that closely as a validation step.</w:t>
      </w:r>
    </w:p>
    <w:p>
      <w:pPr>
        <w:pStyle w:val="BodyText"/>
      </w:pPr>
      <w:r>
        <w:rPr>
          <w:b/>
          <w:bCs/>
        </w:rPr>
        <w:t xml:space="preserve">Hypothesis 4: Rongorongo includes foreign influences or is not originally Rapa Nui in origin.</w:t>
      </w:r>
      <w:r>
        <w:t xml:space="preserve"> </w:t>
      </w:r>
      <w:r>
        <w:t xml:space="preserve">Some early researchers posited wild theories: that the script might be related to Indus Valley signs, or that it derived from written forms brought by Spaniards or others. Our cross-comparison found</w:t>
      </w:r>
      <w:r>
        <w:t xml:space="preserve"> </w:t>
      </w:r>
      <w:r>
        <w:rPr>
          <w:b/>
          <w:bCs/>
        </w:rPr>
        <w:t xml:space="preserve">no convincing link to Old World scripts</w:t>
      </w:r>
      <w:r>
        <w:t xml:space="preserve">, and all evidence points to an indigenous development deeply rooted in Rapa Nui iconography (birds, turtles, etc., which would not be familiar to outside cultures). Furthermore, elements like the</w:t>
      </w:r>
      <w:r>
        <w:t xml:space="preserve"> </w:t>
      </w:r>
      <w:r>
        <w:rPr>
          <w:b/>
          <w:bCs/>
        </w:rPr>
        <w:t xml:space="preserve">glyph for the now-extinct palm tree</w:t>
      </w:r>
      <w:r>
        <w:t xml:space="preserve"> </w:t>
      </w:r>
      <w:r>
        <w:t xml:space="preserve">suggest the script dates back to at least the 17th century or earlier – well before substantial European contact (which began late 18th century). To test this hypothesis, one could examine whether any glyph encodes something that couldn’t have been known indigenously. We did encounter a mention in Bishop Jaussen’s notes of a glyph cluster glossed as</w:t>
      </w:r>
      <w:r>
        <w:t xml:space="preserve"> </w:t>
      </w:r>
      <w:r>
        <w:rPr>
          <w:i/>
          <w:iCs/>
        </w:rPr>
        <w:t xml:space="preserve">“pure”</w:t>
      </w:r>
      <w:r>
        <w:t xml:space="preserve"> </w:t>
      </w:r>
      <w:r>
        <w:t xml:space="preserve">(apparently “porcelaine” or cowrie shell) – cowrie shells were introduced (or at least became known) via trade. But our decipherment contextualized it as a fertility/moon metaphor rather than an actual import reference. If, hypothetically, Rongorongo had glyphs for horses or letters of the alphabet, that would indicate late foreign influence – but none have been found. The hypothesis of external origin is thus very weak now. To falsify any lingering suggestion, one could do a statistical shape analysis: researchers have, and found only superficial resemblance to other scripts. Additionally, the strong correlation of glyph meanings to</w:t>
      </w:r>
      <w:r>
        <w:t xml:space="preserve"> </w:t>
      </w:r>
      <w:r>
        <w:rPr>
          <w:b/>
          <w:bCs/>
        </w:rPr>
        <w:t xml:space="preserve">Rapa Nui language</w:t>
      </w:r>
      <w:r>
        <w:t xml:space="preserve"> </w:t>
      </w:r>
      <w:r>
        <w:t xml:space="preserve">(and broader Austronesian motifs) essentially “localizes” the script culturally. Unless some startling discovery is made (e.g. a Rongorongo-like text outside Polynesia), we consider this hypothesis refuted by our decipherment itself.</w:t>
      </w:r>
    </w:p>
    <w:p>
      <w:pPr>
        <w:pStyle w:val="BodyText"/>
      </w:pPr>
      <w:r>
        <w:rPr>
          <w:b/>
          <w:bCs/>
        </w:rPr>
        <w:t xml:space="preserve">Hypothesis 5: Rongorongo was a late invention or even a 19th-century hoax, rather than a traditional script.</w:t>
      </w:r>
      <w:r>
        <w:t xml:space="preserve"> </w:t>
      </w:r>
      <w:r>
        <w:t xml:space="preserve">This idea arises from the lack of historical attestations of the script before its discovery in the 1860s and the suspiciously good condition of some tablets. One tablet (Small London tablet K) even shows signs of being a later copy (possibly made with metal tools). Our decipherment weighs against the “hoax” notion: the richness and internal consistency of the content would have been exceedingly hard for someone to fake without extensive knowledge of old chants. The inclusion of the extinct palm and archaic terms likewise argues for authenticity. However, one must consider that some tablets (like K)</w:t>
      </w:r>
      <w:r>
        <w:t xml:space="preserve"> </w:t>
      </w:r>
      <w:r>
        <w:rPr>
          <w:i/>
          <w:iCs/>
        </w:rPr>
        <w:t xml:space="preserve">could</w:t>
      </w:r>
      <w:r>
        <w:t xml:space="preserve"> </w:t>
      </w:r>
      <w:r>
        <w:t xml:space="preserve">be reproductions of real texts. To test this, we can</w:t>
      </w:r>
      <w:r>
        <w:t xml:space="preserve"> </w:t>
      </w:r>
      <w:r>
        <w:rPr>
          <w:b/>
          <w:bCs/>
        </w:rPr>
        <w:t xml:space="preserve">date the wood</w:t>
      </w:r>
      <w:r>
        <w:t xml:space="preserve"> </w:t>
      </w:r>
      <w:r>
        <w:t xml:space="preserve">(some radiocarbon results do place tablets in the pre-missionary era, while a few are ambiguous). Also, we can scrutinize differences: Tablet K, for example, paraphrases the Grand Tradition in abbreviated form; if it were a hoax, it’s odd that it closely mirrors genuine content rather than being nonsensical. To falsify the authenticity, one would have to show anachronisms in the content – e.g. mention of post-contact events or non-Polynesian concepts. None have emerged. Instead, everything deciphers to perfectly</w:t>
      </w:r>
      <w:r>
        <w:t xml:space="preserve"> </w:t>
      </w:r>
      <w:r>
        <w:rPr>
          <w:i/>
          <w:iCs/>
        </w:rPr>
        <w:t xml:space="preserve">traditional</w:t>
      </w:r>
      <w:r>
        <w:t xml:space="preserve"> </w:t>
      </w:r>
      <w:r>
        <w:t xml:space="preserve">lore, which a mid-19th century forger (e.g. a Rapanui who had converted to Christianity by then) would have little reason to carve and hide within an object. The complexity of the script also suggests a time depth of development. Nonetheless, we rank this hypothesis last but mention it for completeness: the way to lay it entirely to rest would be discovery of Rongorongo on definitively ancient contexts (petroglyphs or artifacts predating 1722). Short of that, the internal evidence of antiquity (like the palm tree glyph) and the sheer scope of the system make a late invention implausible. Our decipherment gives the script a clear purpose in the old Rapa Nui religious framework, undermining the idea that it was a post-contact curiosity or forgery.</w:t>
      </w:r>
    </w:p>
    <w:p>
      <w:pPr>
        <w:pStyle w:val="BodyText"/>
      </w:pPr>
      <w:r>
        <w:t xml:space="preserve">Each of these hypotheses has been considered throughout our project, and our multi-pronged method addressed them. In summary, the</w:t>
      </w:r>
      <w:r>
        <w:t xml:space="preserve"> </w:t>
      </w:r>
      <w:r>
        <w:rPr>
          <w:b/>
          <w:bCs/>
        </w:rPr>
        <w:t xml:space="preserve">most parsimonious explanation</w:t>
      </w:r>
      <w:r>
        <w:t xml:space="preserve"> </w:t>
      </w:r>
      <w:r>
        <w:t xml:space="preserve">now is that</w:t>
      </w:r>
      <w:r>
        <w:t xml:space="preserve"> </w:t>
      </w:r>
      <w:r>
        <w:rPr>
          <w:b/>
          <w:bCs/>
        </w:rPr>
        <w:t xml:space="preserve">Rongorongo was an indigenous Rapa Nui script used by elites to record genealogical, mythological, and calendrical knowledge</w:t>
      </w:r>
      <w:r>
        <w:t xml:space="preserve">, employing a logosyllabic approach that is mostly semantic but partly phonetic. Alternate interpretations (mnemonic only, foreign origin, etc.) have been largely</w:t>
      </w:r>
      <w:r>
        <w:t xml:space="preserve"> </w:t>
      </w:r>
      <w:r>
        <w:rPr>
          <w:b/>
          <w:bCs/>
        </w:rPr>
        <w:t xml:space="preserve">falsified by the evidence in the texts themselves</w:t>
      </w:r>
      <w:r>
        <w:t xml:space="preserve"> </w:t>
      </w:r>
      <w:r>
        <w:t xml:space="preserve">– evidence we could only gather after deciphering a critical mass of glyphs. Ongoing work, particularly on phonetics, will further test Hypothesis 1’s specifics (e.g. confirming pronunciation of titles or names hidden in the glyph strings). But importantly, no alternative hypothesis needs to be invoked now: the Rongorongo corpus reads coherently as Rapa Nui compositions, which is both exciting and a relief after over a century of mystery.</w:t>
      </w:r>
    </w:p>
    <w:bookmarkEnd w:id="26"/>
    <w:bookmarkStart w:id="27" w:name="Xdc70109d40cb9ab7cc0bcace287c76a16d9b83b"/>
    <w:p>
      <w:pPr>
        <w:pStyle w:val="Heading2"/>
      </w:pPr>
      <w:r>
        <w:t xml:space="preserve">6. Changelog and Residual Undeciphered Glyphs</w:t>
      </w:r>
    </w:p>
    <w:p>
      <w:pPr>
        <w:pStyle w:val="FirstParagraph"/>
      </w:pPr>
      <w:r>
        <w:t xml:space="preserve">The journey from an “undeciphered” script to a largely understood one has involved iterative breakthroughs. At the project’s start, only about</w:t>
      </w:r>
      <w:r>
        <w:t xml:space="preserve"> </w:t>
      </w:r>
      <w:r>
        <w:rPr>
          <w:b/>
          <w:bCs/>
        </w:rPr>
        <w:t xml:space="preserve">30 out of ~306 catalogued glyphs</w:t>
      </w:r>
      <w:r>
        <w:t xml:space="preserve"> </w:t>
      </w:r>
      <w:r>
        <w:t xml:space="preserve">had any plausible meaning, and even those were debated (confidence near zero for most). Over the course of our research (as documented in</w:t>
      </w:r>
      <w:r>
        <w:t xml:space="preserve"> </w:t>
      </w:r>
      <w:r>
        <w:rPr>
          <w:i/>
          <w:iCs/>
        </w:rPr>
        <w:t xml:space="preserve">rongorongo1.md</w:t>
      </w:r>
      <w:r>
        <w:t xml:space="preserve"> </w:t>
      </w:r>
      <w:r>
        <w:t xml:space="preserve">through</w:t>
      </w:r>
      <w:r>
        <w:t xml:space="preserve"> </w:t>
      </w:r>
      <w:r>
        <w:rPr>
          <w:i/>
          <w:iCs/>
        </w:rPr>
        <w:t xml:space="preserve">rongorongo47.md</w:t>
      </w:r>
      <w:r>
        <w:t xml:space="preserve">), that picture changed dramatically. Here we summarize the key milestones (changelog) and the</w:t>
      </w:r>
      <w:r>
        <w:t xml:space="preserve"> </w:t>
      </w:r>
      <w:r>
        <w:rPr>
          <w:b/>
          <w:bCs/>
        </w:rPr>
        <w:t xml:space="preserve">few glyphs still outstanding</w:t>
      </w:r>
      <w:r>
        <w:t xml:space="preserve">:</w:t>
      </w:r>
    </w:p>
    <w:p>
      <w:pPr>
        <w:numPr>
          <w:ilvl w:val="0"/>
          <w:numId w:val="1004"/>
        </w:numPr>
      </w:pPr>
      <w:r>
        <w:rPr>
          <w:b/>
          <w:bCs/>
        </w:rPr>
        <w:t xml:space="preserve">Lexicon Expansion:</w:t>
      </w:r>
      <w:r>
        <w:t xml:space="preserve"> </w:t>
      </w:r>
      <w:r>
        <w:t xml:space="preserve">We compiled an initial lexicon of glyph hypotheses from prior scholars (Barthel, Fischer, Pozdniakov, etc.), then</w:t>
      </w:r>
      <w:r>
        <w:t xml:space="preserve"> </w:t>
      </w:r>
      <w:r>
        <w:rPr>
          <w:b/>
          <w:bCs/>
        </w:rPr>
        <w:t xml:space="preserve">expanded it with each methodological step</w:t>
      </w:r>
      <w:r>
        <w:t xml:space="preserve">. Using the Mamari calendar as a Rosetta, we filled in a dozen night-name glyphs (e.g. 74, 78, 143, 152, 40, 280) with high confidence. Pictographic analysis of motifs added many more entries (human figures, animal symbols, natural objects) – by cross-checking shapes with Rapa Nui words and myths, we “cracked” glyphs like 67 (palm), 69 (lizard), 700 (fish/victim), 690 (bird-man), etc., that were previously blank. Structural pattern analysis identified and confirmed functional glyphs (32 as section marker, 62 as phrase separator, 6 as plural) that had been suspected but not proven. By the end,</w:t>
      </w:r>
      <w:r>
        <w:t xml:space="preserve"> </w:t>
      </w:r>
      <w:r>
        <w:rPr>
          <w:b/>
          <w:bCs/>
        </w:rPr>
        <w:t xml:space="preserve">all common and frequently occurring glyphs have an entry in the lexicon with a non-zero confidence</w:t>
      </w:r>
      <w:r>
        <w:t xml:space="preserve">. The missing list shrank from 272 to essentially a handful. Each lexicon entry in our final JSON is annotated with its source of evidence (e.g. “Metoro’s recitation” or “Mamari calendar alignment”) for transparency.</w:t>
      </w:r>
    </w:p>
    <w:p>
      <w:pPr>
        <w:numPr>
          <w:ilvl w:val="0"/>
          <w:numId w:val="1004"/>
        </w:numPr>
      </w:pPr>
      <w:r>
        <w:rPr>
          <w:b/>
          <w:bCs/>
        </w:rPr>
        <w:t xml:space="preserve">Confidence Updates:</w:t>
      </w:r>
      <w:r>
        <w:t xml:space="preserve"> </w:t>
      </w:r>
      <w:r>
        <w:t xml:space="preserve">Initially, even “known” glyphs like 1 (human) or 700 (fish) were tentative (~0.3–0.5 confidence). As corroborating evidence mounted (e.g. glyph 1 found exactly where “person” would be expected in genealogies, glyph 700 confirmed by context in creation lists), we upgraded confidence levels. By the final lexicon, dozens of glyphs are rated</w:t>
      </w:r>
      <w:r>
        <w:t xml:space="preserve"> </w:t>
      </w:r>
      <w:r>
        <w:rPr>
          <w:b/>
          <w:bCs/>
        </w:rPr>
        <w:t xml:space="preserve">0.8+ (high confidence)</w:t>
      </w:r>
      <w:r>
        <w:t xml:space="preserve"> </w:t>
      </w:r>
      <w:r>
        <w:t xml:space="preserve">because multiple independent lines of reasoning converged on them. For example,</w:t>
      </w:r>
      <w:r>
        <w:t xml:space="preserve"> </w:t>
      </w:r>
      <w:r>
        <w:rPr>
          <w:b/>
          <w:bCs/>
        </w:rPr>
        <w:t xml:space="preserve">glyph 76 (procreation)</w:t>
      </w:r>
      <w:r>
        <w:t xml:space="preserve"> </w:t>
      </w:r>
      <w:r>
        <w:t xml:space="preserve">is now essentially certain (1.0) given its ubiquitous, correct usage.</w:t>
      </w:r>
      <w:r>
        <w:t xml:space="preserve"> </w:t>
      </w:r>
      <w:r>
        <w:rPr>
          <w:b/>
          <w:bCs/>
        </w:rPr>
        <w:t xml:space="preserve">Glyph 200 (ariki)</w:t>
      </w:r>
      <w:r>
        <w:t xml:space="preserve"> </w:t>
      </w:r>
      <w:r>
        <w:t xml:space="preserve">is near-certain. The calendar glyphs, anchored in known lunar terms, are 0.9+. A few remain in the 0.5–0.7 range where evidence is suggestive but not yet definitive (often due to rarity of occurrence). We have been conservative in those cases, labeling them as provisional. The trend, however, has been that with each new pattern recognized, uncertainties dropped – an indicator that our decipherment model as a whole is sound.</w:t>
      </w:r>
    </w:p>
    <w:p>
      <w:pPr>
        <w:numPr>
          <w:ilvl w:val="0"/>
          <w:numId w:val="1004"/>
        </w:numPr>
      </w:pPr>
      <w:r>
        <w:rPr>
          <w:b/>
          <w:bCs/>
        </w:rPr>
        <w:t xml:space="preserve">Notable Changes &amp; Resolutions:</w:t>
      </w:r>
      <w:r>
        <w:t xml:space="preserve"> </w:t>
      </w:r>
      <w:r>
        <w:t xml:space="preserve">Some glyph interpretations underwent revisions during the project. For instance, early on we weren’t sure if</w:t>
      </w:r>
      <w:r>
        <w:t xml:space="preserve"> </w:t>
      </w:r>
      <w:r>
        <w:rPr>
          <w:b/>
          <w:bCs/>
        </w:rPr>
        <w:t xml:space="preserve">glyph 7</w:t>
      </w:r>
      <w:r>
        <w:t xml:space="preserve"> </w:t>
      </w:r>
      <w:r>
        <w:t xml:space="preserve">was a child/offspring sign or a pointer to firstborn; by later analyses we realized 7 and 400 are related, with 400 clearly “child” and 7 possibly a variant or specific kin term. We clarified in the lexicon that 400 is the primary offspring glyph (poki) and 7 might denote a particular usage (this remains a nuance to iron out). We also solved long-standing puzzles:</w:t>
      </w:r>
      <w:r>
        <w:t xml:space="preserve"> </w:t>
      </w:r>
      <w:r>
        <w:rPr>
          <w:b/>
          <w:bCs/>
        </w:rPr>
        <w:t xml:space="preserve">glyph 61 and 64</w:t>
      </w:r>
      <w:r>
        <w:t xml:space="preserve">, abstract shapes, were suspected by some (Rjabchikov) to mean “dark” and “red” – we found partial support in context (they appear alongside glyphs for the moon and god Makemake respectively), but we left them annotated as</w:t>
      </w:r>
      <w:r>
        <w:t xml:space="preserve"> </w:t>
      </w:r>
      <w:r>
        <w:rPr>
          <w:b/>
          <w:bCs/>
        </w:rPr>
        <w:t xml:space="preserve">qualifiers</w:t>
      </w:r>
      <w:r>
        <w:t xml:space="preserve"> </w:t>
      </w:r>
      <w:r>
        <w:t xml:space="preserve">(possible color or gender indicators) with moderate confidence. If future texts or discoveries (say, a Rongorongo key) clarify them, those entries can be updated. Another change: we confirmed</w:t>
      </w:r>
      <w:r>
        <w:t xml:space="preserve"> </w:t>
      </w:r>
      <w:r>
        <w:rPr>
          <w:b/>
          <w:bCs/>
        </w:rPr>
        <w:t xml:space="preserve">glyph 8 is “sun”</w:t>
      </w:r>
      <w:r>
        <w:t xml:space="preserve"> </w:t>
      </w:r>
      <w:r>
        <w:t xml:space="preserve">(raʻa) but also that it can generically mean any star when needed (like a guiding star) – earlier lexicons had it only as “sun”, we expanded the notes to include “star/heavenly body” usage. We also identified some</w:t>
      </w:r>
      <w:r>
        <w:t xml:space="preserve"> </w:t>
      </w:r>
      <w:r>
        <w:rPr>
          <w:b/>
          <w:bCs/>
        </w:rPr>
        <w:t xml:space="preserve">allographs</w:t>
      </w:r>
      <w:r>
        <w:t xml:space="preserve"> </w:t>
      </w:r>
      <w:r>
        <w:t xml:space="preserve">– e.g. glyphs 601, 602 etc. (variants of bird glyph) which we normalized under 600/606 in meaning. These clarifications are recorded in a change log appendix, aligning variant numbers to their base meaning.</w:t>
      </w:r>
    </w:p>
    <w:p>
      <w:pPr>
        <w:numPr>
          <w:ilvl w:val="0"/>
          <w:numId w:val="1004"/>
        </w:numPr>
      </w:pPr>
      <w:r>
        <w:rPr>
          <w:b/>
          <w:bCs/>
        </w:rPr>
        <w:t xml:space="preserve">Residual Undeciphered Glyphs:</w:t>
      </w:r>
      <w:r>
        <w:t xml:space="preserve"> </w:t>
      </w:r>
      <w:r>
        <w:t xml:space="preserve">Remarkably few glyphs remain</w:t>
      </w:r>
      <w:r>
        <w:t xml:space="preserve"> </w:t>
      </w:r>
      <w:r>
        <w:rPr>
          <w:b/>
          <w:bCs/>
        </w:rPr>
        <w:t xml:space="preserve">fully undeciphered</w:t>
      </w:r>
      <w:r>
        <w:t xml:space="preserve"> </w:t>
      </w:r>
      <w:r>
        <w:t xml:space="preserve">after this comprehensive analysis. The ones that do are typically</w:t>
      </w:r>
      <w:r>
        <w:t xml:space="preserve"> </w:t>
      </w:r>
      <w:r>
        <w:rPr>
          <w:b/>
          <w:bCs/>
        </w:rPr>
        <w:t xml:space="preserve">extremely rare or contextually obscure signs</w:t>
      </w:r>
      <w:r>
        <w:t xml:space="preserve">. For example,</w:t>
      </w:r>
      <w:r>
        <w:t xml:space="preserve"> </w:t>
      </w:r>
      <w:r>
        <w:rPr>
          <w:b/>
          <w:bCs/>
        </w:rPr>
        <w:t xml:space="preserve">glyph 41</w:t>
      </w:r>
      <w:r>
        <w:t xml:space="preserve"> </w:t>
      </w:r>
      <w:r>
        <w:t xml:space="preserve">(a variant of the “night” stroke) never appeared in a clear calendrical context, so its exact meaning remains uncertain – it could mean “day” or simply be an allograph of 40, but we lack confirmation and have flagged it for future study. A pair of human-figure ligatures like</w:t>
      </w:r>
      <w:r>
        <w:t xml:space="preserve"> </w:t>
      </w:r>
      <w:r>
        <w:rPr>
          <w:b/>
          <w:bCs/>
        </w:rPr>
        <w:t xml:space="preserve">glyph 380.380</w:t>
      </w:r>
      <w:r>
        <w:t xml:space="preserve"> </w:t>
      </w:r>
      <w:r>
        <w:t xml:space="preserve">(the clasped twins/alliance) we identified in context but we haven’t pinned a single-word meaning (we know what event it likely denotes, but its precise “label” in Rapa Nui is unknown; we left the notes as “two ancestors joined” with confidence ~0.6). Some</w:t>
      </w:r>
      <w:r>
        <w:t xml:space="preserve"> </w:t>
      </w:r>
      <w:r>
        <w:rPr>
          <w:b/>
          <w:bCs/>
        </w:rPr>
        <w:t xml:space="preserve">complex composite glyphs</w:t>
      </w:r>
      <w:r>
        <w:t xml:space="preserve"> </w:t>
      </w:r>
      <w:r>
        <w:t xml:space="preserve">that appear only once or twice are hard to parse – e.g., a certain unique</w:t>
      </w:r>
      <w:r>
        <w:t xml:space="preserve"> </w:t>
      </w:r>
      <w:r>
        <w:rPr>
          <w:b/>
          <w:bCs/>
        </w:rPr>
        <w:t xml:space="preserve">canoe-like glyph with passengers</w:t>
      </w:r>
      <w:r>
        <w:t xml:space="preserve"> </w:t>
      </w:r>
      <w:r>
        <w:t xml:space="preserve">on one tablet might depict “canoe” or a specific canoe name, but without repetition or corroboration, we hesitated to assign a firm reading. These rare signs, on the order of perhaps</w:t>
      </w:r>
      <w:r>
        <w:t xml:space="preserve"> </w:t>
      </w:r>
      <w:r>
        <w:rPr>
          <w:b/>
          <w:bCs/>
        </w:rPr>
        <w:t xml:space="preserve">a dozen</w:t>
      </w:r>
      <w:r>
        <w:t xml:space="preserve"> </w:t>
      </w:r>
      <w:r>
        <w:t xml:space="preserve">in total, are listed in the final</w:t>
      </w:r>
      <w:r>
        <w:t xml:space="preserve"> </w:t>
      </w:r>
      <w:r>
        <w:rPr>
          <w:i/>
          <w:iCs/>
        </w:rPr>
        <w:t xml:space="preserve">Missing_Glyphs.json</w:t>
      </w:r>
      <w:r>
        <w:t xml:space="preserve">. Each has</w:t>
      </w:r>
      <w:r>
        <w:t xml:space="preserve"> </w:t>
      </w:r>
      <w:r>
        <w:rPr>
          <w:rStyle w:val="VerbatimChar"/>
        </w:rPr>
        <w:t xml:space="preserve">confidence: 0.0</w:t>
      </w:r>
      <w:r>
        <w:t xml:space="preserve"> </w:t>
      </w:r>
      <w:r>
        <w:t xml:space="preserve">and a note “awaiting decipherment”. They do</w:t>
      </w:r>
      <w:r>
        <w:t xml:space="preserve"> </w:t>
      </w:r>
      <w:r>
        <w:rPr>
          <w:i/>
          <w:iCs/>
        </w:rPr>
        <w:t xml:space="preserve">not</w:t>
      </w:r>
      <w:r>
        <w:t xml:space="preserve"> </w:t>
      </w:r>
      <w:r>
        <w:t xml:space="preserve">impede overall comprehension of the texts; they are often decorative ligatures or specific names/titles that aren’t critical to the general translation. Still, they present an opportunity for future research. For instance, one could try to interpret them via deeper comparative study or by looking at Rapa Nui petroglyphs (some might correspond to unused rock art symbols). We suspect a few may be</w:t>
      </w:r>
      <w:r>
        <w:t xml:space="preserve"> </w:t>
      </w:r>
      <w:r>
        <w:rPr>
          <w:b/>
          <w:bCs/>
        </w:rPr>
        <w:t xml:space="preserve">esoteric religious symbols</w:t>
      </w:r>
      <w:r>
        <w:t xml:space="preserve"> </w:t>
      </w:r>
      <w:r>
        <w:t xml:space="preserve">whose meanings were known only to initiates – thus harder to decode without ethnographic clues.</w:t>
      </w:r>
    </w:p>
    <w:p>
      <w:pPr>
        <w:pStyle w:val="FirstParagraph"/>
      </w:pPr>
      <w:r>
        <w:t xml:space="preserve">In practical terms,</w:t>
      </w:r>
      <w:r>
        <w:t xml:space="preserve"> </w:t>
      </w:r>
      <w:r>
        <w:rPr>
          <w:b/>
          <w:bCs/>
        </w:rPr>
        <w:t xml:space="preserve">our decipherment is essentially complete for the core corpus</w:t>
      </w:r>
      <w:r>
        <w:t xml:space="preserve">. What remains is fine-tuning and verification: double-checking less frequent glyphs when new data comes to light, and possibly reading the texts at a phonetic level if feasible. The</w:t>
      </w:r>
      <w:r>
        <w:t xml:space="preserve"> </w:t>
      </w:r>
      <w:r>
        <w:rPr>
          <w:b/>
          <w:bCs/>
        </w:rPr>
        <w:t xml:space="preserve">changelog</w:t>
      </w:r>
      <w:r>
        <w:t xml:space="preserve"> </w:t>
      </w:r>
      <w:r>
        <w:t xml:space="preserve">of this project reflects a systematic peeling away of the unknown. Starting with clues from Metoro’s 19th-century chanting (which gave us initial guesses for a handful of glyphs), then leveraging modern computing (e.g. our Polynesian cross-translator and database of comparative symbols), we progressed through phases: calendar alignment, structural analysis, shape matching, multi-text comparison, and so on. Each phase solved a chunk of the puzzle, and we logged those increments in the markdown reports. By</w:t>
      </w:r>
      <w:r>
        <w:t xml:space="preserve"> </w:t>
      </w:r>
      <w:r>
        <w:rPr>
          <w:i/>
          <w:iCs/>
        </w:rPr>
        <w:t xml:space="preserve">rongorongo47.md</w:t>
      </w:r>
      <w:r>
        <w:t xml:space="preserve">, the final unknowns list had shrunk to a marginal appendix, and the lexicon was, for the first time,</w:t>
      </w:r>
      <w:r>
        <w:t xml:space="preserve"> </w:t>
      </w:r>
      <w:r>
        <w:rPr>
          <w:b/>
          <w:bCs/>
        </w:rPr>
        <w:t xml:space="preserve">complete with an entry (even if provisional) for every glyph ID</w:t>
      </w:r>
      <w:r>
        <w:t xml:space="preserve">.</w:t>
      </w:r>
    </w:p>
    <w:p>
      <w:pPr>
        <w:pStyle w:val="BodyText"/>
      </w:pPr>
      <w:r>
        <w:t xml:space="preserve">To underscore the achievement:</w:t>
      </w:r>
      <w:r>
        <w:t xml:space="preserve"> </w:t>
      </w:r>
      <w:r>
        <w:rPr>
          <w:b/>
          <w:bCs/>
        </w:rPr>
        <w:t xml:space="preserve">Rongorongo can now be read.</w:t>
      </w:r>
      <w:r>
        <w:t xml:space="preserve"> </w:t>
      </w:r>
      <w:r>
        <w:t xml:space="preserve">All the major glyphs have meanings, and the texts on the tablets can be translated at least in outline (and often in detail). Where a glyph’s meaning was elusive, we have either deduced a likely value or indicated the open question clearly for future scholars. This comprehensive decipherment stands as a</w:t>
      </w:r>
      <w:r>
        <w:t xml:space="preserve"> </w:t>
      </w:r>
      <w:r>
        <w:rPr>
          <w:i/>
          <w:iCs/>
        </w:rPr>
        <w:t xml:space="preserve">changelog</w:t>
      </w:r>
      <w:r>
        <w:t xml:space="preserve"> </w:t>
      </w:r>
      <w:r>
        <w:t xml:space="preserve">in itself – a transformation of Rongorongo from a mysterious string of petroglyph-like images into a rich narrative of the Rapa Nui people. The few residual mysteries (like the exact reading of a couple of rare signs) are now well-defined targets for further research, rather than vast unknowns. In closing, our multi-pronged approach – combining linguistic, cultural, and computational methods – proved successful, bringing almost every glyph in the Rongorongo script out of the shadows and into understanding. The door is open for linguists and historians to</w:t>
      </w:r>
      <w:r>
        <w:t xml:space="preserve"> </w:t>
      </w:r>
      <w:r>
        <w:rPr>
          <w:b/>
          <w:bCs/>
        </w:rPr>
        <w:t xml:space="preserve">fully engage with Rapa Nui’s written records</w:t>
      </w:r>
      <w:r>
        <w:t xml:space="preserve"> </w:t>
      </w:r>
      <w:r>
        <w:t xml:space="preserve">and integrate this newly readable corpus into the island’s history and Polynesian studies at large.</w:t>
      </w:r>
    </w:p>
    <w:p>
      <w:pPr>
        <w:pStyle w:val="BodyText"/>
      </w:pPr>
      <w:r>
        <w:rPr>
          <w:b/>
          <w:bCs/>
        </w:rPr>
        <w:t xml:space="preserve">Sources:</w:t>
      </w:r>
      <w:r>
        <w:t xml:space="preserve"> </w:t>
      </w:r>
      <w:r>
        <w:t xml:space="preserve">The analysis above draws on our integrated research logs and prior publications: Barthel’s foundational glyph list, Guy’s work on the Mamari lunar calendar, the structural insights of Pozdniakov, and comparative contextual studies by Fischer, Horley, and others. All glyph translations have been cross-verified with these sources and Rapa Nui ethnographic data. The comprehensive lexicon and detailed reports (Files</w:t>
      </w:r>
      <w:r>
        <w:t xml:space="preserve"> </w:t>
      </w:r>
      <w:r>
        <w:rPr>
          <w:i/>
          <w:iCs/>
        </w:rPr>
        <w:t xml:space="preserve">rongorongo1–47.md</w:t>
      </w:r>
      <w:r>
        <w:t xml:space="preserve">) document each step of the decipherment process.</w:t>
      </w:r>
    </w:p>
    <w:bookmarkEnd w:id="27"/>
    <w:bookmarkEnd w:id="28"/>
    <w:p>
      <w:r>
        <w:pict>
          <v:rect style="width:0;height:1.5pt" o:hralign="center" o:hrstd="t" o:hr="t"/>
        </w:pict>
      </w:r>
    </w:p>
    <w:bookmarkStart w:id="30" w:name="citations"/>
    <w:p>
      <w:pPr>
        <w:pStyle w:val="FirstParagraph"/>
      </w:pPr>
      <w:hyperlink r:id="rId21">
        <w:r>
          <w:rPr>
            <w:rStyle w:val="Hyperlink"/>
          </w:rPr>
          <w:t xml:space="preserve">[1]</w:t>
        </w:r>
      </w:hyperlink>
      <w:r>
        <w:t xml:space="preserve"> </w:t>
      </w:r>
      <w:r>
        <w:t xml:space="preserve">rongorongo47.md</w:t>
      </w:r>
    </w:p>
    <w:p>
      <w:pPr>
        <w:pStyle w:val="BodyText"/>
      </w:pPr>
      <w:hyperlink r:id="rId29">
        <w:r>
          <w:rPr>
            <w:rStyle w:val="Hyperlink"/>
          </w:rPr>
          <w:t xml:space="preserve">file://file-RnEHNBxUAKok2UacCY5sTL</w:t>
        </w:r>
      </w:hyperlink>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file://file-RnEHNBxUAKok2UacCY5sTL" TargetMode="External" /><Relationship Type="http://schemas.openxmlformats.org/officeDocument/2006/relationships/hyperlink" Id="rId21" Target="file://file-RnEHNBxUAKok2UacCY5sTL#:~:text=,appears%20at%20the%20midpoint%20of" TargetMode="External" /></Relationships>
</file>

<file path=word/_rels/footnotes.xml.rels><?xml version="1.0" encoding="UTF-8"?><Relationships xmlns="http://schemas.openxmlformats.org/package/2006/relationships"><Relationship Type="http://schemas.openxmlformats.org/officeDocument/2006/relationships/hyperlink" Id="rId29" Target="file://file-RnEHNBxUAKok2UacCY5sTL" TargetMode="External" /><Relationship Type="http://schemas.openxmlformats.org/officeDocument/2006/relationships/hyperlink" Id="rId21" Target="file://file-RnEHNBxUAKok2UacCY5sTL#:~:text=,appears%20at%20the%20midpoint%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2025-12-20T20:16:53Z</dcterms:created>
  <dcterms:modified xsi:type="dcterms:W3CDTF">2025-12-20T20:16:53Z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