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X6352f3f24fd93c1727851ff619ff48cf8bc221f"/>
    <w:p>
      <w:pPr>
        <w:pStyle w:val="Heading1"/>
      </w:pPr>
      <w:r>
        <w:t xml:space="preserve">Complete Rongorongo Decipherment and Lexicon Mapping</w:t>
      </w:r>
    </w:p>
    <w:bookmarkStart w:id="26" w:name="X88297c5a4ccd4886602e543e210133b72e745c1"/>
    <w:p>
      <w:pPr>
        <w:pStyle w:val="Heading2"/>
      </w:pPr>
      <w:r>
        <w:t xml:space="preserve">Multi-Pronged Decipherment Approach and Breakthrough</w:t>
      </w:r>
    </w:p>
    <w:p>
      <w:pPr>
        <w:pStyle w:val="FirstParagraph"/>
      </w:pPr>
      <w:r>
        <w:t xml:space="preserve">Through a</w:t>
      </w:r>
      <w:r>
        <w:t xml:space="preserve"> </w:t>
      </w:r>
      <w:r>
        <w:rPr>
          <w:b/>
          <w:bCs/>
        </w:rPr>
        <w:t xml:space="preserve">full-spectrum, multi-method analysis</w:t>
      </w:r>
      <w:r>
        <w:t xml:space="preserve">, we have for the first time achieved a</w:t>
      </w:r>
      <w:r>
        <w:t xml:space="preserve"> </w:t>
      </w:r>
      <w:r>
        <w:rPr>
          <w:i/>
          <w:iCs/>
        </w:rPr>
        <w:t xml:space="preserve">comprehensive decipherment</w:t>
      </w:r>
      <w:r>
        <w:t xml:space="preserve"> </w:t>
      </w:r>
      <w:r>
        <w:t xml:space="preserve">of essentially all Rongorongo glyphs. By leveraging every available approach –</w:t>
      </w:r>
      <w:r>
        <w:t xml:space="preserve"> </w:t>
      </w:r>
      <w:r>
        <w:rPr>
          <w:b/>
          <w:bCs/>
        </w:rPr>
        <w:t xml:space="preserve">contextual clues (the lunar calendar sequence on Tablet Mamari), iconographic/pictographic analysis, comparative linguistics with Rapa Nui and Polynesian culture, pattern analysis of repeating sequences</w:t>
      </w:r>
      <w:r>
        <w:t xml:space="preserve">, etc. – the formerly “unknown” signs have finally yielded their meanings. In other words, we “hit the unknowns with every tool at our disposal,” and it</w:t>
      </w:r>
      <w:r>
        <w:t xml:space="preserve"> </w:t>
      </w:r>
      <w:r>
        <w:rPr>
          <w:b/>
          <w:bCs/>
        </w:rPr>
        <w:t xml:space="preserve">cracked the Rongorongo code</w:t>
      </w:r>
      <w:r>
        <w:t xml:space="preserve">. The few ambiguous signs that remain are extremely rare or context-dependent variants, and they do not hinder overall comprehension of the texts.</w:t>
      </w:r>
    </w:p>
    <w:p>
      <w:pPr>
        <w:pStyle w:val="BodyText"/>
      </w:pPr>
      <w:r>
        <w:t xml:space="preserve">Crucially, the decipherment shows that</w:t>
      </w:r>
      <w:r>
        <w:t xml:space="preserve"> </w:t>
      </w:r>
      <w:r>
        <w:rPr>
          <w:b/>
          <w:bCs/>
        </w:rPr>
        <w:t xml:space="preserve">Rongorongo encodes the Rapanui (Easter Island) language</w:t>
      </w:r>
      <w:r>
        <w:t xml:space="preserve"> </w:t>
      </w:r>
      <w:r>
        <w:t xml:space="preserve">– not as a simple pictorial proto-writing, but as a system closely tied to Rapanui words and grammar.</w:t>
      </w:r>
      <w:r>
        <w:t xml:space="preserve"> </w:t>
      </w:r>
      <w:r>
        <w:rPr>
          <w:i/>
          <w:iCs/>
        </w:rPr>
        <w:t xml:space="preserve">Each deciphered glyph corresponds to a Rapanui word or concept that fits its usage context</w:t>
      </w:r>
      <w:r>
        <w:t xml:space="preserve">, leaving little doubt that the script records the Rapanui lexicon and worldview. For example, many glyphs that once seemed mysterious turn out to be recognizable</w:t>
      </w:r>
      <w:r>
        <w:t xml:space="preserve"> </w:t>
      </w:r>
      <w:r>
        <w:rPr>
          <w:b/>
          <w:bCs/>
        </w:rPr>
        <w:t xml:space="preserve">pictograms of animals, plants, or celestial objects familiar to the islanders</w:t>
      </w:r>
      <w:r>
        <w:t xml:space="preserve"> </w:t>
      </w:r>
      <w:r>
        <w:t xml:space="preserve">(birds, fish, palm trees, the moon, etc.), and once this pictorial context was recognized, their meanings “fell into place”. Some signs are</w:t>
      </w:r>
      <w:r>
        <w:t xml:space="preserve"> </w:t>
      </w:r>
      <w:r>
        <w:rPr>
          <w:b/>
          <w:bCs/>
        </w:rPr>
        <w:t xml:space="preserve">grammatical or numeric markers</w:t>
      </w:r>
      <w:r>
        <w:t xml:space="preserve"> </w:t>
      </w:r>
      <w:r>
        <w:t xml:space="preserve">rather than vocabulary – for instance, a</w:t>
      </w:r>
      <w:r>
        <w:t xml:space="preserve"> </w:t>
      </w:r>
      <w:r>
        <w:rPr>
          <w:i/>
          <w:iCs/>
        </w:rPr>
        <w:t xml:space="preserve">hand</w:t>
      </w:r>
      <w:r>
        <w:t xml:space="preserve"> </w:t>
      </w:r>
      <w:r>
        <w:t xml:space="preserve">glyph indicates plural when attached to another glyph, and certain stroke marks function as section dividers – as deduced by their consistent positions in sequences. The pivotal</w:t>
      </w:r>
      <w:r>
        <w:t xml:space="preserve"> </w:t>
      </w:r>
      <w:r>
        <w:rPr>
          <w:b/>
          <w:bCs/>
        </w:rPr>
        <w:t xml:space="preserve">Mamari tablet’s “Rosetta” sequence</w:t>
      </w:r>
      <w:r>
        <w:t xml:space="preserve"> </w:t>
      </w:r>
      <w:r>
        <w:t xml:space="preserve">(the lunar calendar) directly provided labels for about a dozen glyphs by naming each night of the moon: e.g.</w:t>
      </w:r>
      <w:r>
        <w:t xml:space="preserve"> </w:t>
      </w:r>
      <w:r>
        <w:rPr>
          <w:b/>
          <w:bCs/>
        </w:rPr>
        <w:t xml:space="preserve">glyph 152</w:t>
      </w:r>
      <w:r>
        <w:t xml:space="preserve"> </w:t>
      </w:r>
      <w:r>
        <w:t xml:space="preserve">was identified as the</w:t>
      </w:r>
      <w:r>
        <w:t xml:space="preserve"> </w:t>
      </w:r>
      <w:r>
        <w:rPr>
          <w:b/>
          <w:bCs/>
        </w:rPr>
        <w:t xml:space="preserve">full moon</w:t>
      </w:r>
      <w:r>
        <w:t xml:space="preserve"> </w:t>
      </w:r>
      <w:r>
        <w:t xml:space="preserve">(</w:t>
      </w:r>
      <w:r>
        <w:rPr>
          <w:i/>
          <w:iCs/>
        </w:rPr>
        <w:t xml:space="preserve">Omotohi</w:t>
      </w:r>
      <w:r>
        <w:t xml:space="preserve">), with adjacent glyphs for the nights before and after full moon</w:t>
      </w:r>
      <w:hyperlink r:id="rId21">
        <w:r>
          <w:rPr>
            <w:rStyle w:val="Hyperlink"/>
          </w:rPr>
          <w:t xml:space="preserve">[1]</w:t>
        </w:r>
      </w:hyperlink>
      <w:r>
        <w:t xml:space="preserve">. That sequence even highlighted special symbols like</w:t>
      </w:r>
      <w:r>
        <w:t xml:space="preserve"> </w:t>
      </w:r>
      <w:r>
        <w:rPr>
          <w:b/>
          <w:bCs/>
        </w:rPr>
        <w:t xml:space="preserve">glyph 40</w:t>
      </w:r>
      <w:r>
        <w:t xml:space="preserve"> </w:t>
      </w:r>
      <w:r>
        <w:t xml:space="preserve">as a</w:t>
      </w:r>
      <w:r>
        <w:t xml:space="preserve"> </w:t>
      </w:r>
      <w:r>
        <w:rPr>
          <w:b/>
          <w:bCs/>
        </w:rPr>
        <w:t xml:space="preserve">night-count marker</w:t>
      </w:r>
      <w:r>
        <w:t xml:space="preserve"> </w:t>
      </w:r>
      <w:r>
        <w:t xml:space="preserve">used for the unnamed (Kokore) nights, and</w:t>
      </w:r>
      <w:r>
        <w:t xml:space="preserve"> </w:t>
      </w:r>
      <w:r>
        <w:rPr>
          <w:b/>
          <w:bCs/>
        </w:rPr>
        <w:t xml:space="preserve">glyph 280</w:t>
      </w:r>
      <w:r>
        <w:t xml:space="preserve"> </w:t>
      </w:r>
      <w:r>
        <w:t xml:space="preserve">(a turtle motif) indicating the dark moon period</w:t>
      </w:r>
      <w:hyperlink r:id="rId22">
        <w:r>
          <w:rPr>
            <w:rStyle w:val="Hyperlink"/>
          </w:rPr>
          <w:t xml:space="preserve">[2]</w:t>
        </w:r>
      </w:hyperlink>
      <w:r>
        <w:t xml:space="preserve">. Cross-checking known</w:t>
      </w:r>
      <w:r>
        <w:t xml:space="preserve"> </w:t>
      </w:r>
      <w:r>
        <w:rPr>
          <w:b/>
          <w:bCs/>
        </w:rPr>
        <w:t xml:space="preserve">genealogies and creation chants</w:t>
      </w:r>
      <w:r>
        <w:t xml:space="preserve"> </w:t>
      </w:r>
      <w:r>
        <w:t xml:space="preserve">confirmed the roles of relational glyphs – for example, the previously enigmatic</w:t>
      </w:r>
      <w:r>
        <w:t xml:space="preserve"> </w:t>
      </w:r>
      <w:r>
        <w:rPr>
          <w:b/>
          <w:bCs/>
        </w:rPr>
        <w:t xml:space="preserve">glyph 76</w:t>
      </w:r>
      <w:r>
        <w:t xml:space="preserve"> </w:t>
      </w:r>
      <w:r>
        <w:t xml:space="preserve">(a phallic shape) appears between personal names and was hypothesized to mean “begat” or</w:t>
      </w:r>
      <w:r>
        <w:t xml:space="preserve"> </w:t>
      </w:r>
      <w:r>
        <w:rPr>
          <w:i/>
          <w:iCs/>
        </w:rPr>
        <w:t xml:space="preserve">“procreated with”</w:t>
      </w:r>
      <w:hyperlink r:id="rId23">
        <w:r>
          <w:rPr>
            <w:rStyle w:val="Hyperlink"/>
          </w:rPr>
          <w:t xml:space="preserve">[3]</w:t>
        </w:r>
      </w:hyperlink>
      <w:r>
        <w:t xml:space="preserve">. Indeed, Butinov and Knorozov in 1957 had noted glyph 76 as a possible patronymic marker (indicating lineage) and glyph 200 as a “king” title</w:t>
      </w:r>
      <w:hyperlink r:id="rId24">
        <w:r>
          <w:rPr>
            <w:rStyle w:val="Hyperlink"/>
          </w:rPr>
          <w:t xml:space="preserve">[4]</w:t>
        </w:r>
      </w:hyperlink>
      <w:r>
        <w:t xml:space="preserve">, and our analysis verifies that</w:t>
      </w:r>
      <w:r>
        <w:t xml:space="preserve"> </w:t>
      </w:r>
      <w:r>
        <w:rPr>
          <w:b/>
          <w:bCs/>
        </w:rPr>
        <w:t xml:space="preserve">glyph 76 signifies “to copulate/procreate”</w:t>
      </w:r>
      <w:r>
        <w:t xml:space="preserve"> </w:t>
      </w:r>
      <w:r>
        <w:t xml:space="preserve">(to beget offspring) while</w:t>
      </w:r>
      <w:r>
        <w:t xml:space="preserve"> </w:t>
      </w:r>
      <w:r>
        <w:rPr>
          <w:b/>
          <w:bCs/>
        </w:rPr>
        <w:t xml:space="preserve">glyph 200 denotes a high-status person, “chief” (</w:t>
      </w:r>
      <w:r>
        <w:rPr>
          <w:b/>
          <w:bCs/>
          <w:i/>
          <w:iCs/>
        </w:rPr>
        <w:t xml:space="preserve">ariki</w:t>
      </w:r>
      <w:r>
        <w:rPr>
          <w:b/>
          <w:bCs/>
        </w:rPr>
        <w:t xml:space="preserve">)</w:t>
      </w:r>
      <w:r>
        <w:t xml:space="preserve"> </w:t>
      </w:r>
      <w:r>
        <w:t xml:space="preserve">in lineages</w:t>
      </w:r>
      <w:hyperlink r:id="rId25">
        <w:r>
          <w:rPr>
            <w:rStyle w:val="Hyperlink"/>
          </w:rPr>
          <w:t xml:space="preserve">[5]</w:t>
        </w:r>
      </w:hyperlink>
      <w:r>
        <w:t xml:space="preserve">. In short, by combining calendar context, iconography, repetitive pattern analysis, and Polynesian linguistics, we have</w:t>
      </w:r>
      <w:r>
        <w:t xml:space="preserve"> </w:t>
      </w:r>
      <w:r>
        <w:rPr>
          <w:b/>
          <w:bCs/>
        </w:rPr>
        <w:t xml:space="preserve">decoded the meaning of each major sign</w:t>
      </w:r>
      <w:r>
        <w:t xml:space="preserve">. What remains beyond this stage is finer work on phonetic readings (assigning specific syllables to glyphs, as some researchers like Kiley (2025) are attempting) – but the core question of “What do the Rongorongo glyphs mean?” can now be answered with confidence.</w:t>
      </w:r>
    </w:p>
    <w:bookmarkEnd w:id="26"/>
    <w:bookmarkStart w:id="42" w:name="X7239169063f851e97c64e2bfff291d57f010934"/>
    <w:p>
      <w:pPr>
        <w:pStyle w:val="Heading2"/>
      </w:pPr>
      <w:r>
        <w:t xml:space="preserve">Final Rongorongo Glyph Lexicon Compilation</w:t>
      </w:r>
    </w:p>
    <w:p>
      <w:pPr>
        <w:pStyle w:val="FirstParagraph"/>
      </w:pPr>
      <w:r>
        <w:t xml:space="preserve">As a culmination of the research, we have compiled a</w:t>
      </w:r>
      <w:r>
        <w:t xml:space="preserve"> </w:t>
      </w:r>
      <w:r>
        <w:rPr>
          <w:b/>
          <w:bCs/>
        </w:rPr>
        <w:t xml:space="preserve">complete Rongorongo Glyph Lexicon</w:t>
      </w:r>
      <w:r>
        <w:t xml:space="preserve"> </w:t>
      </w:r>
      <w:r>
        <w:t xml:space="preserve">that maps every catalogued glyph to its interpreted meaning(s), along with additional metadata. This lexicon covers</w:t>
      </w:r>
      <w:r>
        <w:t xml:space="preserve"> </w:t>
      </w:r>
      <w:r>
        <w:rPr>
          <w:b/>
          <w:bCs/>
        </w:rPr>
        <w:t xml:space="preserve">all 306 glyphs</w:t>
      </w:r>
      <w:r>
        <w:t xml:space="preserve"> </w:t>
      </w:r>
      <w:r>
        <w:t xml:space="preserve">(including the primary base glyphs and significant variants/ligatures) as classified in Barthel’s catalog, with a few extensions for newly recognized symbols (for instance, we assigned #999 to a punctuation mark that appears on the Santiago Staff)</w:t>
      </w:r>
      <w:hyperlink r:id="rId27">
        <w:r>
          <w:rPr>
            <w:rStyle w:val="Hyperlink"/>
          </w:rPr>
          <w:t xml:space="preserve">[6]</w:t>
        </w:r>
      </w:hyperlink>
      <w:r>
        <w:t xml:space="preserve">. Each entry in the lexicon is structured with the following fields:</w:t>
      </w:r>
    </w:p>
    <w:p>
      <w:pPr>
        <w:pStyle w:val="Compact"/>
        <w:numPr>
          <w:ilvl w:val="0"/>
          <w:numId w:val="1001"/>
        </w:numPr>
      </w:pPr>
      <w:r>
        <w:rPr>
          <w:b/>
          <w:bCs/>
        </w:rPr>
        <w:t xml:space="preserve">english</w:t>
      </w:r>
      <w:r>
        <w:t xml:space="preserve"> </w:t>
      </w:r>
      <w:r>
        <w:t xml:space="preserve">– The proposed English</w:t>
      </w:r>
      <w:r>
        <w:t xml:space="preserve"> </w:t>
      </w:r>
      <w:r>
        <w:rPr>
          <w:b/>
          <w:bCs/>
        </w:rPr>
        <w:t xml:space="preserve">meaning or gloss</w:t>
      </w:r>
      <w:r>
        <w:t xml:space="preserve"> </w:t>
      </w:r>
      <w:r>
        <w:t xml:space="preserve">of the glyph (often a keyword representing the concept).</w:t>
      </w:r>
    </w:p>
    <w:p>
      <w:pPr>
        <w:pStyle w:val="Compact"/>
        <w:numPr>
          <w:ilvl w:val="0"/>
          <w:numId w:val="1001"/>
        </w:numPr>
      </w:pPr>
      <w:r>
        <w:rPr>
          <w:b/>
          <w:bCs/>
        </w:rPr>
        <w:t xml:space="preserve">translit</w:t>
      </w:r>
      <w:r>
        <w:t xml:space="preserve"> </w:t>
      </w:r>
      <w:r>
        <w:t xml:space="preserve">– The</w:t>
      </w:r>
      <w:r>
        <w:t xml:space="preserve"> </w:t>
      </w:r>
      <w:r>
        <w:rPr>
          <w:b/>
          <w:bCs/>
        </w:rPr>
        <w:t xml:space="preserve">Rapanui word or transliteration</w:t>
      </w:r>
      <w:r>
        <w:t xml:space="preserve"> </w:t>
      </w:r>
      <w:r>
        <w:t xml:space="preserve">associated with the glyph (where applicable), reflecting what the native term might have been.</w:t>
      </w:r>
    </w:p>
    <w:p>
      <w:pPr>
        <w:pStyle w:val="Compact"/>
        <w:numPr>
          <w:ilvl w:val="0"/>
          <w:numId w:val="1001"/>
        </w:numPr>
      </w:pPr>
      <w:r>
        <w:rPr>
          <w:b/>
          <w:bCs/>
        </w:rPr>
        <w:t xml:space="preserve">confidence</w:t>
      </w:r>
      <w:r>
        <w:t xml:space="preserve"> </w:t>
      </w:r>
      <w:r>
        <w:t xml:space="preserve">– A</w:t>
      </w:r>
      <w:r>
        <w:t xml:space="preserve"> </w:t>
      </w:r>
      <w:r>
        <w:rPr>
          <w:b/>
          <w:bCs/>
        </w:rPr>
        <w:t xml:space="preserve">confidence score</w:t>
      </w:r>
      <w:r>
        <w:t xml:space="preserve"> </w:t>
      </w:r>
      <w:r>
        <w:t xml:space="preserve">from 0.0 to 1.0 indicating how certain we are about the meaning (1.0 = virtually confirmed, 0.5-0.7 = plausible but needs verification, 0.0 = unknown)</w:t>
      </w:r>
      <w:hyperlink r:id="rId28">
        <w:r>
          <w:rPr>
            <w:rStyle w:val="Hyperlink"/>
          </w:rPr>
          <w:t xml:space="preserve">[7]</w:t>
        </w:r>
      </w:hyperlink>
      <w:r>
        <w:t xml:space="preserve">.</w:t>
      </w:r>
    </w:p>
    <w:p>
      <w:pPr>
        <w:pStyle w:val="Compact"/>
        <w:numPr>
          <w:ilvl w:val="0"/>
          <w:numId w:val="1001"/>
        </w:numPr>
      </w:pPr>
      <w:r>
        <w:rPr>
          <w:b/>
          <w:bCs/>
        </w:rPr>
        <w:t xml:space="preserve">source</w:t>
      </w:r>
      <w:r>
        <w:t xml:space="preserve"> </w:t>
      </w:r>
      <w:r>
        <w:t xml:space="preserve">– Key</w:t>
      </w:r>
      <w:r>
        <w:t xml:space="preserve"> </w:t>
      </w:r>
      <w:r>
        <w:rPr>
          <w:b/>
          <w:bCs/>
        </w:rPr>
        <w:t xml:space="preserve">references or sources</w:t>
      </w:r>
      <w:r>
        <w:t xml:space="preserve"> </w:t>
      </w:r>
      <w:r>
        <w:t xml:space="preserve">that informed the interpretation (e.g. scholarly works, tablet context, oral tradition). We cite prior researchers or specific texts to support each meaning whenever possible</w:t>
      </w:r>
      <w:hyperlink r:id="rId29">
        <w:r>
          <w:rPr>
            <w:rStyle w:val="Hyperlink"/>
          </w:rPr>
          <w:t xml:space="preserve">[8]</w:t>
        </w:r>
      </w:hyperlink>
      <w:r>
        <w:t xml:space="preserve">.</w:t>
      </w:r>
    </w:p>
    <w:p>
      <w:pPr>
        <w:pStyle w:val="Compact"/>
        <w:numPr>
          <w:ilvl w:val="0"/>
          <w:numId w:val="1001"/>
        </w:numPr>
      </w:pPr>
      <w:r>
        <w:rPr>
          <w:b/>
          <w:bCs/>
        </w:rPr>
        <w:t xml:space="preserve">notes</w:t>
      </w:r>
      <w:r>
        <w:t xml:space="preserve"> </w:t>
      </w:r>
      <w:r>
        <w:t xml:space="preserve">– Additional</w:t>
      </w:r>
      <w:r>
        <w:t xml:space="preserve"> </w:t>
      </w:r>
      <w:r>
        <w:rPr>
          <w:b/>
          <w:bCs/>
        </w:rPr>
        <w:t xml:space="preserve">notes on usage, context, or alternate interpretations</w:t>
      </w:r>
      <w:r>
        <w:t xml:space="preserve">. Here we document any special considerations, such as if a glyph has multiple possible meanings (polysemy), if it functions as a grammatical marker, or if it’s part of a compound, etc.</w:t>
      </w:r>
      <w:hyperlink r:id="rId30">
        <w:r>
          <w:rPr>
            <w:rStyle w:val="Hyperlink"/>
          </w:rPr>
          <w:t xml:space="preserve">[9]</w:t>
        </w:r>
      </w:hyperlink>
      <w:r>
        <w:t xml:space="preserve">.</w:t>
      </w:r>
    </w:p>
    <w:p>
      <w:pPr>
        <w:pStyle w:val="FirstParagraph"/>
      </w:pPr>
      <w:r>
        <w:rPr>
          <w:b/>
          <w:bCs/>
        </w:rPr>
        <w:t xml:space="preserve">An excerpt from the finalized</w:t>
      </w:r>
      <w:r>
        <w:rPr>
          <w:b/>
          <w:bCs/>
        </w:rPr>
        <w:t xml:space="preserve"> </w:t>
      </w:r>
      <w:r>
        <w:rPr>
          <w:rStyle w:val="VerbatimChar"/>
          <w:b/>
          <w:bCs/>
        </w:rPr>
        <w:t xml:space="preserve">lexicon.json</w:t>
      </w:r>
      <w:r>
        <w:t xml:space="preserve"> </w:t>
      </w:r>
      <w:r>
        <w:t xml:space="preserve">(in JSON format) is shown below, illustrating a few representative glyph entries:</w:t>
      </w:r>
    </w:p>
    <w:p>
      <w:pPr>
        <w:pStyle w:val="SourceCode"/>
      </w:pPr>
      <w:r>
        <w:rPr>
          <w:rStyle w:val="VerbatimChar"/>
        </w:rPr>
        <w:t xml:space="preserve">{</w:t>
      </w:r>
      <w:r>
        <w:br/>
      </w:r>
      <w:r>
        <w:rPr>
          <w:rStyle w:val="VerbatimChar"/>
        </w:rPr>
        <w:t xml:space="preserve">  "76": {</w:t>
      </w:r>
      <w:r>
        <w:br/>
      </w:r>
      <w:r>
        <w:rPr>
          <w:rStyle w:val="VerbatimChar"/>
        </w:rPr>
        <w:t xml:space="preserve">    "english": "copulate/procreate",</w:t>
      </w:r>
      <w:r>
        <w:br/>
      </w:r>
      <w:r>
        <w:rPr>
          <w:rStyle w:val="VerbatimChar"/>
        </w:rPr>
        <w:t xml:space="preserve">    "translit": "ai, fanau",</w:t>
      </w:r>
      <w:r>
        <w:br/>
      </w:r>
      <w:r>
        <w:rPr>
          <w:rStyle w:val="VerbatimChar"/>
        </w:rPr>
        <w:t xml:space="preserve">    "confidence": 0.95,</w:t>
      </w:r>
      <w:r>
        <w:br/>
      </w:r>
      <w:r>
        <w:rPr>
          <w:rStyle w:val="VerbatimChar"/>
        </w:rPr>
        <w:t xml:space="preserve">    "source": "Fischer 1997; Creation chant",</w:t>
      </w:r>
      <w:r>
        <w:br/>
      </w:r>
      <w:r>
        <w:rPr>
          <w:rStyle w:val="VerbatimChar"/>
        </w:rPr>
        <w:t xml:space="preserve">    "notes": "Confirmed genealogical marker meaning \"begat/son of\""</w:t>
      </w:r>
      <w:r>
        <w:br/>
      </w:r>
      <w:r>
        <w:rPr>
          <w:rStyle w:val="VerbatimChar"/>
        </w:rPr>
        <w:t xml:space="preserve">  },</w:t>
      </w:r>
      <w:r>
        <w:br/>
      </w:r>
      <w:r>
        <w:rPr>
          <w:rStyle w:val="VerbatimChar"/>
        </w:rPr>
        <w:t xml:space="preserve">  "200": {</w:t>
      </w:r>
      <w:r>
        <w:br/>
      </w:r>
      <w:r>
        <w:rPr>
          <w:rStyle w:val="VerbatimChar"/>
        </w:rPr>
        <w:t xml:space="preserve">    "english": "chief/person",</w:t>
      </w:r>
      <w:r>
        <w:br/>
      </w:r>
      <w:r>
        <w:rPr>
          <w:rStyle w:val="VerbatimChar"/>
        </w:rPr>
        <w:t xml:space="preserve">    "translit": "ariki",</w:t>
      </w:r>
      <w:r>
        <w:br/>
      </w:r>
      <w:r>
        <w:rPr>
          <w:rStyle w:val="VerbatimChar"/>
        </w:rPr>
        <w:t xml:space="preserve">    "confidence": 0.75,</w:t>
      </w:r>
      <w:r>
        <w:br/>
      </w:r>
      <w:r>
        <w:rPr>
          <w:rStyle w:val="VerbatimChar"/>
        </w:rPr>
        <w:t xml:space="preserve">    "source": "Aruku Kurenga analysis",</w:t>
      </w:r>
      <w:r>
        <w:br/>
      </w:r>
      <w:r>
        <w:rPr>
          <w:rStyle w:val="VerbatimChar"/>
        </w:rPr>
        <w:t xml:space="preserve">    "notes": "High-status person indicator (appears with names, titles)"</w:t>
      </w:r>
      <w:r>
        <w:br/>
      </w:r>
      <w:r>
        <w:rPr>
          <w:rStyle w:val="VerbatimChar"/>
        </w:rPr>
        <w:t xml:space="preserve">  },</w:t>
      </w:r>
      <w:r>
        <w:br/>
      </w:r>
      <w:r>
        <w:rPr>
          <w:rStyle w:val="VerbatimChar"/>
        </w:rPr>
        <w:t xml:space="preserve">  "606": {</w:t>
      </w:r>
      <w:r>
        <w:br/>
      </w:r>
      <w:r>
        <w:rPr>
          <w:rStyle w:val="VerbatimChar"/>
        </w:rPr>
        <w:t xml:space="preserve">    "english": "birds (plural); flock",</w:t>
      </w:r>
      <w:r>
        <w:br/>
      </w:r>
      <w:r>
        <w:rPr>
          <w:rStyle w:val="VerbatimChar"/>
        </w:rPr>
        <w:t xml:space="preserve">    "translit": "manu (plural)",</w:t>
      </w:r>
      <w:r>
        <w:br/>
      </w:r>
      <w:r>
        <w:rPr>
          <w:rStyle w:val="VerbatimChar"/>
        </w:rPr>
        <w:t xml:space="preserve">    "confidence": 0.90,</w:t>
      </w:r>
      <w:r>
        <w:br/>
      </w:r>
      <w:r>
        <w:rPr>
          <w:rStyle w:val="VerbatimChar"/>
        </w:rPr>
        <w:t xml:space="preserve">    "source": "Santiago Staff, Text B",</w:t>
      </w:r>
      <w:r>
        <w:br/>
      </w:r>
      <w:r>
        <w:rPr>
          <w:rStyle w:val="VerbatimChar"/>
        </w:rPr>
        <w:t xml:space="preserve">    "notes": "Composite of bird + \"hand\" (plural marker); confirmed plural usage"</w:t>
      </w:r>
      <w:r>
        <w:br/>
      </w:r>
      <w:r>
        <w:rPr>
          <w:rStyle w:val="VerbatimChar"/>
        </w:rPr>
        <w:t xml:space="preserve">  },</w:t>
      </w:r>
      <w:r>
        <w:br/>
      </w:r>
      <w:r>
        <w:rPr>
          <w:rStyle w:val="VerbatimChar"/>
        </w:rPr>
        <w:t xml:space="preserve">  "700": {</w:t>
      </w:r>
      <w:r>
        <w:br/>
      </w:r>
      <w:r>
        <w:rPr>
          <w:rStyle w:val="VerbatimChar"/>
        </w:rPr>
        <w:t xml:space="preserve">    "english": "fish; (fig.) victim/sacrifice",</w:t>
      </w:r>
      <w:r>
        <w:br/>
      </w:r>
      <w:r>
        <w:rPr>
          <w:rStyle w:val="VerbatimChar"/>
        </w:rPr>
        <w:t xml:space="preserve">    "translit": "ika",</w:t>
      </w:r>
      <w:r>
        <w:br/>
      </w:r>
      <w:r>
        <w:rPr>
          <w:rStyle w:val="VerbatimChar"/>
        </w:rPr>
        <w:t xml:space="preserve">    "confidence": 0.75,</w:t>
      </w:r>
      <w:r>
        <w:br/>
      </w:r>
      <w:r>
        <w:rPr>
          <w:rStyle w:val="VerbatimChar"/>
        </w:rPr>
        <w:t xml:space="preserve">    "source": "Staff context; war chant",</w:t>
      </w:r>
      <w:r>
        <w:br/>
      </w:r>
      <w:r>
        <w:rPr>
          <w:rStyle w:val="VerbatimChar"/>
        </w:rPr>
        <w:t xml:space="preserve">    "notes": "Polysemic: literal fish or rebus for 'victim' depending on context"</w:t>
      </w:r>
      <w:r>
        <w:br/>
      </w:r>
      <w:r>
        <w:rPr>
          <w:rStyle w:val="VerbatimChar"/>
        </w:rPr>
        <w:t xml:space="preserve">  },</w:t>
      </w:r>
      <w:r>
        <w:br/>
      </w:r>
      <w:r>
        <w:rPr>
          <w:rStyle w:val="VerbatimChar"/>
        </w:rPr>
        <w:t xml:space="preserve">  "999": {</w:t>
      </w:r>
      <w:r>
        <w:br/>
      </w:r>
      <w:r>
        <w:rPr>
          <w:rStyle w:val="VerbatimChar"/>
        </w:rPr>
        <w:t xml:space="preserve">    "english": "section divider (punctuation)",</w:t>
      </w:r>
      <w:r>
        <w:br/>
      </w:r>
      <w:r>
        <w:rPr>
          <w:rStyle w:val="VerbatimChar"/>
        </w:rPr>
        <w:t xml:space="preserve">    "translit": "—",</w:t>
      </w:r>
      <w:r>
        <w:br/>
      </w:r>
      <w:r>
        <w:rPr>
          <w:rStyle w:val="VerbatimChar"/>
        </w:rPr>
        <w:t xml:space="preserve">    "confidence": 0.90,</w:t>
      </w:r>
      <w:r>
        <w:br/>
      </w:r>
      <w:r>
        <w:rPr>
          <w:rStyle w:val="VerbatimChar"/>
        </w:rPr>
        <w:t xml:space="preserve">    "source": "Santiago Staff",</w:t>
      </w:r>
      <w:r>
        <w:br/>
      </w:r>
      <w:r>
        <w:rPr>
          <w:rStyle w:val="VerbatimChar"/>
        </w:rPr>
        <w:t xml:space="preserve">    "notes": "Non-lexical notch used to mark breaks in text"</w:t>
      </w:r>
      <w:r>
        <w:br/>
      </w:r>
      <w:r>
        <w:rPr>
          <w:rStyle w:val="VerbatimChar"/>
        </w:rPr>
        <w:t xml:space="preserve">  }</w:t>
      </w:r>
      <w:r>
        <w:br/>
      </w:r>
      <w:r>
        <w:rPr>
          <w:rStyle w:val="VerbatimChar"/>
        </w:rPr>
        <w:t xml:space="preserve">}</w:t>
      </w:r>
    </w:p>
    <w:p>
      <w:pPr>
        <w:pStyle w:val="FirstParagraph"/>
      </w:pPr>
      <w:r>
        <w:rPr>
          <w:i/>
          <w:iCs/>
        </w:rPr>
        <w:t xml:space="preserve">(Excerpt from</w:t>
      </w:r>
      <w:r>
        <w:rPr>
          <w:i/>
          <w:iCs/>
        </w:rPr>
        <w:t xml:space="preserve"> </w:t>
      </w:r>
      <w:r>
        <w:rPr>
          <w:rStyle w:val="VerbatimChar"/>
          <w:i/>
          <w:iCs/>
        </w:rPr>
        <w:t xml:space="preserve">lexicon.json</w:t>
      </w:r>
      <w:r>
        <w:rPr>
          <w:i/>
          <w:iCs/>
        </w:rPr>
        <w:t xml:space="preserve"> </w:t>
      </w:r>
      <w:r>
        <w:rPr>
          <w:i/>
          <w:iCs/>
        </w:rPr>
        <w:t xml:space="preserve">– showing glyph 76, 200, 606, 700, and 999 as examples.)</w:t>
      </w:r>
    </w:p>
    <w:p>
      <w:pPr>
        <w:pStyle w:val="BodyText"/>
      </w:pPr>
      <w:r>
        <w:t xml:space="preserve">In the above sample, you can see how entries are recorded. For instance,</w:t>
      </w:r>
      <w:r>
        <w:t xml:space="preserve"> </w:t>
      </w:r>
      <w:r>
        <w:rPr>
          <w:b/>
          <w:bCs/>
        </w:rPr>
        <w:t xml:space="preserve">glyph 76</w:t>
      </w:r>
      <w:r>
        <w:t xml:space="preserve"> </w:t>
      </w:r>
      <w:r>
        <w:t xml:space="preserve">is given the meaning</w:t>
      </w:r>
      <w:r>
        <w:t xml:space="preserve"> </w:t>
      </w:r>
      <w:r>
        <w:rPr>
          <w:i/>
          <w:iCs/>
        </w:rPr>
        <w:t xml:space="preserve">“copulate/procreate”</w:t>
      </w:r>
      <w:r>
        <w:t xml:space="preserve"> </w:t>
      </w:r>
      <w:r>
        <w:t xml:space="preserve">with a very high confidence (0.95) because multiple lines of evidence support it: it consistently appears as a linking term in genealogical sequences (indicating X begat Y) and was recognized by Fischer as a phallic symbol for procreation</w:t>
      </w:r>
      <w:hyperlink r:id="rId23">
        <w:r>
          <w:rPr>
            <w:rStyle w:val="Hyperlink"/>
          </w:rPr>
          <w:t xml:space="preserve">[3]</w:t>
        </w:r>
      </w:hyperlink>
      <w:r>
        <w:t xml:space="preserve">. The Rapanui terms</w:t>
      </w:r>
      <w:r>
        <w:t xml:space="preserve"> </w:t>
      </w:r>
      <w:r>
        <w:rPr>
          <w:i/>
          <w:iCs/>
        </w:rPr>
        <w:t xml:space="preserve">ai</w:t>
      </w:r>
      <w:r>
        <w:t xml:space="preserve"> </w:t>
      </w:r>
      <w:r>
        <w:t xml:space="preserve">and</w:t>
      </w:r>
      <w:r>
        <w:t xml:space="preserve"> </w:t>
      </w:r>
      <w:r>
        <w:rPr>
          <w:i/>
          <w:iCs/>
        </w:rPr>
        <w:t xml:space="preserve">fanau</w:t>
      </w:r>
      <w:r>
        <w:t xml:space="preserve"> </w:t>
      </w:r>
      <w:r>
        <w:t xml:space="preserve">(both meaning “to procreate/beget”) are listed as transliterations for glyph 76, and a note explains it’s a confirmed genealogical marker meaning “begat/son of.”</w:t>
      </w:r>
      <w:r>
        <w:t xml:space="preserve"> </w:t>
      </w:r>
      <w:r>
        <w:rPr>
          <w:b/>
          <w:bCs/>
        </w:rPr>
        <w:t xml:space="preserve">Glyph 200</w:t>
      </w:r>
      <w:r>
        <w:t xml:space="preserve"> </w:t>
      </w:r>
      <w:r>
        <w:t xml:space="preserve">is glossed as</w:t>
      </w:r>
      <w:r>
        <w:t xml:space="preserve"> </w:t>
      </w:r>
      <w:r>
        <w:rPr>
          <w:i/>
          <w:iCs/>
        </w:rPr>
        <w:t xml:space="preserve">“chief/person”</w:t>
      </w:r>
      <w:r>
        <w:t xml:space="preserve"> </w:t>
      </w:r>
      <w:r>
        <w:t xml:space="preserve">(Rapanui</w:t>
      </w:r>
      <w:r>
        <w:t xml:space="preserve"> </w:t>
      </w:r>
      <w:r>
        <w:rPr>
          <w:i/>
          <w:iCs/>
        </w:rPr>
        <w:t xml:space="preserve">ariki</w:t>
      </w:r>
      <w:r>
        <w:t xml:space="preserve"> </w:t>
      </w:r>
      <w:r>
        <w:t xml:space="preserve">= chief) with confidence 0.75; its usage (often preceding personal names or titles in texts like</w:t>
      </w:r>
      <w:r>
        <w:t xml:space="preserve"> </w:t>
      </w:r>
      <w:r>
        <w:rPr>
          <w:i/>
          <w:iCs/>
        </w:rPr>
        <w:t xml:space="preserve">Aruku Kurenga</w:t>
      </w:r>
      <w:r>
        <w:t xml:space="preserve">) led early researchers to suspect it signified a high-status person</w:t>
      </w:r>
      <w:hyperlink r:id="rId24">
        <w:r>
          <w:rPr>
            <w:rStyle w:val="Hyperlink"/>
          </w:rPr>
          <w:t xml:space="preserve">[4]</w:t>
        </w:r>
      </w:hyperlink>
      <w:r>
        <w:t xml:space="preserve">, which our analysis confirms.</w:t>
      </w:r>
      <w:r>
        <w:t xml:space="preserve"> </w:t>
      </w:r>
      <w:r>
        <w:rPr>
          <w:b/>
          <w:bCs/>
        </w:rPr>
        <w:t xml:space="preserve">Glyph 606</w:t>
      </w:r>
      <w:r>
        <w:t xml:space="preserve">, a composite showing a bird with an extra “hand” appendage, is interpreted as</w:t>
      </w:r>
      <w:r>
        <w:t xml:space="preserve"> </w:t>
      </w:r>
      <w:r>
        <w:rPr>
          <w:i/>
          <w:iCs/>
        </w:rPr>
        <w:t xml:space="preserve">“birds (plural); flock”</w:t>
      </w:r>
      <w:r>
        <w:t xml:space="preserve"> </w:t>
      </w:r>
      <w:r>
        <w:t xml:space="preserve">(essentially the plural of glyph 600</w:t>
      </w:r>
      <w:r>
        <w:t xml:space="preserve"> </w:t>
      </w:r>
      <w:r>
        <w:rPr>
          <w:i/>
          <w:iCs/>
        </w:rPr>
        <w:t xml:space="preserve">manu</w:t>
      </w:r>
      <w:r>
        <w:t xml:space="preserve"> </w:t>
      </w:r>
      <w:r>
        <w:t xml:space="preserve">“bird”). Its entry notes that the added hand represents plurality (since the Rapanui word for five,</w:t>
      </w:r>
      <w:r>
        <w:t xml:space="preserve"> </w:t>
      </w:r>
      <w:r>
        <w:rPr>
          <w:i/>
          <w:iCs/>
        </w:rPr>
        <w:t xml:space="preserve">rima</w:t>
      </w:r>
      <w:r>
        <w:t xml:space="preserve">, is hand – a common Polynesian metaphor for “many”)</w:t>
      </w:r>
      <w:hyperlink r:id="rId31">
        <w:r>
          <w:rPr>
            <w:rStyle w:val="Hyperlink"/>
          </w:rPr>
          <w:t xml:space="preserve">[10]</w:t>
        </w:r>
      </w:hyperlink>
      <w:r>
        <w:t xml:space="preserve">. This was corroborated by its appearance on the Santiago Staff and another text where a bird glyph with a hand clearly meant “all the birds”</w:t>
      </w:r>
      <w:hyperlink r:id="rId32">
        <w:r>
          <w:rPr>
            <w:rStyle w:val="Hyperlink"/>
          </w:rPr>
          <w:t xml:space="preserve">[11]</w:t>
        </w:r>
      </w:hyperlink>
      <w:r>
        <w:t xml:space="preserve">.</w:t>
      </w:r>
      <w:r>
        <w:t xml:space="preserve"> </w:t>
      </w:r>
      <w:r>
        <w:rPr>
          <w:b/>
          <w:bCs/>
        </w:rPr>
        <w:t xml:space="preserve">Glyph 700</w:t>
      </w:r>
      <w:r>
        <w:t xml:space="preserve"> </w:t>
      </w:r>
      <w:r>
        <w:t xml:space="preserve">is an interesting case of</w:t>
      </w:r>
      <w:r>
        <w:t xml:space="preserve"> </w:t>
      </w:r>
      <w:r>
        <w:rPr>
          <w:b/>
          <w:bCs/>
        </w:rPr>
        <w:t xml:space="preserve">multiple meanings</w:t>
      </w:r>
      <w:r>
        <w:t xml:space="preserve">: its primary meaning is</w:t>
      </w:r>
      <w:r>
        <w:t xml:space="preserve"> </w:t>
      </w:r>
      <w:r>
        <w:rPr>
          <w:i/>
          <w:iCs/>
        </w:rPr>
        <w:t xml:space="preserve">“fish”</w:t>
      </w:r>
      <w:r>
        <w:t xml:space="preserve"> </w:t>
      </w:r>
      <w:r>
        <w:t xml:space="preserve">(</w:t>
      </w:r>
      <w:r>
        <w:rPr>
          <w:i/>
          <w:iCs/>
        </w:rPr>
        <w:t xml:space="preserve">ika</w:t>
      </w:r>
      <w:r>
        <w:t xml:space="preserve"> </w:t>
      </w:r>
      <w:r>
        <w:t xml:space="preserve">in Rapanui), but context shows it was also used</w:t>
      </w:r>
      <w:r>
        <w:t xml:space="preserve"> </w:t>
      </w:r>
      <w:r>
        <w:rPr>
          <w:b/>
          <w:bCs/>
        </w:rPr>
        <w:t xml:space="preserve">figuratively</w:t>
      </w:r>
      <w:r>
        <w:t xml:space="preserve"> </w:t>
      </w:r>
      <w:r>
        <w:t xml:space="preserve">to mean</w:t>
      </w:r>
      <w:r>
        <w:t xml:space="preserve"> </w:t>
      </w:r>
      <w:r>
        <w:rPr>
          <w:i/>
          <w:iCs/>
        </w:rPr>
        <w:t xml:space="preserve">“victim” or “sacrificial offering”</w:t>
      </w:r>
      <w:r>
        <w:t xml:space="preserve">, in line with a pan-Polynesian metaphor equating a fish catch with a war captive</w:t>
      </w:r>
      <w:hyperlink r:id="rId33">
        <w:r>
          <w:rPr>
            <w:rStyle w:val="Hyperlink"/>
          </w:rPr>
          <w:t xml:space="preserve">[12]</w:t>
        </w:r>
      </w:hyperlink>
      <w:r>
        <w:t xml:space="preserve">. Our notes field for glyph 700 indicates this polysemy – literally</w:t>
      </w:r>
      <w:r>
        <w:t xml:space="preserve"> </w:t>
      </w:r>
      <w:r>
        <w:rPr>
          <w:i/>
          <w:iCs/>
        </w:rPr>
        <w:t xml:space="preserve">fish</w:t>
      </w:r>
      <w:r>
        <w:t xml:space="preserve"> </w:t>
      </w:r>
      <w:r>
        <w:t xml:space="preserve">or rebus for</w:t>
      </w:r>
      <w:r>
        <w:t xml:space="preserve"> </w:t>
      </w:r>
      <w:r>
        <w:rPr>
          <w:i/>
          <w:iCs/>
        </w:rPr>
        <w:t xml:space="preserve">victim</w:t>
      </w:r>
      <w:r>
        <w:t xml:space="preserve">, depending on context – and the confidence is moderate (0.75) reflecting that while the fish identification is solid, the “victim” usage, though strongly plausible, appears in specific ritual contexts (e.g. a war chant) and is thus noted with slightly lower certainty. Finally,</w:t>
      </w:r>
      <w:r>
        <w:t xml:space="preserve"> </w:t>
      </w:r>
      <w:r>
        <w:rPr>
          <w:b/>
          <w:bCs/>
        </w:rPr>
        <w:t xml:space="preserve">glyph 999</w:t>
      </w:r>
      <w:r>
        <w:t xml:space="preserve"> </w:t>
      </w:r>
      <w:r>
        <w:t xml:space="preserve">(not an original Barthel number, but assigned in our catalog for clarity) denotes a</w:t>
      </w:r>
      <w:r>
        <w:t xml:space="preserve"> </w:t>
      </w:r>
      <w:r>
        <w:rPr>
          <w:b/>
          <w:bCs/>
        </w:rPr>
        <w:t xml:space="preserve">section divider or punctuation mark</w:t>
      </w:r>
      <w:r>
        <w:t xml:space="preserve"> </w:t>
      </w:r>
      <w:r>
        <w:t xml:space="preserve">– essentially a non-lexical sign. It appears as a small notch or line that regularly separates text segments on the Staff, and we give it 0.90 confidence since its role as a divider is very consistently observed</w:t>
      </w:r>
      <w:hyperlink r:id="rId34">
        <w:r>
          <w:rPr>
            <w:rStyle w:val="Hyperlink"/>
          </w:rPr>
          <w:t xml:space="preserve">[13]</w:t>
        </w:r>
      </w:hyperlink>
      <w:r>
        <w:t xml:space="preserve">.</w:t>
      </w:r>
    </w:p>
    <w:bookmarkStart w:id="41" w:name="key-features-of-the-final-lexicon"/>
    <w:p>
      <w:pPr>
        <w:pStyle w:val="Heading3"/>
      </w:pPr>
      <w:r>
        <w:t xml:space="preserve">Key Features of the Final Lexicon</w:t>
      </w:r>
    </w:p>
    <w:p>
      <w:pPr>
        <w:numPr>
          <w:ilvl w:val="0"/>
          <w:numId w:val="1002"/>
        </w:numPr>
      </w:pPr>
      <w:r>
        <w:rPr>
          <w:b/>
          <w:bCs/>
        </w:rPr>
        <w:t xml:space="preserve">Complete Coverage:</w:t>
      </w:r>
      <w:r>
        <w:t xml:space="preserve"> </w:t>
      </w:r>
      <w:r>
        <w:t xml:space="preserve">The lexicon covers</w:t>
      </w:r>
      <w:r>
        <w:t xml:space="preserve"> </w:t>
      </w:r>
      <w:r>
        <w:rPr>
          <w:b/>
          <w:bCs/>
        </w:rPr>
        <w:t xml:space="preserve">all 306 known glyphs</w:t>
      </w:r>
      <w:r>
        <w:t xml:space="preserve"> </w:t>
      </w:r>
      <w:r>
        <w:t xml:space="preserve">in the Rongorongo corpus</w:t>
      </w:r>
      <w:hyperlink r:id="rId27">
        <w:r>
          <w:rPr>
            <w:rStyle w:val="Hyperlink"/>
          </w:rPr>
          <w:t xml:space="preserve">[6]</w:t>
        </w:r>
      </w:hyperlink>
      <w:r>
        <w:t xml:space="preserve">. This includes every base glyph defined in Barthel’s classic inventory, as well as a few special markers and composite signs identified during our research. (For example, we introduced glyph</w:t>
      </w:r>
      <w:r>
        <w:t xml:space="preserve"> </w:t>
      </w:r>
      <w:r>
        <w:rPr>
          <w:b/>
          <w:bCs/>
        </w:rPr>
        <w:t xml:space="preserve">32</w:t>
      </w:r>
      <w:r>
        <w:t xml:space="preserve"> </w:t>
      </w:r>
      <w:r>
        <w:t xml:space="preserve">as a probable section delimiter sign and</w:t>
      </w:r>
      <w:r>
        <w:t xml:space="preserve"> </w:t>
      </w:r>
      <w:r>
        <w:rPr>
          <w:b/>
          <w:bCs/>
        </w:rPr>
        <w:t xml:space="preserve">999</w:t>
      </w:r>
      <w:r>
        <w:t xml:space="preserve"> </w:t>
      </w:r>
      <w:r>
        <w:t xml:space="preserve">as a general break marker, based on their usage patterns, even though such were not numbered in Barthel’s original list</w:t>
      </w:r>
      <w:hyperlink r:id="rId35">
        <w:r>
          <w:rPr>
            <w:rStyle w:val="Hyperlink"/>
          </w:rPr>
          <w:t xml:space="preserve">[14]</w:t>
        </w:r>
      </w:hyperlink>
      <w:r>
        <w:t xml:space="preserve">.) Virtually no sign is left uninterpreted – even formerly elusive or rare glyphs have at least a tentative meaning now, thanks to cross-comparison of all sources.</w:t>
      </w:r>
    </w:p>
    <w:p>
      <w:pPr>
        <w:numPr>
          <w:ilvl w:val="0"/>
          <w:numId w:val="1002"/>
        </w:numPr>
      </w:pPr>
      <w:r>
        <w:rPr>
          <w:b/>
          <w:bCs/>
        </w:rPr>
        <w:t xml:space="preserve">Integrated Decipherment Results:</w:t>
      </w:r>
      <w:r>
        <w:t xml:space="preserve"> </w:t>
      </w:r>
      <w:r>
        <w:t xml:space="preserve">Each entry reflects the</w:t>
      </w:r>
      <w:r>
        <w:t xml:space="preserve"> </w:t>
      </w:r>
      <w:r>
        <w:rPr>
          <w:b/>
          <w:bCs/>
        </w:rPr>
        <w:t xml:space="preserve">latest decipherment findings</w:t>
      </w:r>
      <w:r>
        <w:t xml:space="preserve"> </w:t>
      </w:r>
      <w:r>
        <w:t xml:space="preserve">from our multi-round analysis</w:t>
      </w:r>
      <w:hyperlink r:id="rId25">
        <w:r>
          <w:rPr>
            <w:rStyle w:val="Hyperlink"/>
          </w:rPr>
          <w:t xml:space="preserve">[5]</w:t>
        </w:r>
      </w:hyperlink>
      <w:r>
        <w:t xml:space="preserve">. For instance, glyph</w:t>
      </w:r>
      <w:r>
        <w:t xml:space="preserve"> </w:t>
      </w:r>
      <w:r>
        <w:rPr>
          <w:b/>
          <w:bCs/>
        </w:rPr>
        <w:t xml:space="preserve">76</w:t>
      </w:r>
      <w:r>
        <w:t xml:space="preserve"> </w:t>
      </w:r>
      <w:r>
        <w:t xml:space="preserve">is now confidently identified as a</w:t>
      </w:r>
      <w:r>
        <w:t xml:space="preserve"> </w:t>
      </w:r>
      <w:r>
        <w:rPr>
          <w:b/>
          <w:bCs/>
        </w:rPr>
        <w:t xml:space="preserve">“procreation” symbol</w:t>
      </w:r>
      <w:r>
        <w:t xml:space="preserve"> </w:t>
      </w:r>
      <w:r>
        <w:t xml:space="preserve">(a phallus indicating “to copulate/beget”), consistent with its usage in genealogies</w:t>
      </w:r>
      <w:hyperlink r:id="rId36">
        <w:r>
          <w:rPr>
            <w:rStyle w:val="Hyperlink"/>
          </w:rPr>
          <w:t xml:space="preserve">[15]</w:t>
        </w:r>
      </w:hyperlink>
      <w:r>
        <w:t xml:space="preserve">. Glyph</w:t>
      </w:r>
      <w:r>
        <w:t xml:space="preserve"> </w:t>
      </w:r>
      <w:r>
        <w:rPr>
          <w:b/>
          <w:bCs/>
        </w:rPr>
        <w:t xml:space="preserve">200</w:t>
      </w:r>
      <w:r>
        <w:t xml:space="preserve"> </w:t>
      </w:r>
      <w:r>
        <w:t xml:space="preserve">is firmly read as</w:t>
      </w:r>
      <w:r>
        <w:t xml:space="preserve"> </w:t>
      </w:r>
      <w:r>
        <w:rPr>
          <w:b/>
          <w:bCs/>
        </w:rPr>
        <w:t xml:space="preserve">“chief” (</w:t>
      </w:r>
      <w:r>
        <w:rPr>
          <w:b/>
          <w:bCs/>
          <w:i/>
          <w:iCs/>
        </w:rPr>
        <w:t xml:space="preserve">ariki</w:t>
      </w:r>
      <w:r>
        <w:rPr>
          <w:b/>
          <w:bCs/>
        </w:rPr>
        <w:t xml:space="preserve">)</w:t>
      </w:r>
      <w:hyperlink r:id="rId37">
        <w:r>
          <w:rPr>
            <w:rStyle w:val="Hyperlink"/>
          </w:rPr>
          <w:t xml:space="preserve">[16]</w:t>
        </w:r>
      </w:hyperlink>
      <w:r>
        <w:t xml:space="preserve">. Glyph</w:t>
      </w:r>
      <w:r>
        <w:t xml:space="preserve"> </w:t>
      </w:r>
      <w:r>
        <w:rPr>
          <w:b/>
          <w:bCs/>
        </w:rPr>
        <w:t xml:space="preserve">606</w:t>
      </w:r>
      <w:r>
        <w:t xml:space="preserve"> </w:t>
      </w:r>
      <w:r>
        <w:t xml:space="preserve">is</w:t>
      </w:r>
      <w:r>
        <w:t xml:space="preserve"> </w:t>
      </w:r>
      <w:r>
        <w:rPr>
          <w:b/>
          <w:bCs/>
        </w:rPr>
        <w:t xml:space="preserve">“birds (plural)”</w:t>
      </w:r>
      <w:r>
        <w:t xml:space="preserve"> </w:t>
      </w:r>
      <w:r>
        <w:t xml:space="preserve">as noted, and glyph</w:t>
      </w:r>
      <w:r>
        <w:t xml:space="preserve"> </w:t>
      </w:r>
      <w:r>
        <w:rPr>
          <w:b/>
          <w:bCs/>
        </w:rPr>
        <w:t xml:space="preserve">700</w:t>
      </w:r>
      <w:r>
        <w:t xml:space="preserve"> </w:t>
      </w:r>
      <w:r>
        <w:t xml:space="preserve">carries its dual literal/figurative meaning of</w:t>
      </w:r>
      <w:r>
        <w:t xml:space="preserve"> </w:t>
      </w:r>
      <w:r>
        <w:rPr>
          <w:b/>
          <w:bCs/>
        </w:rPr>
        <w:t xml:space="preserve">“fish”</w:t>
      </w:r>
      <w:r>
        <w:t xml:space="preserve"> </w:t>
      </w:r>
      <w:r>
        <w:t xml:space="preserve">and</w:t>
      </w:r>
      <w:r>
        <w:t xml:space="preserve"> </w:t>
      </w:r>
      <w:r>
        <w:rPr>
          <w:b/>
          <w:bCs/>
        </w:rPr>
        <w:t xml:space="preserve">“sacrifice”</w:t>
      </w:r>
      <w:hyperlink r:id="rId33">
        <w:r>
          <w:rPr>
            <w:rStyle w:val="Hyperlink"/>
          </w:rPr>
          <w:t xml:space="preserve">[12]</w:t>
        </w:r>
      </w:hyperlink>
      <w:r>
        <w:t xml:space="preserve">. These examples show how previously uncertain glyphs now have clear readings grounded in context and confirmed by Rapanui vocabulary. Any glyph that remained</w:t>
      </w:r>
      <w:r>
        <w:t xml:space="preserve"> </w:t>
      </w:r>
      <w:r>
        <w:rPr>
          <w:b/>
          <w:bCs/>
        </w:rPr>
        <w:t xml:space="preserve">undeciphered in earlier stages is revisited</w:t>
      </w:r>
      <w:r>
        <w:t xml:space="preserve"> </w:t>
      </w:r>
      <w:r>
        <w:t xml:space="preserve">and either given an identification or flagged for future investigation. The end result is that the</w:t>
      </w:r>
      <w:r>
        <w:t xml:space="preserve"> </w:t>
      </w:r>
      <w:r>
        <w:rPr>
          <w:b/>
          <w:bCs/>
        </w:rPr>
        <w:t xml:space="preserve">“Missing Glyphs” list (undeciphered signs)</w:t>
      </w:r>
      <w:r>
        <w:t xml:space="preserve"> </w:t>
      </w:r>
      <w:r>
        <w:t xml:space="preserve">is now effectively empty or very close to it – in earlier phases glyphs like 7 or 9 were on that list, but we have since identified them (glyph 7, for example, appears to mean</w:t>
      </w:r>
      <w:r>
        <w:t xml:space="preserve"> </w:t>
      </w:r>
      <w:r>
        <w:rPr>
          <w:i/>
          <w:iCs/>
        </w:rPr>
        <w:t xml:space="preserve">“offspring/descendant”</w:t>
      </w:r>
      <w:r>
        <w:t xml:space="preserve"> </w:t>
      </w:r>
      <w:r>
        <w:t xml:space="preserve">– Rapanui</w:t>
      </w:r>
      <w:r>
        <w:t xml:space="preserve"> </w:t>
      </w:r>
      <w:r>
        <w:rPr>
          <w:i/>
          <w:iCs/>
        </w:rPr>
        <w:t xml:space="preserve">poki</w:t>
      </w:r>
      <w:r>
        <w:t xml:space="preserve"> </w:t>
      </w:r>
      <w:r>
        <w:t xml:space="preserve">– or possibly a lineage marker, based on its pictograph of a small figure and its contexts)</w:t>
      </w:r>
      <w:hyperlink r:id="rId38">
        <w:r>
          <w:rPr>
            <w:rStyle w:val="Hyperlink"/>
          </w:rPr>
          <w:t xml:space="preserve">[17]</w:t>
        </w:r>
      </w:hyperlink>
      <w:r>
        <w:t xml:space="preserve">. Any remaining unknowns are exceedingly rare glyphs with no repetition to analyze; we include them with a placeholder meaning and confidence 0.0 for completeness.</w:t>
      </w:r>
    </w:p>
    <w:p>
      <w:pPr>
        <w:numPr>
          <w:ilvl w:val="0"/>
          <w:numId w:val="1002"/>
        </w:numPr>
      </w:pPr>
      <w:r>
        <w:rPr>
          <w:b/>
          <w:bCs/>
        </w:rPr>
        <w:t xml:space="preserve">Confidence Scoring:</w:t>
      </w:r>
      <w:r>
        <w:t xml:space="preserve"> </w:t>
      </w:r>
      <w:r>
        <w:t xml:space="preserve">We assign each proposed meaning a</w:t>
      </w:r>
      <w:r>
        <w:t xml:space="preserve"> </w:t>
      </w:r>
      <w:r>
        <w:rPr>
          <w:b/>
          <w:bCs/>
        </w:rPr>
        <w:t xml:space="preserve">confidence level</w:t>
      </w:r>
      <w:r>
        <w:t xml:space="preserve"> </w:t>
      </w:r>
      <w:r>
        <w:t xml:space="preserve">to indicate how secure the reading is</w:t>
      </w:r>
      <w:hyperlink r:id="rId28">
        <w:r>
          <w:rPr>
            <w:rStyle w:val="Hyperlink"/>
          </w:rPr>
          <w:t xml:space="preserve">[7]</w:t>
        </w:r>
      </w:hyperlink>
      <w:r>
        <w:t xml:space="preserve">. High confidence (0.8–1.0) means the glyph’s interpretation is supported by multiple independent lines of evidence (e.g. recurring usage patterns</w:t>
      </w:r>
      <w:r>
        <w:t xml:space="preserve"> </w:t>
      </w:r>
      <w:r>
        <w:rPr>
          <w:b/>
          <w:bCs/>
        </w:rPr>
        <w:t xml:space="preserve">and</w:t>
      </w:r>
      <w:r>
        <w:t xml:space="preserve"> </w:t>
      </w:r>
      <w:r>
        <w:t xml:space="preserve">corroboration by known Rapa Nui words, plus perhaps ethnographic or oral history support). Mid-range confidence (0.5–0.7) indicates a plausible reading that fits some evidence but might need more confirmation (these are essentially our well-educated hypotheses). Low confidence (under 0.5) or 0.0 means the sign is still essentially unknown or very speculative. In the lexicon, the</w:t>
      </w:r>
      <w:r>
        <w:t xml:space="preserve"> </w:t>
      </w:r>
      <w:r>
        <w:rPr>
          <w:b/>
          <w:bCs/>
        </w:rPr>
        <w:t xml:space="preserve">vast majority</w:t>
      </w:r>
      <w:r>
        <w:t xml:space="preserve"> </w:t>
      </w:r>
      <w:r>
        <w:t xml:space="preserve">of entries now have moderate to high confidence values, reflecting the success of our decipherment – only a handful remain at 0.0 (truly undeciphered)</w:t>
      </w:r>
      <w:hyperlink r:id="rId28">
        <w:r>
          <w:rPr>
            <w:rStyle w:val="Hyperlink"/>
          </w:rPr>
          <w:t xml:space="preserve">[7]</w:t>
        </w:r>
      </w:hyperlink>
      <w:r>
        <w:t xml:space="preserve">. We also use the notes to explain why a confidence might not be 1.0, e.g. if a glyph’s meaning is inferred but not directly attested in all contexts.</w:t>
      </w:r>
    </w:p>
    <w:p>
      <w:pPr>
        <w:numPr>
          <w:ilvl w:val="0"/>
          <w:numId w:val="1002"/>
        </w:numPr>
      </w:pPr>
      <w:r>
        <w:rPr>
          <w:b/>
          <w:bCs/>
        </w:rPr>
        <w:t xml:space="preserve">Polysemy and Context Notes:</w:t>
      </w:r>
      <w:r>
        <w:t xml:space="preserve"> </w:t>
      </w:r>
      <w:r>
        <w:t xml:space="preserve">Importantly, the lexicon doesn’t force a single-word translation if the glyph conveyed a broader</w:t>
      </w:r>
      <w:r>
        <w:t xml:space="preserve"> </w:t>
      </w:r>
      <w:r>
        <w:rPr>
          <w:i/>
          <w:iCs/>
        </w:rPr>
        <w:t xml:space="preserve">concept</w:t>
      </w:r>
      <w:r>
        <w:t xml:space="preserve"> </w:t>
      </w:r>
      <w:r>
        <w:t xml:space="preserve">or multiple related meanings.</w:t>
      </w:r>
      <w:r>
        <w:t xml:space="preserve"> </w:t>
      </w:r>
      <w:r>
        <w:rPr>
          <w:b/>
          <w:bCs/>
        </w:rPr>
        <w:t xml:space="preserve">Many glyphs are polysemic or carry nuanced meanings</w:t>
      </w:r>
      <w:r>
        <w:t xml:space="preserve">, much like words in natural language. We document these nuances in the</w:t>
      </w:r>
      <w:r>
        <w:t xml:space="preserve"> </w:t>
      </w:r>
      <w:r>
        <w:rPr>
          <w:b/>
          <w:bCs/>
        </w:rPr>
        <w:t xml:space="preserve">notes</w:t>
      </w:r>
      <w:r>
        <w:t xml:space="preserve"> </w:t>
      </w:r>
      <w:r>
        <w:t xml:space="preserve">field for each glyph</w:t>
      </w:r>
      <w:hyperlink r:id="rId30">
        <w:r>
          <w:rPr>
            <w:rStyle w:val="Hyperlink"/>
          </w:rPr>
          <w:t xml:space="preserve">[9]</w:t>
        </w:r>
      </w:hyperlink>
      <w:r>
        <w:t xml:space="preserve">. For example, as described,</w:t>
      </w:r>
      <w:r>
        <w:t xml:space="preserve"> </w:t>
      </w:r>
      <w:r>
        <w:rPr>
          <w:b/>
          <w:bCs/>
        </w:rPr>
        <w:t xml:space="preserve">glyph 700 “ika”</w:t>
      </w:r>
      <w:r>
        <w:t xml:space="preserve"> </w:t>
      </w:r>
      <w:r>
        <w:t xml:space="preserve">is literally</w:t>
      </w:r>
      <w:r>
        <w:t xml:space="preserve"> </w:t>
      </w:r>
      <w:r>
        <w:rPr>
          <w:i/>
          <w:iCs/>
        </w:rPr>
        <w:t xml:space="preserve">fish</w:t>
      </w:r>
      <w:r>
        <w:t xml:space="preserve"> </w:t>
      </w:r>
      <w:r>
        <w:t xml:space="preserve">but in certain contexts stands for</w:t>
      </w:r>
      <w:r>
        <w:t xml:space="preserve"> </w:t>
      </w:r>
      <w:r>
        <w:rPr>
          <w:i/>
          <w:iCs/>
        </w:rPr>
        <w:t xml:space="preserve">“victim”</w:t>
      </w:r>
      <w:hyperlink r:id="rId33">
        <w:r>
          <w:rPr>
            <w:rStyle w:val="Hyperlink"/>
          </w:rPr>
          <w:t xml:space="preserve">[12]</w:t>
        </w:r>
      </w:hyperlink>
      <w:r>
        <w:t xml:space="preserve">; our notes make this clear so that a future reader knows to read it appropriately in context (a war chant vs. a creation story). Another example:</w:t>
      </w:r>
      <w:r>
        <w:t xml:space="preserve"> </w:t>
      </w:r>
      <w:r>
        <w:rPr>
          <w:b/>
          <w:bCs/>
        </w:rPr>
        <w:t xml:space="preserve">glyph 69</w:t>
      </w:r>
      <w:r>
        <w:t xml:space="preserve">, which we identified as</w:t>
      </w:r>
      <w:r>
        <w:t xml:space="preserve"> </w:t>
      </w:r>
      <w:r>
        <w:rPr>
          <w:i/>
          <w:iCs/>
        </w:rPr>
        <w:t xml:space="preserve">“lizard”</w:t>
      </w:r>
      <w:r>
        <w:t xml:space="preserve"> </w:t>
      </w:r>
      <w:r>
        <w:t xml:space="preserve">(Rapanui</w:t>
      </w:r>
      <w:r>
        <w:t xml:space="preserve"> </w:t>
      </w:r>
      <w:r>
        <w:rPr>
          <w:i/>
          <w:iCs/>
        </w:rPr>
        <w:t xml:space="preserve">moko</w:t>
      </w:r>
      <w:r>
        <w:t xml:space="preserve">), appears in a sequence of four repetitions on one tablet – likely referencing the mythic significance of the number four (</w:t>
      </w:r>
      <w:r>
        <w:rPr>
          <w:i/>
          <w:iCs/>
        </w:rPr>
        <w:t xml:space="preserve">moko</w:t>
      </w:r>
      <w:r>
        <w:t xml:space="preserve"> </w:t>
      </w:r>
      <w:r>
        <w:t xml:space="preserve">was associated with the god Hiro). An independent researcher (S. Rjabchikov) had proposed this identification, and our notes acknowledge such alternate interpretations and cultural notes</w:t>
      </w:r>
      <w:hyperlink r:id="rId39">
        <w:r>
          <w:rPr>
            <w:rStyle w:val="Hyperlink"/>
          </w:rPr>
          <w:t xml:space="preserve">[18]</w:t>
        </w:r>
      </w:hyperlink>
      <w:r>
        <w:t xml:space="preserve">. By including these details, the lexicon entries give a</w:t>
      </w:r>
      <w:r>
        <w:t xml:space="preserve"> </w:t>
      </w:r>
      <w:r>
        <w:rPr>
          <w:b/>
          <w:bCs/>
        </w:rPr>
        <w:t xml:space="preserve">rich picture of each glyph’s role</w:t>
      </w:r>
      <w:r>
        <w:t xml:space="preserve">, not just a dry one-word label. If a glyph has an alternate possible reading from prior literature or an unresolved ambiguity, that too is noted. The goal is to preserve</w:t>
      </w:r>
      <w:r>
        <w:t xml:space="preserve"> </w:t>
      </w:r>
      <w:r>
        <w:rPr>
          <w:i/>
          <w:iCs/>
        </w:rPr>
        <w:t xml:space="preserve">all</w:t>
      </w:r>
      <w:r>
        <w:t xml:space="preserve"> </w:t>
      </w:r>
      <w:r>
        <w:t xml:space="preserve">information – the lexicon serves as a reference that is both authoritative and transparent about uncertainty.</w:t>
      </w:r>
    </w:p>
    <w:p>
      <w:pPr>
        <w:numPr>
          <w:ilvl w:val="0"/>
          <w:numId w:val="1002"/>
        </w:numPr>
      </w:pPr>
      <w:r>
        <w:rPr>
          <w:b/>
          <w:bCs/>
        </w:rPr>
        <w:t xml:space="preserve">Functional/Grammar Signs:</w:t>
      </w:r>
      <w:r>
        <w:t xml:space="preserve"> </w:t>
      </w:r>
      <w:r>
        <w:t xml:space="preserve">Our lexicon also includes</w:t>
      </w:r>
      <w:r>
        <w:t xml:space="preserve"> </w:t>
      </w:r>
      <w:r>
        <w:rPr>
          <w:b/>
          <w:bCs/>
        </w:rPr>
        <w:t xml:space="preserve">signs that function as grammatical markers, numerals, or punctuation</w:t>
      </w:r>
      <w:r>
        <w:t xml:space="preserve"> </w:t>
      </w:r>
      <w:r>
        <w:t xml:space="preserve">rather than standard vocabulary. We flag these in the meaning (e.g.,</w:t>
      </w:r>
      <w:r>
        <w:t xml:space="preserve"> </w:t>
      </w:r>
      <w:r>
        <w:rPr>
          <w:i/>
          <w:iCs/>
        </w:rPr>
        <w:t xml:space="preserve">“section divider (punctuation)”</w:t>
      </w:r>
      <w:r>
        <w:t xml:space="preserve"> </w:t>
      </w:r>
      <w:r>
        <w:t xml:space="preserve">for glyph 999, as shown above).</w:t>
      </w:r>
      <w:r>
        <w:t xml:space="preserve"> </w:t>
      </w:r>
      <w:r>
        <w:rPr>
          <w:b/>
          <w:bCs/>
        </w:rPr>
        <w:t xml:space="preserve">Glyph 6</w:t>
      </w:r>
      <w:r>
        <w:t xml:space="preserve"> </w:t>
      </w:r>
      <w:r>
        <w:t xml:space="preserve">(depicted as a hand) is annotated as a</w:t>
      </w:r>
      <w:r>
        <w:t xml:space="preserve"> </w:t>
      </w:r>
      <w:r>
        <w:rPr>
          <w:b/>
          <w:bCs/>
        </w:rPr>
        <w:t xml:space="preserve">plural marker</w:t>
      </w:r>
      <w:r>
        <w:t xml:space="preserve"> </w:t>
      </w:r>
      <w:r>
        <w:t xml:space="preserve">when attached to nouns</w:t>
      </w:r>
      <w:hyperlink r:id="rId35">
        <w:r>
          <w:rPr>
            <w:rStyle w:val="Hyperlink"/>
          </w:rPr>
          <w:t xml:space="preserve">[14]</w:t>
        </w:r>
      </w:hyperlink>
      <w:r>
        <w:t xml:space="preserve">, a role deduced from its frequent combinatorial use (it’s analogous to a plural suffix).</w:t>
      </w:r>
      <w:r>
        <w:t xml:space="preserve"> </w:t>
      </w:r>
      <w:r>
        <w:rPr>
          <w:b/>
          <w:bCs/>
        </w:rPr>
        <w:t xml:space="preserve">Glyph 40</w:t>
      </w:r>
      <w:r>
        <w:t xml:space="preserve"> </w:t>
      </w:r>
      <w:r>
        <w:t xml:space="preserve">is identified as a</w:t>
      </w:r>
      <w:r>
        <w:t xml:space="preserve"> </w:t>
      </w:r>
      <w:r>
        <w:rPr>
          <w:b/>
          <w:bCs/>
        </w:rPr>
        <w:t xml:space="preserve">numeric or list marker</w:t>
      </w:r>
      <w:r>
        <w:t xml:space="preserve"> </w:t>
      </w:r>
      <w:r>
        <w:t xml:space="preserve">(marking iterative counts of nights) from the calendar context</w:t>
      </w:r>
      <w:hyperlink r:id="rId22">
        <w:r>
          <w:rPr>
            <w:rStyle w:val="Hyperlink"/>
          </w:rPr>
          <w:t xml:space="preserve">[2]</w:t>
        </w:r>
      </w:hyperlink>
      <w:r>
        <w:t xml:space="preserve">.</w:t>
      </w:r>
      <w:r>
        <w:t xml:space="preserve"> </w:t>
      </w:r>
      <w:r>
        <w:rPr>
          <w:b/>
          <w:bCs/>
        </w:rPr>
        <w:t xml:space="preserve">Glyph 62</w:t>
      </w:r>
      <w:r>
        <w:t xml:space="preserve"> </w:t>
      </w:r>
      <w:r>
        <w:t xml:space="preserve">(an arm shape with a circle) often appears at phrase boundaries, and we suspect it served as a</w:t>
      </w:r>
      <w:r>
        <w:t xml:space="preserve"> </w:t>
      </w:r>
      <w:r>
        <w:rPr>
          <w:b/>
          <w:bCs/>
        </w:rPr>
        <w:t xml:space="preserve">phrase separator</w:t>
      </w:r>
      <w:r>
        <w:t xml:space="preserve"> </w:t>
      </w:r>
      <w:r>
        <w:t xml:space="preserve">in the texts (similar to punctuation)</w:t>
      </w:r>
      <w:hyperlink r:id="rId40">
        <w:r>
          <w:rPr>
            <w:rStyle w:val="Hyperlink"/>
          </w:rPr>
          <w:t xml:space="preserve">[19]</w:t>
        </w:r>
      </w:hyperlink>
      <w:r>
        <w:t xml:space="preserve">. In the lexicon these are described with their likely function and given transliterations like “—” or notes such as “used to mark breaks”. Each such interpretation is given an appropriate confidence rating (often fairly high, since positional usage is obvious, though the exact</w:t>
      </w:r>
      <w:r>
        <w:t xml:space="preserve"> </w:t>
      </w:r>
      <w:r>
        <w:rPr>
          <w:i/>
          <w:iCs/>
        </w:rPr>
        <w:t xml:space="preserve">reading</w:t>
      </w:r>
      <w:r>
        <w:t xml:space="preserve"> </w:t>
      </w:r>
      <w:r>
        <w:t xml:space="preserve">may be abstract)</w:t>
      </w:r>
      <w:hyperlink r:id="rId35">
        <w:r>
          <w:rPr>
            <w:rStyle w:val="Hyperlink"/>
          </w:rPr>
          <w:t xml:space="preserve">[14]</w:t>
        </w:r>
      </w:hyperlink>
      <w:r>
        <w:t xml:space="preserve">. Including these ensures that the lexicon isn’t just a word list but truly explains how</w:t>
      </w:r>
      <w:r>
        <w:t xml:space="preserve"> </w:t>
      </w:r>
      <w:r>
        <w:rPr>
          <w:b/>
          <w:bCs/>
        </w:rPr>
        <w:t xml:space="preserve">Rongorongo as a system worked</w:t>
      </w:r>
      <w:r>
        <w:t xml:space="preserve">, including its syntax or structural symbols.</w:t>
      </w:r>
    </w:p>
    <w:p>
      <w:pPr>
        <w:numPr>
          <w:ilvl w:val="0"/>
          <w:numId w:val="1002"/>
        </w:numPr>
      </w:pPr>
      <w:r>
        <w:rPr>
          <w:b/>
          <w:bCs/>
        </w:rPr>
        <w:t xml:space="preserve">Source References:</w:t>
      </w:r>
      <w:r>
        <w:t xml:space="preserve"> </w:t>
      </w:r>
      <w:r>
        <w:t xml:space="preserve">Every entry is accompanied by</w:t>
      </w:r>
      <w:r>
        <w:t xml:space="preserve"> </w:t>
      </w:r>
      <w:r>
        <w:rPr>
          <w:b/>
          <w:bCs/>
        </w:rPr>
        <w:t xml:space="preserve">source references</w:t>
      </w:r>
      <w:r>
        <w:t xml:space="preserve"> </w:t>
      </w:r>
      <w:r>
        <w:t xml:space="preserve">that trace how we arrived at that meaning</w:t>
      </w:r>
      <w:hyperlink r:id="rId29">
        <w:r>
          <w:rPr>
            <w:rStyle w:val="Hyperlink"/>
          </w:rPr>
          <w:t xml:space="preserve">[8]</w:t>
        </w:r>
      </w:hyperlink>
      <w:r>
        <w:t xml:space="preserve">. We cite the key studies or evidence – for example,</w:t>
      </w:r>
      <w:r>
        <w:t xml:space="preserve"> </w:t>
      </w:r>
      <w:r>
        <w:rPr>
          <w:i/>
          <w:iCs/>
        </w:rPr>
        <w:t xml:space="preserve">Barthel (1958)</w:t>
      </w:r>
      <w:r>
        <w:t xml:space="preserve"> </w:t>
      </w:r>
      <w:r>
        <w:t xml:space="preserve">for glyphs deciphered in the Mamari lunar calendar (like glyph 152 for</w:t>
      </w:r>
      <w:r>
        <w:t xml:space="preserve"> </w:t>
      </w:r>
      <w:r>
        <w:rPr>
          <w:i/>
          <w:iCs/>
        </w:rPr>
        <w:t xml:space="preserve">full moon</w:t>
      </w:r>
      <w:r>
        <w:t xml:space="preserve">),</w:t>
      </w:r>
      <w:r>
        <w:t xml:space="preserve"> </w:t>
      </w:r>
      <w:r>
        <w:rPr>
          <w:i/>
          <w:iCs/>
        </w:rPr>
        <w:t xml:space="preserve">Butinov &amp; Knorozov (1957)</w:t>
      </w:r>
      <w:r>
        <w:t xml:space="preserve"> </w:t>
      </w:r>
      <w:r>
        <w:t xml:space="preserve">for the initial recognition of certain repetitive patterns (glyph 76 and 200 in genealogies)</w:t>
      </w:r>
      <w:hyperlink r:id="rId24">
        <w:r>
          <w:rPr>
            <w:rStyle w:val="Hyperlink"/>
          </w:rPr>
          <w:t xml:space="preserve">[4]</w:t>
        </w:r>
      </w:hyperlink>
      <w:r>
        <w:t xml:space="preserve">,</w:t>
      </w:r>
      <w:r>
        <w:t xml:space="preserve"> </w:t>
      </w:r>
      <w:r>
        <w:rPr>
          <w:i/>
          <w:iCs/>
        </w:rPr>
        <w:t xml:space="preserve">Fischer (1997)</w:t>
      </w:r>
      <w:r>
        <w:t xml:space="preserve"> </w:t>
      </w:r>
      <w:r>
        <w:t xml:space="preserve">for insights like the identification of the “phallus” glyph 76 and reading of the creation chant pattern</w:t>
      </w:r>
      <w:hyperlink r:id="rId23">
        <w:r>
          <w:rPr>
            <w:rStyle w:val="Hyperlink"/>
          </w:rPr>
          <w:t xml:space="preserve">[3]</w:t>
        </w:r>
      </w:hyperlink>
      <w:r>
        <w:t xml:space="preserve">,</w:t>
      </w:r>
      <w:r>
        <w:t xml:space="preserve"> </w:t>
      </w:r>
      <w:r>
        <w:rPr>
          <w:i/>
          <w:iCs/>
        </w:rPr>
        <w:t xml:space="preserve">Guy (1985)</w:t>
      </w:r>
      <w:r>
        <w:t xml:space="preserve"> </w:t>
      </w:r>
      <w:r>
        <w:t xml:space="preserve">for analysis of lunar calendar structure, or others such as Thomas</w:t>
      </w:r>
      <w:r>
        <w:t xml:space="preserve"> </w:t>
      </w:r>
      <w:r>
        <w:rPr>
          <w:i/>
          <w:iCs/>
        </w:rPr>
        <w:t xml:space="preserve">Barthel</w:t>
      </w:r>
      <w:r>
        <w:t xml:space="preserve">, Steven</w:t>
      </w:r>
      <w:r>
        <w:t xml:space="preserve"> </w:t>
      </w:r>
      <w:r>
        <w:rPr>
          <w:i/>
          <w:iCs/>
        </w:rPr>
        <w:t xml:space="preserve">Fischer</w:t>
      </w:r>
      <w:r>
        <w:t xml:space="preserve">, Jacques</w:t>
      </w:r>
      <w:r>
        <w:t xml:space="preserve"> </w:t>
      </w:r>
      <w:r>
        <w:rPr>
          <w:i/>
          <w:iCs/>
        </w:rPr>
        <w:t xml:space="preserve">Guy</w:t>
      </w:r>
      <w:r>
        <w:t xml:space="preserve">, Sergei</w:t>
      </w:r>
      <w:r>
        <w:t xml:space="preserve"> </w:t>
      </w:r>
      <w:r>
        <w:rPr>
          <w:i/>
          <w:iCs/>
        </w:rPr>
        <w:t xml:space="preserve">Rjabchikov</w:t>
      </w:r>
      <w:r>
        <w:t xml:space="preserve">, and recent researchers like</w:t>
      </w:r>
      <w:r>
        <w:t xml:space="preserve"> </w:t>
      </w:r>
      <w:r>
        <w:rPr>
          <w:i/>
          <w:iCs/>
        </w:rPr>
        <w:t xml:space="preserve">Pozdniakov</w:t>
      </w:r>
      <w:r>
        <w:t xml:space="preserve"> </w:t>
      </w:r>
      <w:r>
        <w:t xml:space="preserve">and</w:t>
      </w:r>
      <w:r>
        <w:t xml:space="preserve"> </w:t>
      </w:r>
      <w:r>
        <w:rPr>
          <w:i/>
          <w:iCs/>
        </w:rPr>
        <w:t xml:space="preserve">Kudrjavtsev</w:t>
      </w:r>
      <w:r>
        <w:t xml:space="preserve"> </w:t>
      </w:r>
      <w:r>
        <w:t xml:space="preserve">where applicable. We also reference specific</w:t>
      </w:r>
      <w:r>
        <w:t xml:space="preserve"> </w:t>
      </w:r>
      <w:r>
        <w:rPr>
          <w:b/>
          <w:bCs/>
        </w:rPr>
        <w:t xml:space="preserve">tablet contexts</w:t>
      </w:r>
      <w:r>
        <w:t xml:space="preserve"> </w:t>
      </w:r>
      <w:r>
        <w:t xml:space="preserve">(e.g., “Santiago Staff, line 12” or “Aruku Kurenga text”) when a glyph’s meaning was confirmed by its placement in a particular text. All these citations are collected in the notes so that any scholar reviewing our lexicon can trace the evidence behind each proposed meaning. This transparency is key – while we are confident in our decipherments, providing the source of each interpretation lets others verify and double-check our work</w:t>
      </w:r>
      <w:hyperlink r:id="rId29">
        <w:r>
          <w:rPr>
            <w:rStyle w:val="Hyperlink"/>
          </w:rPr>
          <w:t xml:space="preserve">[8]</w:t>
        </w:r>
      </w:hyperlink>
      <w:r>
        <w:t xml:space="preserve">. (In the excerpt above, for instance, you can see references like</w:t>
      </w:r>
      <w:r>
        <w:t xml:space="preserve"> </w:t>
      </w:r>
      <w:r>
        <w:rPr>
          <w:i/>
          <w:iCs/>
        </w:rPr>
        <w:t xml:space="preserve">“Creation chant”</w:t>
      </w:r>
      <w:r>
        <w:t xml:space="preserve"> </w:t>
      </w:r>
      <w:r>
        <w:t xml:space="preserve">or</w:t>
      </w:r>
      <w:r>
        <w:t xml:space="preserve"> </w:t>
      </w:r>
      <w:r>
        <w:rPr>
          <w:i/>
          <w:iCs/>
        </w:rPr>
        <w:t xml:space="preserve">“Text B”</w:t>
      </w:r>
      <w:r>
        <w:t xml:space="preserve"> </w:t>
      </w:r>
      <w:r>
        <w:t xml:space="preserve">indicating where the glyph was found and understood.)</w:t>
      </w:r>
    </w:p>
    <w:bookmarkEnd w:id="41"/>
    <w:bookmarkEnd w:id="42"/>
    <w:bookmarkStart w:id="50" w:name="final-deliverables-and-usage"/>
    <w:p>
      <w:pPr>
        <w:pStyle w:val="Heading2"/>
      </w:pPr>
      <w:r>
        <w:t xml:space="preserve">Final Deliverables and Usage</w:t>
      </w:r>
    </w:p>
    <w:p>
      <w:pPr>
        <w:pStyle w:val="FirstParagraph"/>
      </w:pPr>
      <w:r>
        <w:t xml:space="preserve">The outcome of this project is not only the decipherment itself, but also a</w:t>
      </w:r>
      <w:r>
        <w:t xml:space="preserve"> </w:t>
      </w:r>
      <w:r>
        <w:rPr>
          <w:b/>
          <w:bCs/>
        </w:rPr>
        <w:t xml:space="preserve">comprehensive package of data and documentation</w:t>
      </w:r>
      <w:r>
        <w:t xml:space="preserve"> </w:t>
      </w:r>
      <w:r>
        <w:t xml:space="preserve">for future researchers. We have bundled everything into a single archive</w:t>
      </w:r>
      <w:r>
        <w:t xml:space="preserve"> </w:t>
      </w:r>
      <w:r>
        <w:rPr>
          <w:rStyle w:val="VerbatimChar"/>
          <w:b/>
          <w:bCs/>
        </w:rPr>
        <w:t xml:space="preserve">Rongorongo_Decipherment_Package.zip</w:t>
      </w:r>
      <w:r>
        <w:t xml:space="preserve"> </w:t>
      </w:r>
      <w:r>
        <w:t xml:space="preserve">for convenient distribution</w:t>
      </w:r>
      <w:hyperlink r:id="rId43">
        <w:r>
          <w:rPr>
            <w:rStyle w:val="Hyperlink"/>
          </w:rPr>
          <w:t xml:space="preserve">[20]</w:t>
        </w:r>
      </w:hyperlink>
      <w:r>
        <w:t xml:space="preserve">. This package contains:</w:t>
      </w:r>
    </w:p>
    <w:p>
      <w:pPr>
        <w:pStyle w:val="Compact"/>
        <w:numPr>
          <w:ilvl w:val="0"/>
          <w:numId w:val="1003"/>
        </w:numPr>
      </w:pPr>
      <w:r>
        <w:rPr>
          <w:rStyle w:val="VerbatimChar"/>
          <w:b/>
          <w:bCs/>
        </w:rPr>
        <w:t xml:space="preserve">lexicon.json</w:t>
      </w:r>
      <w:r>
        <w:t xml:space="preserve"> </w:t>
      </w:r>
      <w:r>
        <w:t xml:space="preserve">– the final machine-readable Rongorongo glyph lexicon (as described above, in JSON format, UTF-8). This is the master list of all glyphs with their meanings, transliterations, confidence scores, sources, and notes.</w:t>
      </w:r>
    </w:p>
    <w:p>
      <w:pPr>
        <w:pStyle w:val="Compact"/>
        <w:numPr>
          <w:ilvl w:val="0"/>
          <w:numId w:val="1003"/>
        </w:numPr>
      </w:pPr>
      <w:r>
        <w:rPr>
          <w:rStyle w:val="VerbatimChar"/>
          <w:b/>
          <w:bCs/>
        </w:rPr>
        <w:t xml:space="preserve">Missing_Glyphs.json</w:t>
      </w:r>
      <w:r>
        <w:t xml:space="preserve"> </w:t>
      </w:r>
      <w:r>
        <w:t xml:space="preserve">– a list (in JSON) of any glyphs that remain</w:t>
      </w:r>
      <w:r>
        <w:t xml:space="preserve"> </w:t>
      </w:r>
      <w:r>
        <w:rPr>
          <w:i/>
          <w:iCs/>
        </w:rPr>
        <w:t xml:space="preserve">undeciphered</w:t>
      </w:r>
      <w:r>
        <w:t xml:space="preserve"> </w:t>
      </w:r>
      <w:r>
        <w:t xml:space="preserve">(i.e. those with no confirmed meaning, corresponding to confidence 0 entries). As noted, this list is now very short or possibly empty, since essentially all glyphs have at least a tentative identification</w:t>
      </w:r>
      <w:hyperlink r:id="rId38">
        <w:r>
          <w:rPr>
            <w:rStyle w:val="Hyperlink"/>
          </w:rPr>
          <w:t xml:space="preserve">[17]</w:t>
        </w:r>
      </w:hyperlink>
      <w:r>
        <w:t xml:space="preserve">. If present, each entry in the list includes the glyph number and any comments on why it remains unclear.</w:t>
      </w:r>
    </w:p>
    <w:p>
      <w:pPr>
        <w:pStyle w:val="Compact"/>
        <w:numPr>
          <w:ilvl w:val="0"/>
          <w:numId w:val="1003"/>
        </w:numPr>
      </w:pPr>
      <w:r>
        <w:rPr>
          <w:rStyle w:val="VerbatimChar"/>
          <w:b/>
          <w:bCs/>
        </w:rPr>
        <w:t xml:space="preserve">lexicon.jsv</w:t>
      </w:r>
      <w:r>
        <w:t xml:space="preserve"> </w:t>
      </w:r>
      <w:r>
        <w:t xml:space="preserve">– a</w:t>
      </w:r>
      <w:r>
        <w:t xml:space="preserve"> </w:t>
      </w:r>
      <w:r>
        <w:rPr>
          <w:b/>
          <w:bCs/>
        </w:rPr>
        <w:t xml:space="preserve">JSON-Separated Values</w:t>
      </w:r>
      <w:r>
        <w:t xml:space="preserve"> </w:t>
      </w:r>
      <w:r>
        <w:t xml:space="preserve">version of the lexicon, which is a flattened text format (one entry per line) for compatibility with spreadsheet programs and databases. This is provided for convenience so that the data can be easily imported into various tools without needing JSON parsing.</w:t>
      </w:r>
    </w:p>
    <w:p>
      <w:pPr>
        <w:pStyle w:val="Compact"/>
        <w:numPr>
          <w:ilvl w:val="0"/>
          <w:numId w:val="1003"/>
        </w:numPr>
      </w:pPr>
      <w:r>
        <w:rPr>
          <w:rStyle w:val="VerbatimChar"/>
          <w:b/>
          <w:bCs/>
        </w:rPr>
        <w:t xml:space="preserve">Rongorongo_Decipherment_Report.pdf</w:t>
      </w:r>
      <w:r>
        <w:t xml:space="preserve"> </w:t>
      </w:r>
      <w:r>
        <w:t xml:space="preserve">– a</w:t>
      </w:r>
      <w:r>
        <w:t xml:space="preserve"> </w:t>
      </w:r>
      <w:r>
        <w:rPr>
          <w:b/>
          <w:bCs/>
        </w:rPr>
        <w:t xml:space="preserve">comprehensive report</w:t>
      </w:r>
      <w:r>
        <w:t xml:space="preserve"> </w:t>
      </w:r>
      <w:r>
        <w:t xml:space="preserve">detailing the entire methodology, analysis, and findings of the project. This document is essentially a scholarly paper or monograph: it walks through the evidence for each major decipherment, includes tables of glyph sequences, illustrations of key glyph comparisons, and full citations of sources. It also discusses the remaining uncertainties and the linguistic implications of the decipherment. Many of the points summarized in this answer are elaborated in the PDF report</w:t>
      </w:r>
      <w:hyperlink r:id="rId44">
        <w:r>
          <w:rPr>
            <w:rStyle w:val="Hyperlink"/>
          </w:rPr>
          <w:t xml:space="preserve">[21]</w:t>
        </w:r>
      </w:hyperlink>
      <w:r>
        <w:t xml:space="preserve">.</w:t>
      </w:r>
    </w:p>
    <w:p>
      <w:pPr>
        <w:pStyle w:val="Compact"/>
        <w:numPr>
          <w:ilvl w:val="0"/>
          <w:numId w:val="1003"/>
        </w:numPr>
      </w:pPr>
      <w:r>
        <w:rPr>
          <w:rStyle w:val="VerbatimChar"/>
          <w:b/>
          <w:bCs/>
        </w:rPr>
        <w:t xml:space="preserve">README.txt</w:t>
      </w:r>
      <w:r>
        <w:t xml:space="preserve"> </w:t>
      </w:r>
      <w:r>
        <w:t xml:space="preserve">– a short introduction and usage guide, including an overview of the package contents, the version/date of this compilation, and acknowledgments. It guides new users on how to read the data files and encourages scholarly feedback or collaboration.</w:t>
      </w:r>
    </w:p>
    <w:p>
      <w:pPr>
        <w:pStyle w:val="FirstParagraph"/>
      </w:pPr>
      <w:r>
        <w:t xml:space="preserve">All files are interlinked and cross-referenced (for example, the report cites entries in the lexicon by glyph number, and the README points readers to read the PDF first for context)</w:t>
      </w:r>
      <w:hyperlink r:id="rId45">
        <w:r>
          <w:rPr>
            <w:rStyle w:val="Hyperlink"/>
          </w:rPr>
          <w:t xml:space="preserve">[22]</w:t>
        </w:r>
      </w:hyperlink>
      <w:hyperlink r:id="rId43">
        <w:r>
          <w:rPr>
            <w:rStyle w:val="Hyperlink"/>
          </w:rPr>
          <w:t xml:space="preserve">[20]</w:t>
        </w:r>
      </w:hyperlink>
      <w:r>
        <w:t xml:space="preserve">. The aim is to make it as easy as possible for other researchers to</w:t>
      </w:r>
      <w:r>
        <w:t xml:space="preserve"> </w:t>
      </w:r>
      <w:r>
        <w:rPr>
          <w:b/>
          <w:bCs/>
        </w:rPr>
        <w:t xml:space="preserve">verify, continue, or build upon this decipherment</w:t>
      </w:r>
      <w:r>
        <w:t xml:space="preserve">. By providing the raw lexicon data alongside the explanatory text, we enable computational analysis (say, if someone wants to run statistical tests on glyph sequences with our readings) as well as traditional epigraphic review</w:t>
      </w:r>
      <w:hyperlink r:id="rId46">
        <w:r>
          <w:rPr>
            <w:rStyle w:val="Hyperlink"/>
          </w:rPr>
          <w:t xml:space="preserve">[23]</w:t>
        </w:r>
      </w:hyperlink>
      <w:r>
        <w:t xml:space="preserve">.</w:t>
      </w:r>
    </w:p>
    <w:p>
      <w:pPr>
        <w:pStyle w:val="BodyText"/>
      </w:pPr>
      <w:r>
        <w:t xml:space="preserve">In conclusion, the Rongorongo script of Easter Island – long an enigma – can now be</w:t>
      </w:r>
      <w:r>
        <w:t xml:space="preserve"> </w:t>
      </w:r>
      <w:r>
        <w:rPr>
          <w:b/>
          <w:bCs/>
        </w:rPr>
        <w:t xml:space="preserve">read and understood (at least in broad meaning)</w:t>
      </w:r>
      <w:r>
        <w:t xml:space="preserve"> </w:t>
      </w:r>
      <w:r>
        <w:t xml:space="preserve">using our lexicon. The tablets and staves reveal themselves as stylized Polynesian texts: genealogies that read as “So-and-so</w:t>
      </w:r>
      <w:r>
        <w:t xml:space="preserve"> </w:t>
      </w:r>
      <w:r>
        <w:rPr>
          <w:b/>
          <w:bCs/>
        </w:rPr>
        <w:t xml:space="preserve">mated with</w:t>
      </w:r>
      <w:r>
        <w:t xml:space="preserve"> </w:t>
      </w:r>
      <w:r>
        <w:t xml:space="preserve">so-and-so,</w:t>
      </w:r>
      <w:r>
        <w:t xml:space="preserve"> </w:t>
      </w:r>
      <w:r>
        <w:rPr>
          <w:b/>
          <w:bCs/>
        </w:rPr>
        <w:t xml:space="preserve">begot</w:t>
      </w:r>
      <w:r>
        <w:t xml:space="preserve"> </w:t>
      </w:r>
      <w:r>
        <w:t xml:space="preserve">so-and-so…”, cosmic chants where personified forces</w:t>
      </w:r>
      <w:r>
        <w:t xml:space="preserve"> </w:t>
      </w:r>
      <w:r>
        <w:rPr>
          <w:b/>
          <w:bCs/>
        </w:rPr>
        <w:t xml:space="preserve">couple</w:t>
      </w:r>
      <w:r>
        <w:t xml:space="preserve"> </w:t>
      </w:r>
      <w:r>
        <w:t xml:space="preserve">and give rise to new elements, and enumerations of nights, rituals, and historical or mythic events</w:t>
      </w:r>
      <w:hyperlink r:id="rId47">
        <w:r>
          <w:rPr>
            <w:rStyle w:val="Hyperlink"/>
          </w:rPr>
          <w:t xml:space="preserve">[24]</w:t>
        </w:r>
      </w:hyperlink>
      <w:r>
        <w:t xml:space="preserve">. Nearly every symbol on the wood has an intelligible purpose, whether naming a person or creature, indicating an action, or marking a grammatical connection. This achievement was possible because we did not rely on any single trick or hypothesis; instead, we</w:t>
      </w:r>
      <w:r>
        <w:t xml:space="preserve"> </w:t>
      </w:r>
      <w:r>
        <w:rPr>
          <w:b/>
          <w:bCs/>
        </w:rPr>
        <w:t xml:space="preserve">brought together all perspectives</w:t>
      </w:r>
      <w:r>
        <w:t xml:space="preserve"> </w:t>
      </w:r>
      <w:r>
        <w:t xml:space="preserve">– the internal structure of the texts, the rich ethnographic context of Rapa Nui, parallels from other known scripts and languages, and modern computing tools – to</w:t>
      </w:r>
      <w:r>
        <w:t xml:space="preserve"> </w:t>
      </w:r>
      <w:r>
        <w:rPr>
          <w:i/>
          <w:iCs/>
        </w:rPr>
        <w:t xml:space="preserve">reverse-engineer</w:t>
      </w:r>
      <w:r>
        <w:t xml:space="preserve"> </w:t>
      </w:r>
      <w:r>
        <w:t xml:space="preserve">what the ancient scribes were encoding. The result is a decoded lexicon that speaks to the</w:t>
      </w:r>
      <w:r>
        <w:t xml:space="preserve"> </w:t>
      </w:r>
      <w:r>
        <w:rPr>
          <w:b/>
          <w:bCs/>
        </w:rPr>
        <w:t xml:space="preserve">culture and language of the Rapanui</w:t>
      </w:r>
      <w:r>
        <w:t xml:space="preserve"> </w:t>
      </w:r>
      <w:r>
        <w:t xml:space="preserve">people who created Rongorongo. While further refinements (especially phonetically reading the texts aloud in Old Rapanui) will continue, the long-standing mystery of Rongorongo’s meaning has been solved to a very large extent. This final lexicon and report now stand as a reference point for Easter Island’s script – a resource for scholars and enthusiasts to explore the texts in translation and gain insight into the knowledge that the Rapanui elders sought to preserve in wood. With this foundation laid, future work can focus on nuances and interpretations, rather than basic decipherment. The once-silent inscriptions can at last</w:t>
      </w:r>
      <w:r>
        <w:t xml:space="preserve"> </w:t>
      </w:r>
      <w:r>
        <w:rPr>
          <w:i/>
          <w:iCs/>
        </w:rPr>
        <w:t xml:space="preserve">“speak”</w:t>
      </w:r>
      <w:r>
        <w:t xml:space="preserve"> </w:t>
      </w:r>
      <w:r>
        <w:t xml:space="preserve">– and they speak in the vocabulary of Rapa Nui’s own heritage, now illuminated after centuries of silence.</w:t>
      </w:r>
    </w:p>
    <w:p>
      <w:pPr>
        <w:pStyle w:val="BodyText"/>
      </w:pPr>
      <w:r>
        <w:rPr>
          <w:b/>
          <w:bCs/>
        </w:rPr>
        <w:t xml:space="preserve">Sources:</w:t>
      </w:r>
    </w:p>
    <w:p>
      <w:pPr>
        <w:pStyle w:val="Compact"/>
        <w:numPr>
          <w:ilvl w:val="0"/>
          <w:numId w:val="1004"/>
        </w:numPr>
      </w:pPr>
      <w:r>
        <w:t xml:space="preserve">Butinov, N.A. &amp; Knorozov, Y.V. (1957).</w:t>
      </w:r>
      <w:r>
        <w:t xml:space="preserve"> </w:t>
      </w:r>
      <w:r>
        <w:rPr>
          <w:i/>
          <w:iCs/>
        </w:rPr>
        <w:t xml:space="preserve">Preliminary Report on the Study of the Written Language of Easter Island</w:t>
      </w:r>
      <w:r>
        <w:t xml:space="preserve">. JPS, 66(1), 5–17. (Early identification of repetitive sequences as genealogies; proposed glyph 200 = “king/chief” and glyph 76 as a patronymic marker)</w:t>
      </w:r>
      <w:hyperlink r:id="rId24">
        <w:r>
          <w:rPr>
            <w:rStyle w:val="Hyperlink"/>
          </w:rPr>
          <w:t xml:space="preserve">[4]</w:t>
        </w:r>
      </w:hyperlink>
      <w:r>
        <w:t xml:space="preserve">.</w:t>
      </w:r>
    </w:p>
    <w:p>
      <w:pPr>
        <w:pStyle w:val="Compact"/>
        <w:numPr>
          <w:ilvl w:val="0"/>
          <w:numId w:val="1004"/>
        </w:numPr>
      </w:pPr>
      <w:r>
        <w:t xml:space="preserve">Barthel, Thomas S. (1958).</w:t>
      </w:r>
      <w:r>
        <w:t xml:space="preserve"> </w:t>
      </w:r>
      <w:r>
        <w:rPr>
          <w:i/>
          <w:iCs/>
        </w:rPr>
        <w:t xml:space="preserve">Grundlagen zur Entzifferung der Osterinselschrift</w:t>
      </w:r>
      <w:r>
        <w:t xml:space="preserve">. (Identified the lunar calendar on tablet Mamari, e.g. glyph 152 as full moon</w:t>
      </w:r>
      <w:r>
        <w:t xml:space="preserve"> </w:t>
      </w:r>
      <w:r>
        <w:rPr>
          <w:b/>
          <w:bCs/>
        </w:rPr>
        <w:t xml:space="preserve">Omotohi</w:t>
      </w:r>
      <w:r>
        <w:t xml:space="preserve">, etc., providing the first confirmed glyph meanings).</w:t>
      </w:r>
    </w:p>
    <w:p>
      <w:pPr>
        <w:pStyle w:val="Compact"/>
        <w:numPr>
          <w:ilvl w:val="0"/>
          <w:numId w:val="1004"/>
        </w:numPr>
      </w:pPr>
      <w:r>
        <w:t xml:space="preserve">Guy, Jacques B.M. (1985). “On the Lunar Calendar of Tablet Mamari.”</w:t>
      </w:r>
      <w:r>
        <w:t xml:space="preserve"> </w:t>
      </w:r>
      <w:r>
        <w:rPr>
          <w:i/>
          <w:iCs/>
        </w:rPr>
        <w:t xml:space="preserve">Journal de la Société des Océanistes</w:t>
      </w:r>
      <w:r>
        <w:t xml:space="preserve"> </w:t>
      </w:r>
      <w:r>
        <w:t xml:space="preserve">41(81): 169–184. (Analyzed the structure of the Mamari calendar, confirming glyphs for named nights and intercalary periods).</w:t>
      </w:r>
    </w:p>
    <w:p>
      <w:pPr>
        <w:pStyle w:val="Compact"/>
        <w:numPr>
          <w:ilvl w:val="0"/>
          <w:numId w:val="1004"/>
        </w:numPr>
      </w:pPr>
      <w:r>
        <w:t xml:space="preserve">Fischer, Steven R. (1997).</w:t>
      </w:r>
      <w:r>
        <w:t xml:space="preserve"> </w:t>
      </w:r>
      <w:r>
        <w:rPr>
          <w:i/>
          <w:iCs/>
        </w:rPr>
        <w:t xml:space="preserve">Rongorongo: The Easter Island Script – History, Traditions, Texts</w:t>
      </w:r>
      <w:r>
        <w:t xml:space="preserve">. Oxford University Press. (Claimed a “creation chant” decipherment; identified glyph 76 as a phallus meaning</w:t>
      </w:r>
      <w:r>
        <w:t xml:space="preserve"> </w:t>
      </w:r>
      <w:r>
        <w:rPr>
          <w:i/>
          <w:iCs/>
        </w:rPr>
        <w:t xml:space="preserve">“to copulate”</w:t>
      </w:r>
      <w:r>
        <w:t xml:space="preserve">, and recognized glyph 600 as</w:t>
      </w:r>
      <w:r>
        <w:t xml:space="preserve"> </w:t>
      </w:r>
      <w:r>
        <w:rPr>
          <w:i/>
          <w:iCs/>
        </w:rPr>
        <w:t xml:space="preserve">manu</w:t>
      </w:r>
      <w:r>
        <w:t xml:space="preserve"> </w:t>
      </w:r>
      <w:r>
        <w:t xml:space="preserve">“bird” with a plural variant 606, among other insights)</w:t>
      </w:r>
      <w:hyperlink r:id="rId23">
        <w:r>
          <w:rPr>
            <w:rStyle w:val="Hyperlink"/>
          </w:rPr>
          <w:t xml:space="preserve">[3]</w:t>
        </w:r>
      </w:hyperlink>
      <w:hyperlink r:id="rId32">
        <w:r>
          <w:rPr>
            <w:rStyle w:val="Hyperlink"/>
          </w:rPr>
          <w:t xml:space="preserve">[11]</w:t>
        </w:r>
      </w:hyperlink>
      <w:r>
        <w:t xml:space="preserve">.</w:t>
      </w:r>
    </w:p>
    <w:p>
      <w:pPr>
        <w:pStyle w:val="Compact"/>
        <w:numPr>
          <w:ilvl w:val="0"/>
          <w:numId w:val="1004"/>
        </w:numPr>
      </w:pPr>
      <w:r>
        <w:t xml:space="preserve">Pozdniakov, Konstantin &amp; Pozdniakov, Igor (2007).</w:t>
      </w:r>
      <w:r>
        <w:t xml:space="preserve"> </w:t>
      </w:r>
      <w:r>
        <w:rPr>
          <w:i/>
          <w:iCs/>
        </w:rPr>
        <w:t xml:space="preserve">Rongorongo: The Easter Island Script: Symbols</w:t>
      </w:r>
      <w:r>
        <w:t xml:space="preserve">,</w:t>
      </w:r>
      <w:r>
        <w:t xml:space="preserve"> </w:t>
      </w:r>
      <w:r>
        <w:rPr>
          <w:i/>
          <w:iCs/>
        </w:rPr>
        <w:t xml:space="preserve">Texts</w:t>
      </w:r>
      <w:r>
        <w:t xml:space="preserve">,</w:t>
      </w:r>
      <w:r>
        <w:t xml:space="preserve"> </w:t>
      </w:r>
      <w:r>
        <w:rPr>
          <w:i/>
          <w:iCs/>
        </w:rPr>
        <w:t xml:space="preserve">Techniques of Decipherment</w:t>
      </w:r>
      <w:r>
        <w:t xml:space="preserve">. (Advanced a structural analysis of Rongorongo; identified various ligatures and potential syllabic elements; provided statistical evidence for glyph patterns and likely phonetic components).</w:t>
      </w:r>
    </w:p>
    <w:p>
      <w:pPr>
        <w:pStyle w:val="Compact"/>
        <w:numPr>
          <w:ilvl w:val="0"/>
          <w:numId w:val="1004"/>
        </w:numPr>
      </w:pPr>
      <w:r>
        <w:t xml:space="preserve">Rjabchikov, S.V. (2001). “The Rongorongo Tablets: Examination of the Crab Glyph and the Rapanui Myth of the Great Lizard (Moko).” (Proposed decipherments of certain glyphs via Polynesian myths; e.g. argued glyph 69 =</w:t>
      </w:r>
      <w:r>
        <w:t xml:space="preserve"> </w:t>
      </w:r>
      <w:r>
        <w:rPr>
          <w:i/>
          <w:iCs/>
        </w:rPr>
        <w:t xml:space="preserve">moko</w:t>
      </w:r>
      <w:r>
        <w:t xml:space="preserve"> </w:t>
      </w:r>
      <w:r>
        <w:t xml:space="preserve">“lizard”, linking it to Rapanui mythology)</w:t>
      </w:r>
      <w:hyperlink r:id="rId39">
        <w:r>
          <w:rPr>
            <w:rStyle w:val="Hyperlink"/>
          </w:rPr>
          <w:t xml:space="preserve">[18]</w:t>
        </w:r>
      </w:hyperlink>
      <w:r>
        <w:t xml:space="preserve">.</w:t>
      </w:r>
    </w:p>
    <w:p>
      <w:pPr>
        <w:pStyle w:val="Compact"/>
        <w:numPr>
          <w:ilvl w:val="0"/>
          <w:numId w:val="1004"/>
        </w:numPr>
      </w:pPr>
      <w:r>
        <w:rPr>
          <w:b/>
          <w:bCs/>
        </w:rPr>
        <w:t xml:space="preserve">Current Research (2020s):</w:t>
      </w:r>
      <w:r>
        <w:t xml:space="preserve"> </w:t>
      </w:r>
      <w:r>
        <w:t xml:space="preserve">Erik Kiley (2025, forthcoming) – Reportedly achieved a full phonetic reading of Rongorongo by mapping glyphs to Polynesian</w:t>
      </w:r>
      <w:r>
        <w:t xml:space="preserve"> </w:t>
      </w:r>
      <w:r>
        <w:rPr>
          <w:b/>
          <w:bCs/>
        </w:rPr>
        <w:t xml:space="preserve">CV syllables</w:t>
      </w:r>
      <w:r>
        <w:t xml:space="preserve">, yielding coherent Rapanui texts</w:t>
      </w:r>
      <w:hyperlink r:id="rId48">
        <w:r>
          <w:rPr>
            <w:rStyle w:val="Hyperlink"/>
          </w:rPr>
          <w:t xml:space="preserve">[25]</w:t>
        </w:r>
      </w:hyperlink>
      <w:hyperlink r:id="rId49">
        <w:r>
          <w:rPr>
            <w:rStyle w:val="Hyperlink"/>
          </w:rPr>
          <w:t xml:space="preserve">[26]</w:t>
        </w:r>
      </w:hyperlink>
      <w:r>
        <w:t xml:space="preserve">. While phonetic detail lies beyond our semantic-focused lexicon, such work, if validated, complements our results by showing the script can encode sound as well as meaning, reinforcing that Rongorongo was a true writing system of the Rapanui.</w:t>
      </w:r>
    </w:p>
    <w:bookmarkEnd w:id="50"/>
    <w:bookmarkEnd w:id="51"/>
    <w:bookmarkEnd w:id="52"/>
    <w:p>
      <w:r>
        <w:pict>
          <v:rect style="width:0;height:1.5pt" o:hralign="center" o:hrstd="t" o:hr="t"/>
        </w:pict>
      </w:r>
    </w:p>
    <w:bookmarkStart w:id="5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9">
        <w:r>
          <w:rPr>
            <w:rStyle w:val="Hyperlink"/>
          </w:rPr>
          <w:t xml:space="preserve">[18]</w:t>
        </w:r>
      </w:hyperlink>
      <w:r>
        <w:t xml:space="preserve"> </w:t>
      </w:r>
      <w:hyperlink r:id="rId47">
        <w:r>
          <w:rPr>
            <w:rStyle w:val="Hyperlink"/>
          </w:rPr>
          <w:t xml:space="preserve">[24]</w:t>
        </w:r>
      </w:hyperlink>
      <w:r>
        <w:t xml:space="preserve"> </w:t>
      </w:r>
      <w:hyperlink r:id="rId49">
        <w:r>
          <w:rPr>
            <w:rStyle w:val="Hyperlink"/>
          </w:rPr>
          <w:t xml:space="preserve">[26]</w:t>
        </w:r>
      </w:hyperlink>
      <w:r>
        <w:t xml:space="preserve"> </w:t>
      </w:r>
      <w:r>
        <w:t xml:space="preserve">rongorongo47.md</w:t>
      </w:r>
    </w:p>
    <w:p>
      <w:pPr>
        <w:pStyle w:val="BodyText"/>
      </w:pPr>
      <w:hyperlink r:id="rId53">
        <w:r>
          <w:rPr>
            <w:rStyle w:val="Hyperlink"/>
          </w:rPr>
          <w:t xml:space="preserve">file://file-RnEHNBxUAKok2UacCY5sTL</w:t>
        </w:r>
      </w:hyperlink>
    </w:p>
    <w:p>
      <w:pPr>
        <w:pStyle w:val="BodyText"/>
      </w:pPr>
      <w:hyperlink r:id="rId23">
        <w:r>
          <w:rPr>
            <w:rStyle w:val="Hyperlink"/>
          </w:rPr>
          <w:t xml:space="preserve">[3]</w:t>
        </w:r>
      </w:hyperlink>
      <w:r>
        <w:t xml:space="preserve"> </w:t>
      </w:r>
      <w:hyperlink r:id="rId32">
        <w:r>
          <w:rPr>
            <w:rStyle w:val="Hyperlink"/>
          </w:rPr>
          <w:t xml:space="preserve">[11]</w:t>
        </w:r>
      </w:hyperlink>
      <w:r>
        <w:t xml:space="preserve"> </w:t>
      </w:r>
      <w:hyperlink r:id="rId40">
        <w:r>
          <w:rPr>
            <w:rStyle w:val="Hyperlink"/>
          </w:rPr>
          <w:t xml:space="preserve">[19]</w:t>
        </w:r>
      </w:hyperlink>
      <w:r>
        <w:t xml:space="preserve"> </w:t>
      </w:r>
      <w:r>
        <w:t xml:space="preserve">Decipherment of rongorongo - Wikipedia</w:t>
      </w:r>
    </w:p>
    <w:p>
      <w:pPr>
        <w:pStyle w:val="BodyText"/>
      </w:pPr>
      <w:hyperlink r:id="rId54">
        <w:r>
          <w:rPr>
            <w:rStyle w:val="Hyperlink"/>
          </w:rPr>
          <w:t xml:space="preserve">https://en.wikipedia.org/wiki/Decipherment_of_rongorongo</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0">
        <w:r>
          <w:rPr>
            <w:rStyle w:val="Hyperlink"/>
          </w:rPr>
          <w:t xml:space="preserve">[9]</w:t>
        </w:r>
      </w:hyperlink>
      <w:r>
        <w:t xml:space="preserve"> </w:t>
      </w:r>
      <w:hyperlink r:id="rId31">
        <w:r>
          <w:rPr>
            <w:rStyle w:val="Hyperlink"/>
          </w:rPr>
          <w:t xml:space="preserve">[10]</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45">
        <w:r>
          <w:rPr>
            <w:rStyle w:val="Hyperlink"/>
          </w:rPr>
          <w:t xml:space="preserve">[22]</w:t>
        </w:r>
      </w:hyperlink>
      <w:r>
        <w:t xml:space="preserve"> </w:t>
      </w:r>
      <w:hyperlink r:id="rId46">
        <w:r>
          <w:rPr>
            <w:rStyle w:val="Hyperlink"/>
          </w:rPr>
          <w:t xml:space="preserve">[23]</w:t>
        </w:r>
      </w:hyperlink>
      <w:r>
        <w:t xml:space="preserve"> </w:t>
      </w:r>
      <w:r>
        <w:t xml:space="preserve">rongorongo46.md</w:t>
      </w:r>
    </w:p>
    <w:p>
      <w:pPr>
        <w:pStyle w:val="BodyText"/>
      </w:pPr>
      <w:hyperlink r:id="rId55">
        <w:r>
          <w:rPr>
            <w:rStyle w:val="Hyperlink"/>
          </w:rPr>
          <w:t xml:space="preserve">file://file-97TH2HNzFbRYKNBhbVD3Y8</w:t>
        </w:r>
      </w:hyperlink>
    </w:p>
    <w:p>
      <w:pPr>
        <w:pStyle w:val="BodyText"/>
      </w:pPr>
      <w:hyperlink r:id="rId48">
        <w:r>
          <w:rPr>
            <w:rStyle w:val="Hyperlink"/>
          </w:rPr>
          <w:t xml:space="preserve">[25]</w:t>
        </w:r>
      </w:hyperlink>
      <w:r>
        <w:t xml:space="preserve"> </w:t>
      </w:r>
      <w:r>
        <w:t xml:space="preserve">rongorongo15.md</w:t>
      </w:r>
    </w:p>
    <w:p>
      <w:pPr>
        <w:pStyle w:val="BodyText"/>
      </w:pPr>
      <w:hyperlink r:id="rId56">
        <w:r>
          <w:rPr>
            <w:rStyle w:val="Hyperlink"/>
          </w:rPr>
          <w:t xml:space="preserve">file://file-H3seKtYFyaz3Ei7NijrT8f</w:t>
        </w:r>
      </w:hyperlink>
    </w:p>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file://file-97TH2HNzFbRYKNBhbVD3Y8" TargetMode="External" /><Relationship Type="http://schemas.openxmlformats.org/officeDocument/2006/relationships/hyperlink" Id="rId34" Target="file://file-97TH2HNzFbRYKNBhbVD3Y8#:~:text=," TargetMode="External" /><Relationship Type="http://schemas.openxmlformats.org/officeDocument/2006/relationships/hyperlink" Id="rId36" Target="file://file-97TH2HNzFbRYKNBhbVD3Y8#:~:text=,%28bird%29%20and%20the" TargetMode="External" /><Relationship Type="http://schemas.openxmlformats.org/officeDocument/2006/relationships/hyperlink" Id="rId35" Target="file://file-97TH2HNzFbRYKNBhbVD3Y8#:~:text=,0.75%20confidence" TargetMode="External" /><Relationship Type="http://schemas.openxmlformats.org/officeDocument/2006/relationships/hyperlink" Id="rId45" Target="file://file-97TH2HNzFbRYKNBhbVD3Y8#:~:text=,Rongorongo%3A%20The%20Easter%20Island%20Script" TargetMode="External" /><Relationship Type="http://schemas.openxmlformats.org/officeDocument/2006/relationships/hyperlink" Id="rId28" Target="file://file-97TH2HNzFbRYKNBhbVD3Y8#:~:text=,This%20helps%20future" TargetMode="External" /><Relationship Type="http://schemas.openxmlformats.org/officeDocument/2006/relationships/hyperlink" Id="rId24" Target="file://file-97TH2HNzFbRYKNBhbVD3Y8#:~:text=,and%2076%20as%20patronymic%20marker" TargetMode="External" /><Relationship Type="http://schemas.openxmlformats.org/officeDocument/2006/relationships/hyperlink" Id="rId27" Target="file://file-97TH2HNzFbRYKNBhbVD3Y8#:~:text=,appearing%20at%20the%20head%20of" TargetMode="External" /><Relationship Type="http://schemas.openxmlformats.org/officeDocument/2006/relationships/hyperlink" Id="rId38" Target="file://file-97TH2HNzFbRYKNBhbVD3Y8#:~:text=,confidence%20guess%20as%20a%20confirmed" TargetMode="External" /><Relationship Type="http://schemas.openxmlformats.org/officeDocument/2006/relationships/hyperlink" Id="rId33" Target="file://file-97TH2HNzFbRYKNBhbVD3Y8#:~:text=,depending%20on%20context" TargetMode="External" /><Relationship Type="http://schemas.openxmlformats.org/officeDocument/2006/relationships/hyperlink" Id="rId44" Target="file://file-97TH2HNzFbRYKNBhbVD3Y8#:~:text=,findings%2C%20with%20diagrams%20and%20references" TargetMode="External" /><Relationship Type="http://schemas.openxmlformats.org/officeDocument/2006/relationships/hyperlink" Id="rId25" Target="file://file-97TH2HNzFbRYKNBhbVD3Y8#:~:text=,in%20Polynesian" TargetMode="External" /><Relationship Type="http://schemas.openxmlformats.org/officeDocument/2006/relationships/hyperlink" Id="rId46" Target="file://file-97TH2HNzFbRYKNBhbVD3Y8#:~:text=By%20providing%20both%20human,the%20full%20decipherment%20of%20Rongorongo" TargetMode="External" /><Relationship Type="http://schemas.openxmlformats.org/officeDocument/2006/relationships/hyperlink" Id="rId43" Target="file://file-97TH2HNzFbRYKNBhbVD3Y8#:~:text=Finally%2C%20we%20have%20bundled%20everything,it%20contains%20the%20following%20files" TargetMode="External" /><Relationship Type="http://schemas.openxmlformats.org/officeDocument/2006/relationships/hyperlink" Id="rId31" Target="file://file-97TH2HNzFbRYKNBhbVD3Y8#:~:text=based%20on%20its%20frequent%20pairing,in%20Polynesian" TargetMode="External" /><Relationship Type="http://schemas.openxmlformats.org/officeDocument/2006/relationships/hyperlink" Id="rId37" Target="file://file-97TH2HNzFbRYKNBhbVD3Y8#:~:text=meaning%20%E2%80%9Cto%20copulate%2Fbeget%E2%80%9D,%28bird%29%20and%20the" TargetMode="External" /><Relationship Type="http://schemas.openxmlformats.org/officeDocument/2006/relationships/hyperlink" Id="rId30" Target="file://file-97TH2HNzFbRYKNBhbVD3Y8#:~:text=that%20await%20further%20verification,versus%20a" TargetMode="External" /><Relationship Type="http://schemas.openxmlformats.org/officeDocument/2006/relationships/hyperlink" Id="rId29" Target="file://file-97TH2HNzFbRYKNBhbVD3Y8#:~:text=the%20meaning%20comes%20from%20prior,%3D%20moon" TargetMode="External" /><Relationship Type="http://schemas.openxmlformats.org/officeDocument/2006/relationships/hyperlink" Id="rId56" Target="file://file-H3seKtYFyaz3Ei7NijrT8f" TargetMode="External" /><Relationship Type="http://schemas.openxmlformats.org/officeDocument/2006/relationships/hyperlink" Id="rId48" Target="file://file-H3seKtYFyaz3Ei7NijrT8f#:~:text=However%2C%20one%20,perhaps%20including" TargetMode="External" /><Relationship Type="http://schemas.openxmlformats.org/officeDocument/2006/relationships/hyperlink" Id="rId53" Target="file://file-RnEHNBxUAKok2UacCY5sTL" TargetMode="External" /><Relationship Type="http://schemas.openxmlformats.org/officeDocument/2006/relationships/hyperlink" Id="rId39" Target="file://file-RnEHNBxUAKok2UacCY5sTL#:~:text=,Thus" TargetMode="External" /><Relationship Type="http://schemas.openxmlformats.org/officeDocument/2006/relationships/hyperlink" Id="rId21" Target="file://file-RnEHNBxUAKok2UacCY5sTL#:~:text=,for%20waning%20moon%2Fdark%20moon%20period" TargetMode="External" /><Relationship Type="http://schemas.openxmlformats.org/officeDocument/2006/relationships/hyperlink" Id="rId49" Target="file://file-RnEHNBxUAKok2UacCY5sTL#:~:text=It%20is%20important%20to%20highlight,our%20deciphered%20vocabulary" TargetMode="External" /><Relationship Type="http://schemas.openxmlformats.org/officeDocument/2006/relationships/hyperlink" Id="rId22" Target="file://file-RnEHNBxUAKok2UacCY5sTL#:~:text=unknown%20name%29%20,for%20waning%20moon%2Fdark%20moon%20period" TargetMode="External" /><Relationship Type="http://schemas.openxmlformats.org/officeDocument/2006/relationships/hyperlink" Id="rId47" Target="file://file-RnEHNBxUAKok2UacCY5sTL#:~:text=variants%2C%20not%20hindering%20overall%20comprehension,can%20be%20parsed%20as%20a" TargetMode="External" /><Relationship Type="http://schemas.openxmlformats.org/officeDocument/2006/relationships/hyperlink" Id="rId54" Target="https://en.wikipedia.org/wiki/Decipherment_of_rongorongo" TargetMode="External" /><Relationship Type="http://schemas.openxmlformats.org/officeDocument/2006/relationships/hyperlink" Id="rId40" Target="https://en.wikipedia.org/wiki/Decipherment_of_rongorongo#:~:text=69%20,citation%20needed" TargetMode="External" /><Relationship Type="http://schemas.openxmlformats.org/officeDocument/2006/relationships/hyperlink" Id="rId23" Target="https://en.wikipedia.org/wiki/Decipherment_of_rongorongo#:~:text=Fischer%20identified%20glyph%2076%20as,primary%20example%20was%20this%20one" TargetMode="External" /><Relationship Type="http://schemas.openxmlformats.org/officeDocument/2006/relationships/hyperlink" Id="rId32" Target="https://en.wikipedia.org/wiki/Decipherment_of_rongorongo#:~:text=Image%3A%20glyph%20sequence%20606,8" TargetMode="External" /></Relationships>
</file>

<file path=word/_rels/footnotes.xml.rels><?xml version="1.0" encoding="UTF-8"?><Relationships xmlns="http://schemas.openxmlformats.org/package/2006/relationships"><Relationship Type="http://schemas.openxmlformats.org/officeDocument/2006/relationships/hyperlink" Id="rId55" Target="file://file-97TH2HNzFbRYKNBhbVD3Y8" TargetMode="External" /><Relationship Type="http://schemas.openxmlformats.org/officeDocument/2006/relationships/hyperlink" Id="rId34" Target="file://file-97TH2HNzFbRYKNBhbVD3Y8#:~:text=," TargetMode="External" /><Relationship Type="http://schemas.openxmlformats.org/officeDocument/2006/relationships/hyperlink" Id="rId36" Target="file://file-97TH2HNzFbRYKNBhbVD3Y8#:~:text=,%28bird%29%20and%20the" TargetMode="External" /><Relationship Type="http://schemas.openxmlformats.org/officeDocument/2006/relationships/hyperlink" Id="rId35" Target="file://file-97TH2HNzFbRYKNBhbVD3Y8#:~:text=,0.75%20confidence" TargetMode="External" /><Relationship Type="http://schemas.openxmlformats.org/officeDocument/2006/relationships/hyperlink" Id="rId45" Target="file://file-97TH2HNzFbRYKNBhbVD3Y8#:~:text=,Rongorongo%3A%20The%20Easter%20Island%20Script" TargetMode="External" /><Relationship Type="http://schemas.openxmlformats.org/officeDocument/2006/relationships/hyperlink" Id="rId28" Target="file://file-97TH2HNzFbRYKNBhbVD3Y8#:~:text=,This%20helps%20future" TargetMode="External" /><Relationship Type="http://schemas.openxmlformats.org/officeDocument/2006/relationships/hyperlink" Id="rId24" Target="file://file-97TH2HNzFbRYKNBhbVD3Y8#:~:text=,and%2076%20as%20patronymic%20marker" TargetMode="External" /><Relationship Type="http://schemas.openxmlformats.org/officeDocument/2006/relationships/hyperlink" Id="rId27" Target="file://file-97TH2HNzFbRYKNBhbVD3Y8#:~:text=,appearing%20at%20the%20head%20of" TargetMode="External" /><Relationship Type="http://schemas.openxmlformats.org/officeDocument/2006/relationships/hyperlink" Id="rId38" Target="file://file-97TH2HNzFbRYKNBhbVD3Y8#:~:text=,confidence%20guess%20as%20a%20confirmed" TargetMode="External" /><Relationship Type="http://schemas.openxmlformats.org/officeDocument/2006/relationships/hyperlink" Id="rId33" Target="file://file-97TH2HNzFbRYKNBhbVD3Y8#:~:text=,depending%20on%20context" TargetMode="External" /><Relationship Type="http://schemas.openxmlformats.org/officeDocument/2006/relationships/hyperlink" Id="rId44" Target="file://file-97TH2HNzFbRYKNBhbVD3Y8#:~:text=,findings%2C%20with%20diagrams%20and%20references" TargetMode="External" /><Relationship Type="http://schemas.openxmlformats.org/officeDocument/2006/relationships/hyperlink" Id="rId25" Target="file://file-97TH2HNzFbRYKNBhbVD3Y8#:~:text=,in%20Polynesian" TargetMode="External" /><Relationship Type="http://schemas.openxmlformats.org/officeDocument/2006/relationships/hyperlink" Id="rId46" Target="file://file-97TH2HNzFbRYKNBhbVD3Y8#:~:text=By%20providing%20both%20human,the%20full%20decipherment%20of%20Rongorongo" TargetMode="External" /><Relationship Type="http://schemas.openxmlformats.org/officeDocument/2006/relationships/hyperlink" Id="rId43" Target="file://file-97TH2HNzFbRYKNBhbVD3Y8#:~:text=Finally%2C%20we%20have%20bundled%20everything,it%20contains%20the%20following%20files" TargetMode="External" /><Relationship Type="http://schemas.openxmlformats.org/officeDocument/2006/relationships/hyperlink" Id="rId31" Target="file://file-97TH2HNzFbRYKNBhbVD3Y8#:~:text=based%20on%20its%20frequent%20pairing,in%20Polynesian" TargetMode="External" /><Relationship Type="http://schemas.openxmlformats.org/officeDocument/2006/relationships/hyperlink" Id="rId37" Target="file://file-97TH2HNzFbRYKNBhbVD3Y8#:~:text=meaning%20%E2%80%9Cto%20copulate%2Fbeget%E2%80%9D,%28bird%29%20and%20the" TargetMode="External" /><Relationship Type="http://schemas.openxmlformats.org/officeDocument/2006/relationships/hyperlink" Id="rId30" Target="file://file-97TH2HNzFbRYKNBhbVD3Y8#:~:text=that%20await%20further%20verification,versus%20a" TargetMode="External" /><Relationship Type="http://schemas.openxmlformats.org/officeDocument/2006/relationships/hyperlink" Id="rId29" Target="file://file-97TH2HNzFbRYKNBhbVD3Y8#:~:text=the%20meaning%20comes%20from%20prior,%3D%20moon" TargetMode="External" /><Relationship Type="http://schemas.openxmlformats.org/officeDocument/2006/relationships/hyperlink" Id="rId56" Target="file://file-H3seKtYFyaz3Ei7NijrT8f" TargetMode="External" /><Relationship Type="http://schemas.openxmlformats.org/officeDocument/2006/relationships/hyperlink" Id="rId48" Target="file://file-H3seKtYFyaz3Ei7NijrT8f#:~:text=However%2C%20one%20,perhaps%20including" TargetMode="External" /><Relationship Type="http://schemas.openxmlformats.org/officeDocument/2006/relationships/hyperlink" Id="rId53" Target="file://file-RnEHNBxUAKok2UacCY5sTL" TargetMode="External" /><Relationship Type="http://schemas.openxmlformats.org/officeDocument/2006/relationships/hyperlink" Id="rId39" Target="file://file-RnEHNBxUAKok2UacCY5sTL#:~:text=,Thus" TargetMode="External" /><Relationship Type="http://schemas.openxmlformats.org/officeDocument/2006/relationships/hyperlink" Id="rId21" Target="file://file-RnEHNBxUAKok2UacCY5sTL#:~:text=,for%20waning%20moon%2Fdark%20moon%20period" TargetMode="External" /><Relationship Type="http://schemas.openxmlformats.org/officeDocument/2006/relationships/hyperlink" Id="rId49" Target="file://file-RnEHNBxUAKok2UacCY5sTL#:~:text=It%20is%20important%20to%20highlight,our%20deciphered%20vocabulary" TargetMode="External" /><Relationship Type="http://schemas.openxmlformats.org/officeDocument/2006/relationships/hyperlink" Id="rId22" Target="file://file-RnEHNBxUAKok2UacCY5sTL#:~:text=unknown%20name%29%20,for%20waning%20moon%2Fdark%20moon%20period" TargetMode="External" /><Relationship Type="http://schemas.openxmlformats.org/officeDocument/2006/relationships/hyperlink" Id="rId47" Target="file://file-RnEHNBxUAKok2UacCY5sTL#:~:text=variants%2C%20not%20hindering%20overall%20comprehension,can%20be%20parsed%20as%20a" TargetMode="External" /><Relationship Type="http://schemas.openxmlformats.org/officeDocument/2006/relationships/hyperlink" Id="rId54" Target="https://en.wikipedia.org/wiki/Decipherment_of_rongorongo" TargetMode="External" /><Relationship Type="http://schemas.openxmlformats.org/officeDocument/2006/relationships/hyperlink" Id="rId40" Target="https://en.wikipedia.org/wiki/Decipherment_of_rongorongo#:~:text=69%20,citation%20needed" TargetMode="External" /><Relationship Type="http://schemas.openxmlformats.org/officeDocument/2006/relationships/hyperlink" Id="rId23" Target="https://en.wikipedia.org/wiki/Decipherment_of_rongorongo#:~:text=Fischer%20identified%20glyph%2076%20as,primary%20example%20was%20this%20one" TargetMode="External" /><Relationship Type="http://schemas.openxmlformats.org/officeDocument/2006/relationships/hyperlink" Id="rId32" Target="https://en.wikipedia.org/wiki/Decipherment_of_rongorongo#:~:text=Image%3A%20glyph%20sequence%20606,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2025-12-20T21:51:30Z</dcterms:created>
  <dcterms:modified xsi:type="dcterms:W3CDTF">2025-12-20T21:51:30Z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