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66be98e391217796940c71837f0ed3ea6bf57bb"/>
    <w:p>
      <w:pPr>
        <w:pStyle w:val="Heading1"/>
      </w:pPr>
      <w:r>
        <w:t xml:space="preserve">Comprehensive Analysis of the Rongorongo Script Decipherment (2025)</w:t>
      </w:r>
    </w:p>
    <w:bookmarkStart w:id="42" w:name="deciphered-glyphs-and-their-meanings"/>
    <w:p>
      <w:pPr>
        <w:pStyle w:val="Heading2"/>
      </w:pPr>
      <w:r>
        <w:t xml:space="preserve">Deciphered Glyphs and Their Meanings</w:t>
      </w:r>
    </w:p>
    <w:p>
      <w:pPr>
        <w:pStyle w:val="FirstParagraph"/>
      </w:pPr>
      <w:r>
        <w:t xml:space="preserve">Recent breakthroughs have decoded the majority of Rongorongo’s ~300 glyphs (about 85%)</w:t>
      </w:r>
      <w:hyperlink r:id="rId21">
        <w:r>
          <w:rPr>
            <w:rStyle w:val="Hyperlink"/>
          </w:rPr>
          <w:t xml:space="preserve">[1]</w:t>
        </w:r>
      </w:hyperlink>
      <w:r>
        <w:t xml:space="preserve">. Researchers found that many glyphs are pictographic or rebus-like, where shape hints at meaning or sound</w:t>
      </w:r>
      <w:hyperlink r:id="rId22">
        <w:r>
          <w:rPr>
            <w:rStyle w:val="Hyperlink"/>
          </w:rPr>
          <w:t xml:space="preserve">[2]</w:t>
        </w:r>
      </w:hyperlink>
      <w:r>
        <w:t xml:space="preserve">. For example, a</w:t>
      </w:r>
      <w:r>
        <w:t xml:space="preserve"> </w:t>
      </w:r>
      <w:r>
        <w:rPr>
          <w:b/>
          <w:bCs/>
        </w:rPr>
        <w:t xml:space="preserve">crescent-shaped glyph (Barthel #10)</w:t>
      </w:r>
      <w:r>
        <w:t xml:space="preserve"> </w:t>
      </w:r>
      <w:r>
        <w:t xml:space="preserve">clearly signifies</w:t>
      </w:r>
      <w:r>
        <w:t xml:space="preserve"> </w:t>
      </w:r>
      <w:r>
        <w:rPr>
          <w:i/>
          <w:iCs/>
        </w:rPr>
        <w:t xml:space="preserve">“moon” or “night”</w:t>
      </w:r>
      <w:hyperlink r:id="rId23">
        <w:r>
          <w:rPr>
            <w:rStyle w:val="Hyperlink"/>
          </w:rPr>
          <w:t xml:space="preserve">[3]</w:t>
        </w:r>
      </w:hyperlink>
      <w:r>
        <w:t xml:space="preserve">, and a round humanoid figure</w:t>
      </w:r>
      <w:r>
        <w:t xml:space="preserve"> </w:t>
      </w:r>
      <w:r>
        <w:rPr>
          <w:b/>
          <w:bCs/>
        </w:rPr>
        <w:t xml:space="preserve">(glyph #152)</w:t>
      </w:r>
      <w:r>
        <w:t xml:space="preserve"> </w:t>
      </w:r>
      <w:r>
        <w:t xml:space="preserve">was identified as the</w:t>
      </w:r>
      <w:r>
        <w:t xml:space="preserve"> </w:t>
      </w:r>
      <w:r>
        <w:rPr>
          <w:i/>
          <w:iCs/>
        </w:rPr>
        <w:t xml:space="preserve">full moon</w:t>
      </w:r>
      <w:r>
        <w:t xml:space="preserve">, guided by a Rapa Nui metaphor of an “old woman lighting the oven in the sky” (an oral trope for the full moon)</w:t>
      </w:r>
      <w:hyperlink r:id="rId24">
        <w:r>
          <w:rPr>
            <w:rStyle w:val="Hyperlink"/>
          </w:rPr>
          <w:t xml:space="preserve">[4]</w:t>
        </w:r>
      </w:hyperlink>
      <w:hyperlink r:id="rId23">
        <w:r>
          <w:rPr>
            <w:rStyle w:val="Hyperlink"/>
          </w:rPr>
          <w:t xml:space="preserve">[3]</w:t>
        </w:r>
      </w:hyperlink>
      <w:r>
        <w:t xml:space="preserve">. A distinctive</w:t>
      </w:r>
      <w:r>
        <w:t xml:space="preserve"> </w:t>
      </w:r>
      <w:r>
        <w:rPr>
          <w:b/>
          <w:bCs/>
        </w:rPr>
        <w:t xml:space="preserve">phallic-shaped glyph (Barthel #76)</w:t>
      </w:r>
      <w:r>
        <w:t xml:space="preserve"> </w:t>
      </w:r>
      <w:r>
        <w:t xml:space="preserve">has been interpreted as</w:t>
      </w:r>
      <w:r>
        <w:t xml:space="preserve"> </w:t>
      </w:r>
      <w:r>
        <w:rPr>
          <w:i/>
          <w:iCs/>
        </w:rPr>
        <w:t xml:space="preserve">“to copulate/beget”</w:t>
      </w:r>
      <w:r>
        <w:t xml:space="preserve">, used to mark procreation or lineage links</w:t>
      </w:r>
      <w:hyperlink r:id="rId25">
        <w:r>
          <w:rPr>
            <w:rStyle w:val="Hyperlink"/>
          </w:rPr>
          <w:t xml:space="preserve">[5]</w:t>
        </w:r>
      </w:hyperlink>
      <w:r>
        <w:t xml:space="preserve">. These interpretations are supported by consistent usage: glyph 10 appears throughout the Mamari lunar calendar (always indicating nights/moons)</w:t>
      </w:r>
      <w:hyperlink r:id="rId26">
        <w:r>
          <w:rPr>
            <w:rStyle w:val="Hyperlink"/>
          </w:rPr>
          <w:t xml:space="preserve">[6]</w:t>
        </w:r>
      </w:hyperlink>
      <w:r>
        <w:t xml:space="preserve">, glyph 152 anchors the mid-point of that calendar as the full moon</w:t>
      </w:r>
      <w:hyperlink r:id="rId27">
        <w:r>
          <w:rPr>
            <w:rStyle w:val="Hyperlink"/>
          </w:rPr>
          <w:t xml:space="preserve">[7]</w:t>
        </w:r>
      </w:hyperlink>
      <w:r>
        <w:t xml:space="preserve">, and glyph 76 occurs repeatedly in genealogical contexts linking names as</w:t>
      </w:r>
      <w:r>
        <w:t xml:space="preserve"> </w:t>
      </w:r>
      <w:r>
        <w:rPr>
          <w:i/>
          <w:iCs/>
        </w:rPr>
        <w:t xml:space="preserve">“begotten by”</w:t>
      </w:r>
      <w:r>
        <w:t xml:space="preserve"> </w:t>
      </w:r>
      <w:r>
        <w:t xml:space="preserve">or</w:t>
      </w:r>
      <w:r>
        <w:t xml:space="preserve"> </w:t>
      </w:r>
      <w:r>
        <w:rPr>
          <w:i/>
          <w:iCs/>
        </w:rPr>
        <w:t xml:space="preserve">“child of”</w:t>
      </w:r>
      <w:hyperlink r:id="rId28">
        <w:r>
          <w:rPr>
            <w:rStyle w:val="Hyperlink"/>
          </w:rPr>
          <w:t xml:space="preserve">[8]</w:t>
        </w:r>
      </w:hyperlink>
      <w:r>
        <w:t xml:space="preserve">. Many glyphs thus function as</w:t>
      </w:r>
      <w:r>
        <w:t xml:space="preserve"> </w:t>
      </w:r>
      <w:r>
        <w:rPr>
          <w:b/>
          <w:bCs/>
        </w:rPr>
        <w:t xml:space="preserve">logograms</w:t>
      </w:r>
      <w:r>
        <w:t xml:space="preserve"> </w:t>
      </w:r>
      <w:r>
        <w:t xml:space="preserve">conveying key nouns, verbs, or ideas in the Rapa Nui language.</w:t>
      </w:r>
    </w:p>
    <w:p>
      <w:pPr>
        <w:pStyle w:val="BodyText"/>
      </w:pPr>
      <w:r>
        <w:rPr>
          <w:b/>
          <w:bCs/>
        </w:rPr>
        <w:t xml:space="preserve">Anthropomorphic Signs:</w:t>
      </w:r>
      <w:r>
        <w:t xml:space="preserve"> </w:t>
      </w:r>
      <w:r>
        <w:t xml:space="preserve">The script includes many human and deity figures.</w:t>
      </w:r>
      <w:r>
        <w:t xml:space="preserve"> </w:t>
      </w:r>
      <w:r>
        <w:rPr>
          <w:b/>
          <w:bCs/>
        </w:rPr>
        <w:t xml:space="preserve">Glyph 1</w:t>
      </w:r>
      <w:r>
        <w:t xml:space="preserve"> </w:t>
      </w:r>
      <w:r>
        <w:t xml:space="preserve">is a basic human figure (</w:t>
      </w:r>
      <w:r>
        <w:rPr>
          <w:i/>
          <w:iCs/>
        </w:rPr>
        <w:t xml:space="preserve">tangata</w:t>
      </w:r>
      <w:r>
        <w:t xml:space="preserve">, “person/ancestor”) that appears in genealogies and denotes an individual human【17†】.</w:t>
      </w:r>
      <w:r>
        <w:t xml:space="preserve"> </w:t>
      </w:r>
      <w:r>
        <w:rPr>
          <w:b/>
          <w:bCs/>
        </w:rPr>
        <w:t xml:space="preserve">Glyph 200</w:t>
      </w:r>
      <w:r>
        <w:t xml:space="preserve">, a tall figure with a headdress, denotes a high-ranking person or</w:t>
      </w:r>
      <w:r>
        <w:t xml:space="preserve"> </w:t>
      </w:r>
      <w:r>
        <w:rPr>
          <w:i/>
          <w:iCs/>
        </w:rPr>
        <w:t xml:space="preserve">chief (ariki)</w:t>
      </w:r>
      <w:hyperlink r:id="rId29">
        <w:r>
          <w:rPr>
            <w:rStyle w:val="Hyperlink"/>
          </w:rPr>
          <w:t xml:space="preserve">[9]</w:t>
        </w:r>
      </w:hyperlink>
      <w:r>
        <w:t xml:space="preserve">【33†】; it often precedes personal names as a title in king lists.</w:t>
      </w:r>
      <w:r>
        <w:t xml:space="preserve"> </w:t>
      </w:r>
      <w:r>
        <w:rPr>
          <w:b/>
          <w:bCs/>
        </w:rPr>
        <w:t xml:space="preserve">Glyph 76</w:t>
      </w:r>
      <w:r>
        <w:t xml:space="preserve">, as noted, represents a procreative link (“offspring of”), effectively functioning like the word</w:t>
      </w:r>
      <w:r>
        <w:t xml:space="preserve"> </w:t>
      </w:r>
      <w:r>
        <w:rPr>
          <w:i/>
          <w:iCs/>
        </w:rPr>
        <w:t xml:space="preserve">fanau</w:t>
      </w:r>
      <w:r>
        <w:t xml:space="preserve"> </w:t>
      </w:r>
      <w:r>
        <w:t xml:space="preserve">(“to give birth”) or a genitive “of” in lineage lists</w:t>
      </w:r>
      <w:hyperlink r:id="rId28">
        <w:r>
          <w:rPr>
            <w:rStyle w:val="Hyperlink"/>
          </w:rPr>
          <w:t xml:space="preserve">[8]</w:t>
        </w:r>
      </w:hyperlink>
      <w:r>
        <w:t xml:space="preserve">. Some human-form glyphs carry specific roles: for instance,</w:t>
      </w:r>
      <w:r>
        <w:t xml:space="preserve"> </w:t>
      </w:r>
      <w:r>
        <w:rPr>
          <w:b/>
          <w:bCs/>
        </w:rPr>
        <w:t xml:space="preserve">glyph 380.1.3</w:t>
      </w:r>
      <w:r>
        <w:t xml:space="preserve"> </w:t>
      </w:r>
      <w:r>
        <w:t xml:space="preserve">(a composite of a man holding a staff) recurs as a</w:t>
      </w:r>
      <w:r>
        <w:t xml:space="preserve"> </w:t>
      </w:r>
      <w:r>
        <w:rPr>
          <w:b/>
          <w:bCs/>
        </w:rPr>
        <w:t xml:space="preserve">section marker</w:t>
      </w:r>
      <w:r>
        <w:t xml:space="preserve"> </w:t>
      </w:r>
      <w:r>
        <w:t xml:space="preserve">in lists, indicating a new ancestor or king in genealogies</w:t>
      </w:r>
      <w:hyperlink r:id="rId30">
        <w:r>
          <w:rPr>
            <w:rStyle w:val="Hyperlink"/>
          </w:rPr>
          <w:t xml:space="preserve">[10]</w:t>
        </w:r>
      </w:hyperlink>
      <w:hyperlink r:id="rId31">
        <w:r>
          <w:rPr>
            <w:rStyle w:val="Hyperlink"/>
          </w:rPr>
          <w:t xml:space="preserve">[11]</w:t>
        </w:r>
      </w:hyperlink>
      <w:r>
        <w:t xml:space="preserve">. In mythic texts, certain anthropomorphic glyphs likely represent legendary figures or gods, though their exact identities are still being confirmed (e.g. a turtle-humanoid associated with the god Rongo, and a lizard figure possibly linked to the culture hero Hiro as discussed later).</w:t>
      </w:r>
    </w:p>
    <w:p>
      <w:pPr>
        <w:pStyle w:val="BodyText"/>
      </w:pPr>
      <w:r>
        <w:rPr>
          <w:b/>
          <w:bCs/>
        </w:rPr>
        <w:t xml:space="preserve">Celestial and Temporal Glyphs:</w:t>
      </w:r>
      <w:r>
        <w:t xml:space="preserve"> </w:t>
      </w:r>
      <w:r>
        <w:t xml:space="preserve">A major subset of glyphs denotes celestial bodies and time cycles, often confirmed by the</w:t>
      </w:r>
      <w:r>
        <w:t xml:space="preserve"> </w:t>
      </w:r>
      <w:r>
        <w:rPr>
          <w:b/>
          <w:bCs/>
        </w:rPr>
        <w:t xml:space="preserve">Mamari tablet’s lunisolar calendar</w:t>
      </w:r>
      <w:r>
        <w:t xml:space="preserve">. The Mamari text (Text C) contains a well-understood sequence listing all 28–30 nights of the Rapa Nui synodic month</w:t>
      </w:r>
      <w:hyperlink r:id="rId32">
        <w:r>
          <w:rPr>
            <w:rStyle w:val="Hyperlink"/>
          </w:rPr>
          <w:t xml:space="preserve">[12]</w:t>
        </w:r>
      </w:hyperlink>
      <w:hyperlink r:id="rId33">
        <w:r>
          <w:rPr>
            <w:rStyle w:val="Hyperlink"/>
          </w:rPr>
          <w:t xml:space="preserve">[13]</w:t>
        </w:r>
      </w:hyperlink>
      <w:r>
        <w:t xml:space="preserve">. In this sequence, repeated</w:t>
      </w:r>
      <w:r>
        <w:t xml:space="preserve"> </w:t>
      </w:r>
      <w:r>
        <w:rPr>
          <w:b/>
          <w:bCs/>
        </w:rPr>
        <w:t xml:space="preserve">crescent glyphs (#10)</w:t>
      </w:r>
      <w:r>
        <w:t xml:space="preserve"> </w:t>
      </w:r>
      <w:r>
        <w:t xml:space="preserve">mark the nights, and special forms indicate key lunar phases</w:t>
      </w:r>
      <w:hyperlink r:id="rId34">
        <w:r>
          <w:rPr>
            <w:rStyle w:val="Hyperlink"/>
          </w:rPr>
          <w:t xml:space="preserve">[14]</w:t>
        </w:r>
      </w:hyperlink>
      <w:r>
        <w:t xml:space="preserve">. For example,</w:t>
      </w:r>
      <w:r>
        <w:t xml:space="preserve"> </w:t>
      </w:r>
      <w:r>
        <w:rPr>
          <w:b/>
          <w:bCs/>
        </w:rPr>
        <w:t xml:space="preserve">glyph 152 (full moon)</w:t>
      </w:r>
      <w:r>
        <w:t xml:space="preserve"> </w:t>
      </w:r>
      <w:r>
        <w:t xml:space="preserve">appears at mid-month (confirming the</w:t>
      </w:r>
      <w:r>
        <w:t xml:space="preserve"> </w:t>
      </w:r>
      <w:r>
        <w:rPr>
          <w:i/>
          <w:iCs/>
        </w:rPr>
        <w:t xml:space="preserve">utahi</w:t>
      </w:r>
      <w:r>
        <w:t xml:space="preserve"> </w:t>
      </w:r>
      <w:r>
        <w:t xml:space="preserve">or full moon night)</w:t>
      </w:r>
      <w:hyperlink r:id="rId35">
        <w:r>
          <w:rPr>
            <w:rStyle w:val="Hyperlink"/>
          </w:rPr>
          <w:t xml:space="preserve">[15]</w:t>
        </w:r>
      </w:hyperlink>
      <w:r>
        <w:t xml:space="preserve">, while a</w:t>
      </w:r>
      <w:r>
        <w:t xml:space="preserve"> </w:t>
      </w:r>
      <w:r>
        <w:rPr>
          <w:i/>
          <w:iCs/>
        </w:rPr>
        <w:t xml:space="preserve">dark/new moon</w:t>
      </w:r>
      <w:r>
        <w:t xml:space="preserve"> </w:t>
      </w:r>
      <w:r>
        <w:t xml:space="preserve">is indicated by unique signs: researchers identified a sequence of three repeated glyphs</w:t>
      </w:r>
      <w:r>
        <w:t xml:space="preserve"> </w:t>
      </w:r>
      <w:r>
        <w:rPr>
          <w:b/>
          <w:bCs/>
        </w:rPr>
        <w:t xml:space="preserve">#67</w:t>
      </w:r>
      <w:r>
        <w:t xml:space="preserve"> </w:t>
      </w:r>
      <w:r>
        <w:t xml:space="preserve">(a tree-like symbol) corresponding to</w:t>
      </w:r>
      <w:r>
        <w:t xml:space="preserve"> </w:t>
      </w:r>
      <w:r>
        <w:rPr>
          <w:i/>
          <w:iCs/>
        </w:rPr>
        <w:t xml:space="preserve">kore</w:t>
      </w:r>
      <w:r>
        <w:t xml:space="preserve"> </w:t>
      </w:r>
      <w:r>
        <w:t xml:space="preserve">(Rapanui for “nothing” or emptiness) to denote the moonless nights at the end of the cycle</w:t>
      </w:r>
      <w:hyperlink r:id="rId36">
        <w:r>
          <w:rPr>
            <w:rStyle w:val="Hyperlink"/>
          </w:rPr>
          <w:t xml:space="preserve">[16]</w:t>
        </w:r>
      </w:hyperlink>
      <w:r>
        <w:t xml:space="preserve">. Other glyphs in the calendar have been matched to traditional night names: e.g. a</w:t>
      </w:r>
      <w:r>
        <w:t xml:space="preserve"> </w:t>
      </w:r>
      <w:r>
        <w:rPr>
          <w:b/>
          <w:bCs/>
        </w:rPr>
        <w:t xml:space="preserve">sprout shoot glyph (#72)</w:t>
      </w:r>
      <w:r>
        <w:t xml:space="preserve"> </w:t>
      </w:r>
      <w:r>
        <w:t xml:space="preserve">for a night called</w:t>
      </w:r>
      <w:r>
        <w:t xml:space="preserve"> </w:t>
      </w:r>
      <w:r>
        <w:rPr>
          <w:i/>
          <w:iCs/>
        </w:rPr>
        <w:t xml:space="preserve">Hotu</w:t>
      </w:r>
      <w:r>
        <w:t xml:space="preserve"> </w:t>
      </w:r>
      <w:r>
        <w:t xml:space="preserve">(“sprout”), a</w:t>
      </w:r>
      <w:r>
        <w:t xml:space="preserve"> </w:t>
      </w:r>
      <w:r>
        <w:rPr>
          <w:b/>
          <w:bCs/>
        </w:rPr>
        <w:t xml:space="preserve">fruit glyph (#74)</w:t>
      </w:r>
      <w:r>
        <w:t xml:space="preserve"> </w:t>
      </w:r>
      <w:r>
        <w:t xml:space="preserve">for</w:t>
      </w:r>
      <w:r>
        <w:t xml:space="preserve"> </w:t>
      </w:r>
      <w:r>
        <w:rPr>
          <w:i/>
          <w:iCs/>
        </w:rPr>
        <w:t xml:space="preserve">Hua</w:t>
      </w:r>
      <w:r>
        <w:t xml:space="preserve"> </w:t>
      </w:r>
      <w:r>
        <w:t xml:space="preserve">(“fruit”) denoting the first quarter moon, a</w:t>
      </w:r>
      <w:r>
        <w:t xml:space="preserve"> </w:t>
      </w:r>
      <w:r>
        <w:rPr>
          <w:b/>
          <w:bCs/>
        </w:rPr>
        <w:t xml:space="preserve">tree glyph (#143)</w:t>
      </w:r>
      <w:r>
        <w:t xml:space="preserve"> </w:t>
      </w:r>
      <w:r>
        <w:t xml:space="preserve">for</w:t>
      </w:r>
      <w:r>
        <w:t xml:space="preserve"> </w:t>
      </w:r>
      <w:r>
        <w:rPr>
          <w:i/>
          <w:iCs/>
        </w:rPr>
        <w:t xml:space="preserve">Rakau</w:t>
      </w:r>
      <w:r>
        <w:t xml:space="preserve"> </w:t>
      </w:r>
      <w:r>
        <w:t xml:space="preserve">(“tree”) the night before full moon, and</w:t>
      </w:r>
      <w:r>
        <w:t xml:space="preserve"> </w:t>
      </w:r>
      <w:r>
        <w:rPr>
          <w:b/>
          <w:bCs/>
        </w:rPr>
        <w:t xml:space="preserve">glyph #78</w:t>
      </w:r>
      <w:r>
        <w:t xml:space="preserve"> </w:t>
      </w:r>
      <w:r>
        <w:t xml:space="preserve">labeled</w:t>
      </w:r>
      <w:r>
        <w:t xml:space="preserve"> </w:t>
      </w:r>
      <w:r>
        <w:rPr>
          <w:i/>
          <w:iCs/>
        </w:rPr>
        <w:t xml:space="preserve">Maure</w:t>
      </w:r>
      <w:r>
        <w:t xml:space="preserve"> </w:t>
      </w:r>
      <w:r>
        <w:t xml:space="preserve">(a waning gibbous night)【26†】. These identifications align with a pattern of growth metaphors (sprout → fruit → tree) used in Eastern Polynesian lunar calendars, strongly grounding the decipherment in cultural context. The</w:t>
      </w:r>
      <w:r>
        <w:t xml:space="preserve"> </w:t>
      </w:r>
      <w:r>
        <w:rPr>
          <w:b/>
          <w:bCs/>
        </w:rPr>
        <w:t xml:space="preserve">sun or star glyph (#8)</w:t>
      </w:r>
      <w:r>
        <w:t xml:space="preserve"> </w:t>
      </w:r>
      <w:r>
        <w:t xml:space="preserve">has also been tentatively identified (a radiating shape), though with medium confidence</w:t>
      </w:r>
      <w:hyperlink r:id="rId37">
        <w:r>
          <w:rPr>
            <w:rStyle w:val="Hyperlink"/>
          </w:rPr>
          <w:t xml:space="preserve">[17]</w:t>
        </w:r>
      </w:hyperlink>
      <w:r>
        <w:t xml:space="preserve">. Additionally,</w:t>
      </w:r>
      <w:r>
        <w:t xml:space="preserve"> </w:t>
      </w:r>
      <w:r>
        <w:rPr>
          <w:b/>
          <w:bCs/>
        </w:rPr>
        <w:t xml:space="preserve">glyph 9</w:t>
      </w:r>
      <w:r>
        <w:t xml:space="preserve"> </w:t>
      </w:r>
      <w:r>
        <w:t xml:space="preserve">– drawn with a dotted texture – represents</w:t>
      </w:r>
      <w:r>
        <w:t xml:space="preserve"> </w:t>
      </w:r>
      <w:r>
        <w:rPr>
          <w:i/>
          <w:iCs/>
        </w:rPr>
        <w:t xml:space="preserve">earth/land</w:t>
      </w:r>
      <w:r>
        <w:t xml:space="preserve"> </w:t>
      </w:r>
      <w:r>
        <w:t xml:space="preserve">specifically</w:t>
      </w:r>
      <w:r>
        <w:t xml:space="preserve"> </w:t>
      </w:r>
      <w:r>
        <w:rPr>
          <w:i/>
          <w:iCs/>
        </w:rPr>
        <w:t xml:space="preserve">sand or shore (one)</w:t>
      </w:r>
      <w:r>
        <w:t xml:space="preserve">【39†】, and appears in sequences that describe landfalls. Notably, the Rapa Nui word</w:t>
      </w:r>
      <w:r>
        <w:t xml:space="preserve"> </w:t>
      </w:r>
      <w:r>
        <w:rPr>
          <w:i/>
          <w:iCs/>
        </w:rPr>
        <w:t xml:space="preserve">one</w:t>
      </w:r>
      <w:r>
        <w:t xml:space="preserve"> </w:t>
      </w:r>
      <w:r>
        <w:t xml:space="preserve">means “sand” and sounds like “one”, suggesting a deliberate rebus; indeed, glyph 9 is used as a</w:t>
      </w:r>
      <w:r>
        <w:t xml:space="preserve"> </w:t>
      </w:r>
      <w:r>
        <w:rPr>
          <w:i/>
          <w:iCs/>
        </w:rPr>
        <w:t xml:space="preserve">place marker</w:t>
      </w:r>
      <w:r>
        <w:t xml:space="preserve"> </w:t>
      </w:r>
      <w:r>
        <w:t xml:space="preserve">for the beach of</w:t>
      </w:r>
      <w:r>
        <w:t xml:space="preserve"> </w:t>
      </w:r>
      <w:r>
        <w:rPr>
          <w:b/>
          <w:bCs/>
        </w:rPr>
        <w:t xml:space="preserve">Anakena</w:t>
      </w:r>
      <w:r>
        <w:t xml:space="preserve"> </w:t>
      </w:r>
      <w:r>
        <w:t xml:space="preserve">(the legendary landing site of the first king) at the end of voyage sequences【39†】.</w:t>
      </w:r>
    </w:p>
    <w:p>
      <w:pPr>
        <w:pStyle w:val="BodyText"/>
      </w:pPr>
      <w:r>
        <w:rPr>
          <w:b/>
          <w:bCs/>
        </w:rPr>
        <w:t xml:space="preserve">Fauna and Flora Glyphs:</w:t>
      </w:r>
      <w:r>
        <w:t xml:space="preserve"> </w:t>
      </w:r>
      <w:r>
        <w:t xml:space="preserve">Many animal pictographs have clear semantic values.</w:t>
      </w:r>
      <w:r>
        <w:t xml:space="preserve"> </w:t>
      </w:r>
      <w:r>
        <w:rPr>
          <w:b/>
          <w:bCs/>
        </w:rPr>
        <w:t xml:space="preserve">Glyph 700</w:t>
      </w:r>
      <w:r>
        <w:t xml:space="preserve">, depicting a fish, literally means</w:t>
      </w:r>
      <w:r>
        <w:t xml:space="preserve"> </w:t>
      </w:r>
      <w:r>
        <w:rPr>
          <w:i/>
          <w:iCs/>
        </w:rPr>
        <w:t xml:space="preserve">“fish”</w:t>
      </w:r>
      <w:r>
        <w:t xml:space="preserve"> </w:t>
      </w:r>
      <w:r>
        <w:t xml:space="preserve">but carries a secondary meaning: in lists of the slain, it is read as</w:t>
      </w:r>
      <w:r>
        <w:t xml:space="preserve"> </w:t>
      </w:r>
      <w:r>
        <w:rPr>
          <w:i/>
          <w:iCs/>
        </w:rPr>
        <w:t xml:space="preserve">ika</w:t>
      </w:r>
      <w:r>
        <w:t xml:space="preserve"> </w:t>
      </w:r>
      <w:r>
        <w:t xml:space="preserve">= “victim”, a pun from Rapa Nui where</w:t>
      </w:r>
      <w:r>
        <w:t xml:space="preserve"> </w:t>
      </w:r>
      <w:r>
        <w:rPr>
          <w:i/>
          <w:iCs/>
        </w:rPr>
        <w:t xml:space="preserve">ika</w:t>
      </w:r>
      <w:r>
        <w:t xml:space="preserve"> </w:t>
      </w:r>
      <w:r>
        <w:t xml:space="preserve">(fish) metaphorically refers to a “human sacrifice” or war casualty</w:t>
      </w:r>
      <w:hyperlink r:id="rId24">
        <w:r>
          <w:rPr>
            <w:rStyle w:val="Hyperlink"/>
          </w:rPr>
          <w:t xml:space="preserve">[4]</w:t>
        </w:r>
      </w:hyperlink>
      <w:hyperlink r:id="rId38">
        <w:r>
          <w:rPr>
            <w:rStyle w:val="Hyperlink"/>
          </w:rPr>
          <w:t xml:space="preserve">[18]</w:t>
        </w:r>
      </w:hyperlink>
      <w:r>
        <w:t xml:space="preserve">. This punning use is confirmed by context – on war or tribute lists (the so-called</w:t>
      </w:r>
      <w:r>
        <w:t xml:space="preserve"> </w:t>
      </w:r>
      <w:r>
        <w:rPr>
          <w:i/>
          <w:iCs/>
        </w:rPr>
        <w:t xml:space="preserve">“lines of fish”</w:t>
      </w:r>
      <w:r>
        <w:t xml:space="preserve"> </w:t>
      </w:r>
      <w:r>
        <w:t xml:space="preserve">or</w:t>
      </w:r>
      <w:r>
        <w:t xml:space="preserve"> </w:t>
      </w:r>
      <w:r>
        <w:rPr>
          <w:b/>
          <w:bCs/>
        </w:rPr>
        <w:t xml:space="preserve">kohau ika</w:t>
      </w:r>
      <w:r>
        <w:t xml:space="preserve">), the fish glyph denotes fallen enemies</w:t>
      </w:r>
      <w:hyperlink r:id="rId38">
        <w:r>
          <w:rPr>
            <w:rStyle w:val="Hyperlink"/>
          </w:rPr>
          <w:t xml:space="preserve">[18]</w:t>
        </w:r>
      </w:hyperlink>
      <w:r>
        <w:t xml:space="preserve">. A</w:t>
      </w:r>
      <w:r>
        <w:t xml:space="preserve"> </w:t>
      </w:r>
      <w:r>
        <w:rPr>
          <w:b/>
          <w:bCs/>
        </w:rPr>
        <w:t xml:space="preserve">bird glyph (#600)</w:t>
      </w:r>
      <w:r>
        <w:t xml:space="preserve"> </w:t>
      </w:r>
      <w:r>
        <w:t xml:space="preserve">signifies</w:t>
      </w:r>
      <w:r>
        <w:t xml:space="preserve"> </w:t>
      </w:r>
      <w:r>
        <w:rPr>
          <w:i/>
          <w:iCs/>
        </w:rPr>
        <w:t xml:space="preserve">“bird” (manu)</w:t>
      </w:r>
      <w:r>
        <w:t xml:space="preserve">, and when combined with the plural hand-sign (see below) as</w:t>
      </w:r>
      <w:r>
        <w:t xml:space="preserve"> </w:t>
      </w:r>
      <w:r>
        <w:rPr>
          <w:b/>
          <w:bCs/>
        </w:rPr>
        <w:t xml:space="preserve">glyph 606</w:t>
      </w:r>
      <w:r>
        <w:t xml:space="preserve">, it denotes a</w:t>
      </w:r>
      <w:r>
        <w:t xml:space="preserve"> </w:t>
      </w:r>
      <w:r>
        <w:rPr>
          <w:i/>
          <w:iCs/>
        </w:rPr>
        <w:t xml:space="preserve">“flock of birds”</w:t>
      </w:r>
      <w:r>
        <w:t xml:space="preserve"> </w:t>
      </w:r>
      <w:r>
        <w:t xml:space="preserve">or even metaphorical</w:t>
      </w:r>
      <w:r>
        <w:t xml:space="preserve"> </w:t>
      </w:r>
      <w:r>
        <w:rPr>
          <w:i/>
          <w:iCs/>
        </w:rPr>
        <w:t xml:space="preserve">spirits</w:t>
      </w:r>
      <w:r>
        <w:t xml:space="preserve">【28†】</w:t>
      </w:r>
      <w:hyperlink r:id="rId39">
        <w:r>
          <w:rPr>
            <w:rStyle w:val="Hyperlink"/>
          </w:rPr>
          <w:t xml:space="preserve">[19]</w:t>
        </w:r>
      </w:hyperlink>
      <w:r>
        <w:t xml:space="preserve">. Reptiles are present too: a</w:t>
      </w:r>
      <w:r>
        <w:t xml:space="preserve"> </w:t>
      </w:r>
      <w:r>
        <w:rPr>
          <w:b/>
          <w:bCs/>
        </w:rPr>
        <w:t xml:space="preserve">lizard glyph (#69)</w:t>
      </w:r>
      <w:r>
        <w:t xml:space="preserve"> </w:t>
      </w:r>
      <w:r>
        <w:t xml:space="preserve">(often drawn with a curled tail) has been interpreted as</w:t>
      </w:r>
      <w:r>
        <w:t xml:space="preserve"> </w:t>
      </w:r>
      <w:r>
        <w:rPr>
          <w:i/>
          <w:iCs/>
        </w:rPr>
        <w:t xml:space="preserve">“lizard, moko”</w:t>
      </w:r>
      <w:r>
        <w:t xml:space="preserve">, possibly symbolizing renewal or the deity Hiro; intriguingly, lizards in Polynesia were sometimes associated with the start of a new cycle or rain, and this glyph appears near new-moon contexts (suggesting a connection to the moon’s rebirth)【25†】.</w:t>
      </w:r>
      <w:r>
        <w:t xml:space="preserve"> </w:t>
      </w:r>
      <w:r>
        <w:rPr>
          <w:b/>
          <w:bCs/>
        </w:rPr>
        <w:t xml:space="preserve">Turtle glyphs</w:t>
      </w:r>
      <w:r>
        <w:t xml:space="preserve"> </w:t>
      </w:r>
      <w:r>
        <w:t xml:space="preserve">also appear in two forms:</w:t>
      </w:r>
      <w:r>
        <w:t xml:space="preserve"> </w:t>
      </w:r>
      <w:r>
        <w:rPr>
          <w:b/>
          <w:bCs/>
        </w:rPr>
        <w:t xml:space="preserve">glyph 68</w:t>
      </w:r>
      <w:r>
        <w:t xml:space="preserve">, a turtle pictograph (</w:t>
      </w:r>
      <w:r>
        <w:rPr>
          <w:i/>
          <w:iCs/>
        </w:rPr>
        <w:t xml:space="preserve">honu</w:t>
      </w:r>
      <w:r>
        <w:t xml:space="preserve">), is tied to the sea and the god Rongo, and shows up as a name or emblem in mythic genealogies【35†】. Meanwhile</w:t>
      </w:r>
      <w:r>
        <w:t xml:space="preserve"> </w:t>
      </w:r>
      <w:r>
        <w:rPr>
          <w:b/>
          <w:bCs/>
        </w:rPr>
        <w:t xml:space="preserve">glyph 280</w:t>
      </w:r>
      <w:r>
        <w:t xml:space="preserve"> </w:t>
      </w:r>
      <w:r>
        <w:t xml:space="preserve">(a variant turtle glyph) specifically occurs during the dark moon in the Mamari calendar, symbolizing the moon’s temporary “retreat” – the turtle’s longevity and association with the earth may metaphorically mark the moon’s disappearance and rebirth【27†】. Plant-life is similarly encoded:</w:t>
      </w:r>
      <w:r>
        <w:t xml:space="preserve"> </w:t>
      </w:r>
      <w:r>
        <w:rPr>
          <w:b/>
          <w:bCs/>
        </w:rPr>
        <w:t xml:space="preserve">glyph 67</w:t>
      </w:r>
      <w:r>
        <w:t xml:space="preserve"> </w:t>
      </w:r>
      <w:r>
        <w:t xml:space="preserve">resembles a palm or tree and in single form may indicate the extinct Rapa Nui palm or a cyclical concept (its triple repetition denoted</w:t>
      </w:r>
      <w:r>
        <w:t xml:space="preserve"> </w:t>
      </w:r>
      <w:r>
        <w:rPr>
          <w:i/>
          <w:iCs/>
        </w:rPr>
        <w:t xml:space="preserve">“nothingness”/new moon as noted)</w:t>
      </w:r>
      <w:hyperlink r:id="rId36">
        <w:r>
          <w:rPr>
            <w:rStyle w:val="Hyperlink"/>
            <w:i/>
            <w:iCs/>
          </w:rPr>
          <w:t xml:space="preserve">[16]</w:t>
        </w:r>
      </w:hyperlink>
      <w:r>
        <w:rPr>
          <w:i/>
          <w:iCs/>
        </w:rPr>
        <w:t xml:space="preserve">. A</w:t>
      </w:r>
      <w:r>
        <w:t xml:space="preserve"> </w:t>
      </w:r>
      <w:r>
        <w:rPr>
          <w:i/>
          <w:iCs/>
        </w:rPr>
        <w:t xml:space="preserve">yam or tuber glyph (#19)</w:t>
      </w:r>
      <w:r>
        <w:t xml:space="preserve"> </w:t>
      </w:r>
      <w:r>
        <w:rPr>
          <w:i/>
          <w:iCs/>
        </w:rPr>
        <w:t xml:space="preserve">exists (reflecting the importance of sweet potato agriculture), though it is rare and of lower confidence【37†】. More common are generic plant symbols: e.g.</w:t>
      </w:r>
      <w:r>
        <w:t xml:space="preserve"> </w:t>
      </w:r>
      <w:r>
        <w:rPr>
          <w:i/>
          <w:iCs/>
        </w:rPr>
        <w:t xml:space="preserve">glyph 20, a branching shape, meaning</w:t>
      </w:r>
      <w:r>
        <w:t xml:space="preserve"> </w:t>
      </w:r>
      <w:r>
        <w:t xml:space="preserve">“plant”</w:t>
      </w:r>
      <w:r>
        <w:t xml:space="preserve"> </w:t>
      </w:r>
      <w:r>
        <w:rPr>
          <w:i/>
          <w:iCs/>
        </w:rPr>
        <w:t xml:space="preserve">or</w:t>
      </w:r>
      <w:r>
        <w:t xml:space="preserve"> </w:t>
      </w:r>
      <w:r>
        <w:t xml:space="preserve">“wood”</w:t>
      </w:r>
      <w:r>
        <w:rPr>
          <w:i/>
          <w:iCs/>
        </w:rPr>
        <w:t xml:space="preserve">, which might appear in contexts of cultivation or lineage (family tree metaphor)【36†】.</w:t>
      </w:r>
      <w:r>
        <w:t xml:space="preserve"> </w:t>
      </w:r>
      <w:r>
        <w:rPr>
          <w:i/>
          <w:iCs/>
        </w:rPr>
        <w:t xml:space="preserve">Glyph 18</w:t>
      </w:r>
      <w:r>
        <w:t xml:space="preserve"> </w:t>
      </w:r>
      <w:r>
        <w:rPr>
          <w:i/>
          <w:iCs/>
        </w:rPr>
        <w:t xml:space="preserve">(fruit cluster) conveys</w:t>
      </w:r>
      <w:r>
        <w:t xml:space="preserve"> </w:t>
      </w:r>
      <w:r>
        <w:t xml:space="preserve">“fruit” or “yield”</w:t>
      </w:r>
      <w:r>
        <w:rPr>
          <w:i/>
          <w:iCs/>
        </w:rPr>
        <w:t xml:space="preserve">, and</w:t>
      </w:r>
      <w:r>
        <w:t xml:space="preserve"> </w:t>
      </w:r>
      <w:r>
        <w:rPr>
          <w:i/>
          <w:iCs/>
        </w:rPr>
        <w:t xml:space="preserve">glyph 33</w:t>
      </w:r>
      <w:r>
        <w:t xml:space="preserve"> </w:t>
      </w:r>
      <w:r>
        <w:rPr>
          <w:i/>
          <w:iCs/>
        </w:rPr>
        <w:t xml:space="preserve">(a flame-like shape) means</w:t>
      </w:r>
      <w:r>
        <w:t xml:space="preserve"> </w:t>
      </w:r>
      <w:r>
        <w:t xml:space="preserve">“fire” or “to cook”</w:t>
      </w:r>
      <w:r>
        <w:rPr>
          <w:i/>
          <w:iCs/>
        </w:rPr>
        <w:t xml:space="preserve">, which is pertinent in mythological metaphors (such as the oven-in-the-sky for the full moon)【26†】. Each glyph’s meaning has been deduced by collating these visual cues with consistent cross-tablet usage and Rapa Nui vocabulary. Importantly, most glyphs are</w:t>
      </w:r>
      <w:r>
        <w:t xml:space="preserve"> </w:t>
      </w:r>
      <w:r>
        <w:rPr>
          <w:i/>
          <w:iCs/>
        </w:rPr>
        <w:t xml:space="preserve">polysemic</w:t>
      </w:r>
      <w:r>
        <w:t xml:space="preserve">* – they carry 2–3 related meanings depending on context (e.g. fish = fish or victim; turtle = turtle or the god it represents), underscoring Rongorongo’s mnemonic, context-dependent nature</w:t>
      </w:r>
      <w:hyperlink r:id="rId40">
        <w:r>
          <w:rPr>
            <w:rStyle w:val="Hyperlink"/>
          </w:rPr>
          <w:t xml:space="preserve">[20]</w:t>
        </w:r>
      </w:hyperlink>
      <w:hyperlink r:id="rId41">
        <w:r>
          <w:rPr>
            <w:rStyle w:val="Hyperlink"/>
          </w:rPr>
          <w:t xml:space="preserve">[21]</w:t>
        </w:r>
      </w:hyperlink>
      <w:r>
        <w:t xml:space="preserve">.</w:t>
      </w:r>
    </w:p>
    <w:bookmarkEnd w:id="42"/>
    <w:bookmarkStart w:id="55" w:name="glyph-clusters-and-recurring-sequences"/>
    <w:p>
      <w:pPr>
        <w:pStyle w:val="Heading2"/>
      </w:pPr>
      <w:r>
        <w:t xml:space="preserve">Glyph Clusters and Recurring Sequences</w:t>
      </w:r>
    </w:p>
    <w:p>
      <w:pPr>
        <w:pStyle w:val="FirstParagraph"/>
      </w:pPr>
      <w:r>
        <w:t xml:space="preserve">Analyzing the corpus as a whole, researchers identified</w:t>
      </w:r>
      <w:r>
        <w:t xml:space="preserve"> </w:t>
      </w:r>
      <w:r>
        <w:rPr>
          <w:b/>
          <w:bCs/>
        </w:rPr>
        <w:t xml:space="preserve">repeating glyph sequences and structural patterns</w:t>
      </w:r>
      <w:r>
        <w:t xml:space="preserve"> </w:t>
      </w:r>
      <w:r>
        <w:t xml:space="preserve">across different tablets</w:t>
      </w:r>
      <w:hyperlink r:id="rId43">
        <w:r>
          <w:rPr>
            <w:rStyle w:val="Hyperlink"/>
          </w:rPr>
          <w:t xml:space="preserve">[22]</w:t>
        </w:r>
      </w:hyperlink>
      <w:r>
        <w:t xml:space="preserve">. These recurring clusters were key to unlocking content, as the same phrase appearing in multiple contexts reinforces a proposed meaning</w:t>
      </w:r>
      <w:hyperlink r:id="rId44">
        <w:r>
          <w:rPr>
            <w:rStyle w:val="Hyperlink"/>
          </w:rPr>
          <w:t xml:space="preserve">[23]</w:t>
        </w:r>
      </w:hyperlink>
      <w:r>
        <w:t xml:space="preserve">. One major discovery is that</w:t>
      </w:r>
      <w:r>
        <w:t xml:space="preserve"> </w:t>
      </w:r>
      <w:r>
        <w:rPr>
          <w:b/>
          <w:bCs/>
        </w:rPr>
        <w:t xml:space="preserve">several tablets record genealogical lists (king-lists)</w:t>
      </w:r>
      <w:r>
        <w:t xml:space="preserve"> </w:t>
      </w:r>
      <w:r>
        <w:t xml:space="preserve">using a formulaic chain. On the</w:t>
      </w:r>
      <w:r>
        <w:t xml:space="preserve"> </w:t>
      </w:r>
      <w:r>
        <w:rPr>
          <w:b/>
          <w:bCs/>
        </w:rPr>
        <w:t xml:space="preserve">Small Santiago Tablet (Text G)</w:t>
      </w:r>
      <w:r>
        <w:t xml:space="preserve">, for instance, scholars observed a repetitive pattern of</w:t>
      </w:r>
      <w:r>
        <w:t xml:space="preserve"> </w:t>
      </w:r>
      <w:r>
        <w:rPr>
          <w:b/>
          <w:bCs/>
        </w:rPr>
        <w:t xml:space="preserve">Name – glyph76 – Name – glyph76 – Name</w:t>
      </w:r>
      <w:r>
        <w:t xml:space="preserve">, etc., which reads as “Chief A begat B; B begat C; C begat D…”</w:t>
      </w:r>
      <w:hyperlink r:id="rId45">
        <w:r>
          <w:rPr>
            <w:rStyle w:val="Hyperlink"/>
          </w:rPr>
          <w:t xml:space="preserve">[24]</w:t>
        </w:r>
      </w:hyperlink>
      <w:r>
        <w:t xml:space="preserve">. Here</w:t>
      </w:r>
      <w:r>
        <w:t xml:space="preserve"> </w:t>
      </w:r>
      <w:r>
        <w:rPr>
          <w:b/>
          <w:bCs/>
        </w:rPr>
        <w:t xml:space="preserve">glyph 76 (“offspring of”)</w:t>
      </w:r>
      <w:r>
        <w:t xml:space="preserve"> </w:t>
      </w:r>
      <w:r>
        <w:t xml:space="preserve">serves as the link between consecutive names, effectively meaning</w:t>
      </w:r>
      <w:r>
        <w:t xml:space="preserve"> </w:t>
      </w:r>
      <w:r>
        <w:rPr>
          <w:i/>
          <w:iCs/>
        </w:rPr>
        <w:t xml:space="preserve">“son of” or “born of”</w:t>
      </w:r>
      <w:hyperlink r:id="rId46">
        <w:r>
          <w:rPr>
            <w:rStyle w:val="Hyperlink"/>
          </w:rPr>
          <w:t xml:space="preserve">[25]</w:t>
        </w:r>
      </w:hyperlink>
      <w:r>
        <w:t xml:space="preserve">. This sequence appears over 30 times on Tablet G</w:t>
      </w:r>
      <w:hyperlink r:id="rId47">
        <w:r>
          <w:rPr>
            <w:rStyle w:val="Hyperlink"/>
          </w:rPr>
          <w:t xml:space="preserve">[26]</w:t>
        </w:r>
      </w:hyperlink>
      <w:r>
        <w:t xml:space="preserve">, confirming it as a lineage list of successive chiefs. Furthermore, a special</w:t>
      </w:r>
      <w:r>
        <w:t xml:space="preserve"> </w:t>
      </w:r>
      <w:r>
        <w:rPr>
          <w:b/>
          <w:bCs/>
        </w:rPr>
        <w:t xml:space="preserve">section-divider glyph</w:t>
      </w:r>
      <w:r>
        <w:t xml:space="preserve"> </w:t>
      </w:r>
      <w:r>
        <w:t xml:space="preserve">is interwoven: the composite</w:t>
      </w:r>
      <w:r>
        <w:t xml:space="preserve"> </w:t>
      </w:r>
      <w:r>
        <w:rPr>
          <w:b/>
          <w:bCs/>
        </w:rPr>
        <w:t xml:space="preserve">glyph 380.1.3 (human figure with staff)</w:t>
      </w:r>
      <w:r>
        <w:t xml:space="preserve"> </w:t>
      </w:r>
      <w:r>
        <w:t xml:space="preserve">repeats at regular intervals, marking the start of a new entry (a new ancestor or king) in the list</w:t>
      </w:r>
      <w:hyperlink r:id="rId30">
        <w:r>
          <w:rPr>
            <w:rStyle w:val="Hyperlink"/>
          </w:rPr>
          <w:t xml:space="preserve">[10]</w:t>
        </w:r>
      </w:hyperlink>
      <w:hyperlink r:id="rId31">
        <w:r>
          <w:rPr>
            <w:rStyle w:val="Hyperlink"/>
          </w:rPr>
          <w:t xml:space="preserve">[11]</w:t>
        </w:r>
      </w:hyperlink>
      <w:r>
        <w:t xml:space="preserve">. In essence, 380.1.3 functions like a bullet or line-break indicating</w:t>
      </w:r>
      <w:r>
        <w:t xml:space="preserve"> </w:t>
      </w:r>
      <w:r>
        <w:rPr>
          <w:i/>
          <w:iCs/>
        </w:rPr>
        <w:t xml:space="preserve">“new lineage item”</w:t>
      </w:r>
      <w:r>
        <w:t xml:space="preserve">. This structure matches 19th-century Rapa Nui testimonies that certain tablets were</w:t>
      </w:r>
      <w:r>
        <w:t xml:space="preserve"> </w:t>
      </w:r>
      <w:r>
        <w:rPr>
          <w:i/>
          <w:iCs/>
        </w:rPr>
        <w:t xml:space="preserve">kōhau ta‘u</w:t>
      </w:r>
      <w:r>
        <w:t xml:space="preserve"> </w:t>
      </w:r>
      <w:r>
        <w:t xml:space="preserve">(lines of years) – essentially genealogies or king lists</w:t>
      </w:r>
      <w:hyperlink r:id="rId48">
        <w:r>
          <w:rPr>
            <w:rStyle w:val="Hyperlink"/>
          </w:rPr>
          <w:t xml:space="preserve">[27]</w:t>
        </w:r>
      </w:hyperlink>
      <w:r>
        <w:t xml:space="preserve">. It also aligns with earlier scholarly suspicions that Tablet G contained the</w:t>
      </w:r>
      <w:r>
        <w:t xml:space="preserve"> </w:t>
      </w:r>
      <w:r>
        <w:rPr>
          <w:i/>
          <w:iCs/>
        </w:rPr>
        <w:t xml:space="preserve">“A son of B; B son of C”</w:t>
      </w:r>
      <w:r>
        <w:t xml:space="preserve"> </w:t>
      </w:r>
      <w:r>
        <w:t xml:space="preserve">formula; the decipherment confirms this with concrete glyph-by-glyph readings</w:t>
      </w:r>
      <w:hyperlink r:id="rId48">
        <w:r>
          <w:rPr>
            <w:rStyle w:val="Hyperlink"/>
          </w:rPr>
          <w:t xml:space="preserve">[27]</w:t>
        </w:r>
      </w:hyperlink>
      <w:r>
        <w:t xml:space="preserve">.</w:t>
      </w:r>
    </w:p>
    <w:p>
      <w:pPr>
        <w:pStyle w:val="BodyText"/>
      </w:pPr>
      <w:r>
        <w:t xml:space="preserve">Another tablet, the</w:t>
      </w:r>
      <w:r>
        <w:t xml:space="preserve"> </w:t>
      </w:r>
      <w:r>
        <w:rPr>
          <w:b/>
          <w:bCs/>
        </w:rPr>
        <w:t xml:space="preserve">Great Santiago Staff (Text I)</w:t>
      </w:r>
      <w:r>
        <w:t xml:space="preserve"> </w:t>
      </w:r>
      <w:r>
        <w:t xml:space="preserve">– the longest Rongorongo text – appears to be an extensive list built on the same “X 76 Y” pattern. Remarkably, glyph 76 occurs</w:t>
      </w:r>
      <w:r>
        <w:t xml:space="preserve"> </w:t>
      </w:r>
      <w:r>
        <w:rPr>
          <w:b/>
          <w:bCs/>
        </w:rPr>
        <w:t xml:space="preserve">564 times on the Staff</w:t>
      </w:r>
      <w:r>
        <w:t xml:space="preserve">, making up roughly one-quarter of its ~2,320 glyphs</w:t>
      </w:r>
      <w:hyperlink r:id="rId49">
        <w:r>
          <w:rPr>
            <w:rStyle w:val="Hyperlink"/>
          </w:rPr>
          <w:t xml:space="preserve">[28]</w:t>
        </w:r>
      </w:hyperlink>
      <w:r>
        <w:t xml:space="preserve">. This high frequency strongly indicates the Staff is a long generational record (possibly a royal genealogy</w:t>
      </w:r>
      <w:r>
        <w:t xml:space="preserve"> </w:t>
      </w:r>
      <w:r>
        <w:rPr>
          <w:i/>
          <w:iCs/>
        </w:rPr>
        <w:t xml:space="preserve">or</w:t>
      </w:r>
      <w:r>
        <w:t xml:space="preserve"> </w:t>
      </w:r>
      <w:r>
        <w:t xml:space="preserve">a war casualty list, see below) structured by the “X, child of Y” formula</w:t>
      </w:r>
      <w:hyperlink r:id="rId49">
        <w:r>
          <w:rPr>
            <w:rStyle w:val="Hyperlink"/>
          </w:rPr>
          <w:t xml:space="preserve">[28]</w:t>
        </w:r>
      </w:hyperlink>
      <w:r>
        <w:t xml:space="preserve">. Indeed, debate remains whether the Staff is purely genealogical or partly mythological, but in either case it encodes a long chain of “begats.” Some repeated name sequences on the Staff hint at mythical beings rather than human kings (suggesting a creation genealogy of gods), but others could correspond to historical king lists. Additionally, Tablet</w:t>
      </w:r>
      <w:r>
        <w:t xml:space="preserve"> </w:t>
      </w:r>
      <w:r>
        <w:rPr>
          <w:b/>
          <w:bCs/>
        </w:rPr>
        <w:t xml:space="preserve">K (Large London)</w:t>
      </w:r>
      <w:r>
        <w:t xml:space="preserve"> </w:t>
      </w:r>
      <w:r>
        <w:t xml:space="preserve">was found to be a shorter</w:t>
      </w:r>
      <w:r>
        <w:t xml:space="preserve"> </w:t>
      </w:r>
      <w:r>
        <w:rPr>
          <w:b/>
          <w:bCs/>
        </w:rPr>
        <w:t xml:space="preserve">paraphrase of the Small Santiago’s genealogy</w:t>
      </w:r>
      <w:r>
        <w:t xml:space="preserve"> </w:t>
      </w:r>
      <w:r>
        <w:t xml:space="preserve">– it contains many of the same name-and-offspring sequences in a condensed form</w:t>
      </w:r>
      <w:hyperlink r:id="rId50">
        <w:r>
          <w:rPr>
            <w:rStyle w:val="Hyperlink"/>
          </w:rPr>
          <w:t xml:space="preserve">[29]</w:t>
        </w:r>
      </w:hyperlink>
      <w:r>
        <w:t xml:space="preserve">. This implies that multiple copies or versions of the king list existed, which strengthens our ability to confirm readings by comparison.</w:t>
      </w:r>
    </w:p>
    <w:p>
      <w:pPr>
        <w:pStyle w:val="BodyText"/>
      </w:pPr>
      <w:r>
        <w:t xml:space="preserve">Beyond family-line lists, other</w:t>
      </w:r>
      <w:r>
        <w:t xml:space="preserve"> </w:t>
      </w:r>
      <w:r>
        <w:rPr>
          <w:b/>
          <w:bCs/>
        </w:rPr>
        <w:t xml:space="preserve">recurring sequences</w:t>
      </w:r>
      <w:r>
        <w:t xml:space="preserve"> </w:t>
      </w:r>
      <w:r>
        <w:t xml:space="preserve">point to different content types. Researchers uncovered what appears to be a</w:t>
      </w:r>
      <w:r>
        <w:t xml:space="preserve"> </w:t>
      </w:r>
      <w:r>
        <w:rPr>
          <w:b/>
          <w:bCs/>
        </w:rPr>
        <w:t xml:space="preserve">migration legend</w:t>
      </w:r>
      <w:r>
        <w:t xml:space="preserve"> </w:t>
      </w:r>
      <w:r>
        <w:t xml:space="preserve">encoded on one tablet (tentatively Tablet B or E): a series of repeated</w:t>
      </w:r>
      <w:r>
        <w:t xml:space="preserve"> </w:t>
      </w:r>
      <w:r>
        <w:rPr>
          <w:b/>
          <w:bCs/>
        </w:rPr>
        <w:t xml:space="preserve">voyage sequences</w:t>
      </w:r>
      <w:r>
        <w:t xml:space="preserve"> </w:t>
      </w:r>
      <w:r>
        <w:t xml:space="preserve">culminating in the landfall glyph for</w:t>
      </w:r>
      <w:r>
        <w:t xml:space="preserve"> </w:t>
      </w:r>
      <w:r>
        <w:rPr>
          <w:i/>
          <w:iCs/>
        </w:rPr>
        <w:t xml:space="preserve">“sand/shore (Anakena)”</w:t>
      </w:r>
      <w:r>
        <w:t xml:space="preserve">【39†】. The sequence pattern involves a</w:t>
      </w:r>
      <w:r>
        <w:t xml:space="preserve"> </w:t>
      </w:r>
      <w:r>
        <w:rPr>
          <w:b/>
          <w:bCs/>
        </w:rPr>
        <w:t xml:space="preserve">canoe glyph (#15)</w:t>
      </w:r>
      <w:r>
        <w:t xml:space="preserve"> </w:t>
      </w:r>
      <w:r>
        <w:t xml:space="preserve">representing a voyage, followed by various signs (perhaps crew or events), and finally glyph 9 (</w:t>
      </w:r>
      <w:r>
        <w:rPr>
          <w:i/>
          <w:iCs/>
        </w:rPr>
        <w:t xml:space="preserve">oneone</w:t>
      </w:r>
      <w:r>
        <w:t xml:space="preserve">, sand) marking arrival. This cluster recurs several times, suggesting multiple journeys – consistent with Rapa Nui oral tradition that there were several canoe expeditions during the island’s settlement. In fact, one phrase in the inscriptions corresponds to</w:t>
      </w:r>
      <w:r>
        <w:t xml:space="preserve"> </w:t>
      </w:r>
      <w:r>
        <w:rPr>
          <w:i/>
          <w:iCs/>
        </w:rPr>
        <w:t xml:space="preserve">“Hau hatu a Hotu Matuꞌa”</w:t>
      </w:r>
      <w:r>
        <w:t xml:space="preserve"> </w:t>
      </w:r>
      <w:r>
        <w:t xml:space="preserve">(the departure of the chief Hotu Matuꞌa) as a</w:t>
      </w:r>
      <w:r>
        <w:t xml:space="preserve"> </w:t>
      </w:r>
      <w:r>
        <w:rPr>
          <w:i/>
          <w:iCs/>
        </w:rPr>
        <w:t xml:space="preserve">first voyage</w:t>
      </w:r>
      <w:r>
        <w:t xml:space="preserve">, followed by others (interpreted with caution). The consistent appearance of the “sand/Anakena” glyph at the end of these sequences is compelling: it likely names the island’s first landing point, a detail known from legend【39†】. Thus, the script appears to preserve a</w:t>
      </w:r>
      <w:r>
        <w:t xml:space="preserve"> </w:t>
      </w:r>
      <w:r>
        <w:rPr>
          <w:i/>
          <w:iCs/>
        </w:rPr>
        <w:t xml:space="preserve">mythic-historical narrative</w:t>
      </w:r>
      <w:r>
        <w:t xml:space="preserve"> </w:t>
      </w:r>
      <w:r>
        <w:t xml:space="preserve">of voyages and settlements, not just abstract lists. Another example is a suspected</w:t>
      </w:r>
      <w:r>
        <w:t xml:space="preserve"> </w:t>
      </w:r>
      <w:r>
        <w:rPr>
          <w:b/>
          <w:bCs/>
        </w:rPr>
        <w:t xml:space="preserve">war record (kōhau ika)</w:t>
      </w:r>
      <w:r>
        <w:t xml:space="preserve"> </w:t>
      </w:r>
      <w:r>
        <w:t xml:space="preserve">where sequences of</w:t>
      </w:r>
      <w:r>
        <w:t xml:space="preserve"> </w:t>
      </w:r>
      <w:r>
        <w:rPr>
          <w:b/>
          <w:bCs/>
        </w:rPr>
        <w:t xml:space="preserve">human figures coupled with fish glyphs (#700)</w:t>
      </w:r>
      <w:r>
        <w:t xml:space="preserve"> </w:t>
      </w:r>
      <w:r>
        <w:t xml:space="preserve">enumerate those killed or taken (literally “men as fish”)</w:t>
      </w:r>
      <w:hyperlink r:id="rId38">
        <w:r>
          <w:rPr>
            <w:rStyle w:val="Hyperlink"/>
          </w:rPr>
          <w:t xml:space="preserve">[18]</w:t>
        </w:r>
      </w:hyperlink>
      <w:r>
        <w:t xml:space="preserve">. This would match oral accounts of tablets listing war dead as “lines of fishes” (each fish symbol representing a fallen clan member)</w:t>
      </w:r>
      <w:hyperlink r:id="rId51">
        <w:r>
          <w:rPr>
            <w:rStyle w:val="Hyperlink"/>
          </w:rPr>
          <w:t xml:space="preserve">[30]</w:t>
        </w:r>
      </w:hyperlink>
      <w:r>
        <w:t xml:space="preserve">. While the exact tablet for this war list is not explicitly named in the sources, the principle is supported by the fish-as-victim pun and by certain tablets (e.g. Text H or others) showing clusters of human and fish signs.</w:t>
      </w:r>
    </w:p>
    <w:p>
      <w:pPr>
        <w:pStyle w:val="BodyText"/>
      </w:pPr>
      <w:r>
        <w:t xml:space="preserve">Recurring</w:t>
      </w:r>
      <w:r>
        <w:t xml:space="preserve"> </w:t>
      </w:r>
      <w:r>
        <w:rPr>
          <w:b/>
          <w:bCs/>
        </w:rPr>
        <w:t xml:space="preserve">mythic sequences</w:t>
      </w:r>
      <w:r>
        <w:t xml:space="preserve"> </w:t>
      </w:r>
      <w:r>
        <w:t xml:space="preserve">have also been detected. For instance, one oft-repeated cluster is a</w:t>
      </w:r>
      <w:r>
        <w:t xml:space="preserve"> </w:t>
      </w:r>
      <w:r>
        <w:rPr>
          <w:b/>
          <w:bCs/>
        </w:rPr>
        <w:t xml:space="preserve">triad</w:t>
      </w:r>
      <w:r>
        <w:t xml:space="preserve"> </w:t>
      </w:r>
      <w:r>
        <w:t xml:space="preserve">where a</w:t>
      </w:r>
      <w:r>
        <w:t xml:space="preserve"> </w:t>
      </w:r>
      <w:r>
        <w:rPr>
          <w:i/>
          <w:iCs/>
        </w:rPr>
        <w:t xml:space="preserve">bird glyph</w:t>
      </w:r>
      <w:r>
        <w:t xml:space="preserve"> </w:t>
      </w:r>
      <w:r>
        <w:t xml:space="preserve">followed by glyph 76 then a</w:t>
      </w:r>
      <w:r>
        <w:t xml:space="preserve"> </w:t>
      </w:r>
      <w:r>
        <w:rPr>
          <w:i/>
          <w:iCs/>
        </w:rPr>
        <w:t xml:space="preserve">fish glyph</w:t>
      </w:r>
      <w:r>
        <w:t xml:space="preserve"> </w:t>
      </w:r>
      <w:r>
        <w:t xml:space="preserve">appears in the Great Santiago Staff and a few other tablets</w:t>
      </w:r>
      <w:hyperlink r:id="rId52">
        <w:r>
          <w:rPr>
            <w:rStyle w:val="Hyperlink"/>
          </w:rPr>
          <w:t xml:space="preserve">[31]</w:t>
        </w:r>
      </w:hyperlink>
      <w:r>
        <w:t xml:space="preserve">. One interpretation is that this represents a cosmogonic lineage: a Sky-Father (bird) producing an Earth-Mother or Sea creature (fish) as offspring</w:t>
      </w:r>
      <w:hyperlink r:id="rId52">
        <w:r>
          <w:rPr>
            <w:rStyle w:val="Hyperlink"/>
          </w:rPr>
          <w:t xml:space="preserve">[31]</w:t>
        </w:r>
      </w:hyperlink>
      <w:r>
        <w:t xml:space="preserve">. In Rapa Nui cosmology (as in other Polynesian cultures), birds often symbolize sky or air, and fish symbolize the sea; their union could be a metaphor for the creation of life (sky and sea giving rise to the world)</w:t>
      </w:r>
      <w:hyperlink r:id="rId52">
        <w:r>
          <w:rPr>
            <w:rStyle w:val="Hyperlink"/>
          </w:rPr>
          <w:t xml:space="preserve">[31]</w:t>
        </w:r>
      </w:hyperlink>
      <w:r>
        <w:t xml:space="preserve">. Such sequences, repeated with slight variations, point to a narrative structure rather than a random list. By mapping these patterns across multiple tablets, researchers achieved a</w:t>
      </w:r>
      <w:r>
        <w:t xml:space="preserve"> </w:t>
      </w:r>
      <w:r>
        <w:rPr>
          <w:b/>
          <w:bCs/>
        </w:rPr>
        <w:t xml:space="preserve">“systematic validation”</w:t>
      </w:r>
      <w:r>
        <w:t xml:space="preserve"> </w:t>
      </w:r>
      <w:r>
        <w:t xml:space="preserve">of interpretations: when the same cluster of glyphs appears in different texts with a consistent context, it reinforces the proposed meaning</w:t>
      </w:r>
      <w:hyperlink r:id="rId44">
        <w:r>
          <w:rPr>
            <w:rStyle w:val="Hyperlink"/>
          </w:rPr>
          <w:t xml:space="preserve">[23]</w:t>
        </w:r>
      </w:hyperlink>
      <w:r>
        <w:t xml:space="preserve">. For example, a particular mythic chant phrase deciphered on one tablet was later spotted on</w:t>
      </w:r>
      <w:r>
        <w:t xml:space="preserve"> </w:t>
      </w:r>
      <w:r>
        <w:rPr>
          <w:b/>
          <w:bCs/>
        </w:rPr>
        <w:t xml:space="preserve">Tablet O</w:t>
      </w:r>
      <w:r>
        <w:t xml:space="preserve"> </w:t>
      </w:r>
      <w:r>
        <w:t xml:space="preserve">(Berlin tablet), which not only confirmed the phrase but also provided additional details like the</w:t>
      </w:r>
      <w:r>
        <w:t xml:space="preserve"> </w:t>
      </w:r>
      <w:r>
        <w:rPr>
          <w:i/>
          <w:iCs/>
        </w:rPr>
        <w:t xml:space="preserve">names of chiefs</w:t>
      </w:r>
      <w:r>
        <w:t xml:space="preserve"> </w:t>
      </w:r>
      <w:r>
        <w:t xml:space="preserve">involved in that myth</w:t>
      </w:r>
      <w:hyperlink r:id="rId44">
        <w:r>
          <w:rPr>
            <w:rStyle w:val="Hyperlink"/>
          </w:rPr>
          <w:t xml:space="preserve">[23]</w:t>
        </w:r>
      </w:hyperlink>
      <w:r>
        <w:t xml:space="preserve">. In summary, identifying parallel passages – genealogical formulas, voyage refrains, chant verses – across the corpus has been instrumental. It transformed formerly inscrutable glyph strings into intelligible units of meaning through cross-confirmation</w:t>
      </w:r>
      <w:hyperlink r:id="rId44">
        <w:r>
          <w:rPr>
            <w:rStyle w:val="Hyperlink"/>
          </w:rPr>
          <w:t xml:space="preserve">[23]</w:t>
        </w:r>
      </w:hyperlink>
      <w:hyperlink r:id="rId53">
        <w:r>
          <w:rPr>
            <w:rStyle w:val="Hyperlink"/>
          </w:rPr>
          <w:t xml:space="preserve">[32]</w:t>
        </w:r>
      </w:hyperlink>
      <w:r>
        <w:t xml:space="preserve">. This interconnected web of repeating sequences demonstrates that Rongorongo texts were not all unique; rather, some were</w:t>
      </w:r>
      <w:r>
        <w:t xml:space="preserve"> </w:t>
      </w:r>
      <w:r>
        <w:rPr>
          <w:b/>
          <w:bCs/>
        </w:rPr>
        <w:t xml:space="preserve">standardized compositions</w:t>
      </w:r>
      <w:r>
        <w:t xml:space="preserve"> </w:t>
      </w:r>
      <w:r>
        <w:t xml:space="preserve">(important chants, lists, or stories) that were copied and remembered across generations</w:t>
      </w:r>
      <w:hyperlink r:id="rId54">
        <w:r>
          <w:rPr>
            <w:rStyle w:val="Hyperlink"/>
          </w:rPr>
          <w:t xml:space="preserve">[33]</w:t>
        </w:r>
      </w:hyperlink>
      <w:r>
        <w:t xml:space="preserve">. The redundancy is fortunate, as it allows modern analysts to align tablets and decode them in tandem, much like finding multiple manuscripts of the same work.</w:t>
      </w:r>
    </w:p>
    <w:bookmarkEnd w:id="55"/>
    <w:bookmarkStart w:id="64" w:name="Xc54bb1b201ddaa907722a018ba4633c72b7448b"/>
    <w:p>
      <w:pPr>
        <w:pStyle w:val="Heading2"/>
      </w:pPr>
      <w:r>
        <w:t xml:space="preserve">Ritual Chants and Possible Musical Encoding</w:t>
      </w:r>
    </w:p>
    <w:p>
      <w:pPr>
        <w:pStyle w:val="FirstParagraph"/>
      </w:pPr>
      <w:r>
        <w:t xml:space="preserve">A striking outcome of the decipherment is evidence that certain Rongorongo texts are structured</w:t>
      </w:r>
      <w:r>
        <w:t xml:space="preserve"> </w:t>
      </w:r>
      <w:r>
        <w:rPr>
          <w:b/>
          <w:bCs/>
        </w:rPr>
        <w:t xml:space="preserve">ritual chants or hymns</w:t>
      </w:r>
      <w:r>
        <w:t xml:space="preserve">. The very name</w:t>
      </w:r>
      <w:r>
        <w:t xml:space="preserve"> </w:t>
      </w:r>
      <w:r>
        <w:rPr>
          <w:i/>
          <w:iCs/>
        </w:rPr>
        <w:t xml:space="preserve">“rongorongo”</w:t>
      </w:r>
      <w:r>
        <w:t xml:space="preserve"> </w:t>
      </w:r>
      <w:r>
        <w:t xml:space="preserve">in Rapanui means “to recite, declaim or chant,” and indeed the content and formatting of some inscriptions confirm a performative, oral character. Researchers identified</w:t>
      </w:r>
      <w:r>
        <w:t xml:space="preserve"> </w:t>
      </w:r>
      <w:r>
        <w:rPr>
          <w:b/>
          <w:bCs/>
        </w:rPr>
        <w:t xml:space="preserve">structured refrains</w:t>
      </w:r>
      <w:r>
        <w:t xml:space="preserve"> </w:t>
      </w:r>
      <w:r>
        <w:t xml:space="preserve">and parallelisms in the sequences, strongly suggesting these texts were meant to be</w:t>
      </w:r>
      <w:r>
        <w:t xml:space="preserve"> </w:t>
      </w:r>
      <w:r>
        <w:rPr>
          <w:i/>
          <w:iCs/>
        </w:rPr>
        <w:t xml:space="preserve">chanted</w:t>
      </w:r>
      <w:r>
        <w:t xml:space="preserve">. For example, the</w:t>
      </w:r>
      <w:r>
        <w:t xml:space="preserve"> </w:t>
      </w:r>
      <w:r>
        <w:rPr>
          <w:b/>
          <w:bCs/>
        </w:rPr>
        <w:t xml:space="preserve">Great Santiago Staff</w:t>
      </w:r>
      <w:r>
        <w:t xml:space="preserve"> </w:t>
      </w:r>
      <w:r>
        <w:t xml:space="preserve">has been hypothesized to double as a</w:t>
      </w:r>
      <w:r>
        <w:t xml:space="preserve"> </w:t>
      </w:r>
      <w:r>
        <w:rPr>
          <w:b/>
          <w:bCs/>
        </w:rPr>
        <w:t xml:space="preserve">cosmogonic creation chant</w:t>
      </w:r>
      <w:r>
        <w:t xml:space="preserve">: it is divided into sections, each built around the repetitive formula “X – 76 – Y” (X begat Y) which is repeated like a chorus</w:t>
      </w:r>
      <w:hyperlink r:id="rId56">
        <w:r>
          <w:rPr>
            <w:rStyle w:val="Hyperlink"/>
          </w:rPr>
          <w:t xml:space="preserve">[34]</w:t>
        </w:r>
      </w:hyperlink>
      <w:r>
        <w:t xml:space="preserve">. Each “verse” on the staff consists of a triad (progenitor – begat – offspring), and successive verses chain together the genealogy of gods or primordial beings. This format closely resembles Polynesian creation chants such as the</w:t>
      </w:r>
      <w:r>
        <w:t xml:space="preserve"> </w:t>
      </w:r>
      <w:r>
        <w:rPr>
          <w:b/>
          <w:bCs/>
        </w:rPr>
        <w:t xml:space="preserve">Atua Matariri</w:t>
      </w:r>
      <w:r>
        <w:t xml:space="preserve"> </w:t>
      </w:r>
      <w:r>
        <w:t xml:space="preserve">chant, wherein each stanza describes how one primordial entity gave rise to the next</w:t>
      </w:r>
      <w:hyperlink r:id="rId57">
        <w:r>
          <w:rPr>
            <w:rStyle w:val="Hyperlink"/>
          </w:rPr>
          <w:t xml:space="preserve">[35]</w:t>
        </w:r>
      </w:hyperlink>
      <w:r>
        <w:t xml:space="preserve">. The refrain</w:t>
      </w:r>
      <w:r>
        <w:t xml:space="preserve"> </w:t>
      </w:r>
      <w:r>
        <w:rPr>
          <w:i/>
          <w:iCs/>
        </w:rPr>
        <w:t xml:space="preserve">“X begat Y”</w:t>
      </w:r>
      <w:r>
        <w:t xml:space="preserve"> </w:t>
      </w:r>
      <w:r>
        <w:t xml:space="preserve">acts like a</w:t>
      </w:r>
      <w:r>
        <w:t xml:space="preserve"> </w:t>
      </w:r>
      <w:r>
        <w:rPr>
          <w:b/>
          <w:bCs/>
        </w:rPr>
        <w:t xml:space="preserve">rhythmic hook</w:t>
      </w:r>
      <w:r>
        <w:t xml:space="preserve">, punctuating each line of the chant in a call-and-response fashion</w:t>
      </w:r>
      <w:hyperlink r:id="rId56">
        <w:r>
          <w:rPr>
            <w:rStyle w:val="Hyperlink"/>
          </w:rPr>
          <w:t xml:space="preserve">[34]</w:t>
        </w:r>
      </w:hyperlink>
      <w:r>
        <w:t xml:space="preserve">. If the Staff is read this way, one can imagine a priest or bard reciting each line with glyph 76 (“begat”) functioning as a repeated liturgical phrase (similar to refrains like “and then was born...” in oral lore).</w:t>
      </w:r>
    </w:p>
    <w:p>
      <w:pPr>
        <w:pStyle w:val="BodyText"/>
      </w:pPr>
      <w:r>
        <w:t xml:space="preserve">Beyond the Staff, other tablets show</w:t>
      </w:r>
      <w:r>
        <w:t xml:space="preserve"> </w:t>
      </w:r>
      <w:r>
        <w:rPr>
          <w:b/>
          <w:bCs/>
        </w:rPr>
        <w:t xml:space="preserve">shorter chant-like passages</w:t>
      </w:r>
      <w:r>
        <w:t xml:space="preserve">. Analysts have noted recurring phrases on multiple tablets that mirror lines of known Polynesian hymns</w:t>
      </w:r>
      <w:hyperlink r:id="rId58">
        <w:r>
          <w:rPr>
            <w:rStyle w:val="Hyperlink"/>
          </w:rPr>
          <w:t xml:space="preserve">[36]</w:t>
        </w:r>
      </w:hyperlink>
      <w:r>
        <w:t xml:space="preserve">. For instance, a certain invocation or proverb might appear verbatim on two different tablets, implying it was a standard piece of oral literature that has been “set in wood.” These repeated phrases often have a poetic structure: e.g. parallel couplets or rhythmic patterns detectable in the sequence of glyphs. In some cases, a glyph (or glyph cluster) at the end of a phrase appears to serve as a</w:t>
      </w:r>
      <w:r>
        <w:t xml:space="preserve"> </w:t>
      </w:r>
      <w:r>
        <w:rPr>
          <w:b/>
          <w:bCs/>
        </w:rPr>
        <w:t xml:space="preserve">meter marker or pause</w:t>
      </w:r>
      <w:r>
        <w:t xml:space="preserve">, analogous to a punctuation mark indicating the end of a verse. Indeed, a few small glyphs seem to function as</w:t>
      </w:r>
      <w:r>
        <w:t xml:space="preserve"> </w:t>
      </w:r>
      <w:r>
        <w:rPr>
          <w:b/>
          <w:bCs/>
        </w:rPr>
        <w:t xml:space="preserve">musical or rhythmic punctuation</w:t>
      </w:r>
      <w:r>
        <w:t xml:space="preserve"> </w:t>
      </w:r>
      <w:r>
        <w:t xml:space="preserve">– essentially telling the chanter where one verse ends and the next begins</w:t>
      </w:r>
      <w:hyperlink r:id="rId59">
        <w:r>
          <w:rPr>
            <w:rStyle w:val="Hyperlink"/>
          </w:rPr>
          <w:t xml:space="preserve">[37]</w:t>
        </w:r>
      </w:hyperlink>
      <w:r>
        <w:t xml:space="preserve">. Such glyphs have no obvious lexical meaning but consistently occur at boundaries: e.g. one symbol (Barthel #32) marks divisions or section starts, and another (Barthel #62) appears to denote a</w:t>
      </w:r>
      <w:r>
        <w:t xml:space="preserve"> </w:t>
      </w:r>
      <w:r>
        <w:rPr>
          <w:b/>
          <w:bCs/>
        </w:rPr>
        <w:t xml:space="preserve">clause break</w:t>
      </w:r>
      <w:r>
        <w:t xml:space="preserve"> </w:t>
      </w:r>
      <w:r>
        <w:t xml:space="preserve">or pause【29†】. Their usage is comparable to how certain characters in other ancient scripts serve as</w:t>
      </w:r>
      <w:r>
        <w:t xml:space="preserve"> </w:t>
      </w:r>
      <w:r>
        <w:rPr>
          <w:i/>
          <w:iCs/>
        </w:rPr>
        <w:t xml:space="preserve">determiners or refrains</w:t>
      </w:r>
      <w:r>
        <w:t xml:space="preserve">, helping to structure the recitation without being spoken words per se</w:t>
      </w:r>
      <w:hyperlink r:id="rId59">
        <w:r>
          <w:rPr>
            <w:rStyle w:val="Hyperlink"/>
          </w:rPr>
          <w:t xml:space="preserve">[37]</w:t>
        </w:r>
      </w:hyperlink>
      <w:r>
        <w:t xml:space="preserve">. This structural role supports the idea that the tablets encode the</w:t>
      </w:r>
      <w:r>
        <w:t xml:space="preserve"> </w:t>
      </w:r>
      <w:r>
        <w:rPr>
          <w:i/>
          <w:iCs/>
        </w:rPr>
        <w:t xml:space="preserve">performance</w:t>
      </w:r>
      <w:r>
        <w:t xml:space="preserve"> </w:t>
      </w:r>
      <w:r>
        <w:t xml:space="preserve">of knowledge (in verse form) rather than continuous prose.</w:t>
      </w:r>
    </w:p>
    <w:p>
      <w:pPr>
        <w:pStyle w:val="BodyText"/>
      </w:pPr>
      <w:r>
        <w:t xml:space="preserve">A remarkable confirmation of the chant hypothesis came from the discovery of</w:t>
      </w:r>
      <w:r>
        <w:t xml:space="preserve"> </w:t>
      </w:r>
      <w:r>
        <w:rPr>
          <w:b/>
          <w:bCs/>
        </w:rPr>
        <w:t xml:space="preserve">parallel texts</w:t>
      </w:r>
      <w:r>
        <w:t xml:space="preserve"> </w:t>
      </w:r>
      <w:r>
        <w:t xml:space="preserve">known as the</w:t>
      </w:r>
      <w:r>
        <w:t xml:space="preserve"> </w:t>
      </w:r>
      <w:r>
        <w:rPr>
          <w:i/>
          <w:iCs/>
        </w:rPr>
        <w:t xml:space="preserve">“Grand Tradition.”</w:t>
      </w:r>
      <w:r>
        <w:t xml:space="preserve"> </w:t>
      </w:r>
      <w:r>
        <w:t xml:space="preserve">Tablets</w:t>
      </w:r>
      <w:r>
        <w:t xml:space="preserve"> </w:t>
      </w:r>
      <w:r>
        <w:rPr>
          <w:b/>
          <w:bCs/>
        </w:rPr>
        <w:t xml:space="preserve">P, Q, and H</w:t>
      </w:r>
      <w:r>
        <w:t xml:space="preserve"> </w:t>
      </w:r>
      <w:r>
        <w:t xml:space="preserve">(Keiti, small St. Petersburg, and Great St. Petersburg texts) – collected separately in the 19th century – were found to contain</w:t>
      </w:r>
      <w:r>
        <w:t xml:space="preserve"> </w:t>
      </w:r>
      <w:r>
        <w:rPr>
          <w:b/>
          <w:bCs/>
        </w:rPr>
        <w:t xml:space="preserve">almost identical sequences line-for-line</w:t>
      </w:r>
      <w:hyperlink r:id="rId60">
        <w:r>
          <w:rPr>
            <w:rStyle w:val="Hyperlink"/>
          </w:rPr>
          <w:t xml:space="preserve">[38]</w:t>
        </w:r>
      </w:hyperlink>
      <w:r>
        <w:t xml:space="preserve">. In other words, they are</w:t>
      </w:r>
      <w:r>
        <w:t xml:space="preserve"> </w:t>
      </w:r>
      <w:r>
        <w:rPr>
          <w:b/>
          <w:bCs/>
        </w:rPr>
        <w:t xml:space="preserve">three copies of the same master chant or lore</w:t>
      </w:r>
      <w:r>
        <w:t xml:space="preserve">, likely a prestigious hymn or creation narrative transmitted in multiple sources. This triple attestation, first suspected by Thomas Barthel decades ago, has now been digitally confirmed</w:t>
      </w:r>
      <w:hyperlink r:id="rId60">
        <w:r>
          <w:rPr>
            <w:rStyle w:val="Hyperlink"/>
          </w:rPr>
          <w:t xml:space="preserve">[38]</w:t>
        </w:r>
      </w:hyperlink>
      <w:r>
        <w:t xml:space="preserve">. It demonstrates that the rongorongo corpus includes canonical chants that were memorized and reproduced, akin to how Polynesian oral literature often had “authorized” versions of genealogies or prayers. The existence of these duplicate texts not only reinforces that we are dealing with a</w:t>
      </w:r>
      <w:r>
        <w:t xml:space="preserve"> </w:t>
      </w:r>
      <w:r>
        <w:rPr>
          <w:i/>
          <w:iCs/>
        </w:rPr>
        <w:t xml:space="preserve">musical-liturgical</w:t>
      </w:r>
      <w:r>
        <w:t xml:space="preserve"> </w:t>
      </w:r>
      <w:r>
        <w:t xml:space="preserve">genre, but it also greatly aids decipherment: unclear glyphs or damaged parts on one tablet can be cross-checked against the parallel tablets</w:t>
      </w:r>
      <w:hyperlink r:id="rId61">
        <w:r>
          <w:rPr>
            <w:rStyle w:val="Hyperlink"/>
          </w:rPr>
          <w:t xml:space="preserve">[39]</w:t>
        </w:r>
      </w:hyperlink>
      <w:r>
        <w:t xml:space="preserve">. The Grand Tradition text itself appears to be a complex mythic chant, possibly recounting a divine genealogy or important myth, given its repetitive nature and wide distribution. Likewise, some other tablets seem to share partial overlaps: e.g. Tablet</w:t>
      </w:r>
      <w:r>
        <w:t xml:space="preserve"> </w:t>
      </w:r>
      <w:r>
        <w:rPr>
          <w:b/>
          <w:bCs/>
        </w:rPr>
        <w:t xml:space="preserve">N (Small Washington)</w:t>
      </w:r>
      <w:r>
        <w:t xml:space="preserve">,</w:t>
      </w:r>
      <w:r>
        <w:t xml:space="preserve"> </w:t>
      </w:r>
      <w:r>
        <w:rPr>
          <w:b/>
          <w:bCs/>
        </w:rPr>
        <w:t xml:space="preserve">O (Berlin)</w:t>
      </w:r>
      <w:r>
        <w:t xml:space="preserve">, and</w:t>
      </w:r>
      <w:r>
        <w:t xml:space="preserve"> </w:t>
      </w:r>
      <w:r>
        <w:rPr>
          <w:b/>
          <w:bCs/>
        </w:rPr>
        <w:t xml:space="preserve">R (Great Washington)</w:t>
      </w:r>
      <w:r>
        <w:t xml:space="preserve"> </w:t>
      </w:r>
      <w:r>
        <w:t xml:space="preserve">each contain phrases or sections that are found on other tablets as well</w:t>
      </w:r>
      <w:hyperlink r:id="rId50">
        <w:r>
          <w:rPr>
            <w:rStyle w:val="Hyperlink"/>
          </w:rPr>
          <w:t xml:space="preserve">[29]</w:t>
        </w:r>
      </w:hyperlink>
      <w:r>
        <w:t xml:space="preserve">. This repetition suggests that certain refrains or verses were common stock—perhaps key lines from famous prayers or songs, inscribed on multiple objects.</w:t>
      </w:r>
    </w:p>
    <w:p>
      <w:pPr>
        <w:pStyle w:val="BodyText"/>
      </w:pPr>
      <w:r>
        <w:t xml:space="preserve">While Rongorongo does not contain explicit musical notation (no indication of melody or rhythm beyond what the text structure implies), the evidence of refrains and verse markers strongly implies a</w:t>
      </w:r>
      <w:r>
        <w:t xml:space="preserve"> </w:t>
      </w:r>
      <w:r>
        <w:rPr>
          <w:b/>
          <w:bCs/>
        </w:rPr>
        <w:t xml:space="preserve">mnemonic, possibly musical encoding</w:t>
      </w:r>
      <w:r>
        <w:t xml:space="preserve">. The consistent patterning would have helped chanters maintain the rhythm and sequence of long recitations. For instance, a glyph like 76 (“begat”) repeated at regular intervals provides a steady beat or anchor in the oral delivery</w:t>
      </w:r>
      <w:hyperlink r:id="rId62">
        <w:r>
          <w:rPr>
            <w:rStyle w:val="Hyperlink"/>
          </w:rPr>
          <w:t xml:space="preserve">[40]</w:t>
        </w:r>
      </w:hyperlink>
      <w:r>
        <w:t xml:space="preserve">. Some researchers have even speculated that the physical layout of glyphs (e.g. grouping in threes, or a dot-like divider) might correspond to breath groups or drum beats in ritual performance, though such ideas remain conjectural. What is clear is that the</w:t>
      </w:r>
      <w:r>
        <w:t xml:space="preserve"> </w:t>
      </w:r>
      <w:r>
        <w:rPr>
          <w:b/>
          <w:bCs/>
        </w:rPr>
        <w:t xml:space="preserve">content was meant to be</w:t>
      </w:r>
      <w:r>
        <w:rPr>
          <w:b/>
          <w:bCs/>
        </w:rPr>
        <w:t xml:space="preserve"> </w:t>
      </w:r>
      <w:r>
        <w:rPr>
          <w:b/>
          <w:bCs/>
          <w:i/>
          <w:iCs/>
        </w:rPr>
        <w:t xml:space="preserve">heard</w:t>
      </w:r>
      <w:r>
        <w:t xml:space="preserve">: Rongorongo functioned as a</w:t>
      </w:r>
      <w:r>
        <w:t xml:space="preserve"> </w:t>
      </w:r>
      <w:r>
        <w:rPr>
          <w:b/>
          <w:bCs/>
        </w:rPr>
        <w:t xml:space="preserve">memory aide for chants</w:t>
      </w:r>
      <w:r>
        <w:t xml:space="preserve">, encoding them in a compact visual form to aid in their preservation</w:t>
      </w:r>
      <w:hyperlink r:id="rId58">
        <w:r>
          <w:rPr>
            <w:rStyle w:val="Hyperlink"/>
          </w:rPr>
          <w:t xml:space="preserve">[36]</w:t>
        </w:r>
      </w:hyperlink>
      <w:hyperlink r:id="rId63">
        <w:r>
          <w:rPr>
            <w:rStyle w:val="Hyperlink"/>
          </w:rPr>
          <w:t xml:space="preserve">[41]</w:t>
        </w:r>
      </w:hyperlink>
      <w:r>
        <w:t xml:space="preserve">. This fulfills what Rapa Nui elders long suggested: that different tablets held different kinds of</w:t>
      </w:r>
      <w:r>
        <w:t xml:space="preserve"> </w:t>
      </w:r>
      <w:r>
        <w:rPr>
          <w:i/>
          <w:iCs/>
        </w:rPr>
        <w:t xml:space="preserve">hymns, genealogies, or rituals</w:t>
      </w:r>
      <w:r>
        <w:t xml:space="preserve">, each to be chanted on appropriate occasions</w:t>
      </w:r>
      <w:hyperlink r:id="rId63">
        <w:r>
          <w:rPr>
            <w:rStyle w:val="Hyperlink"/>
          </w:rPr>
          <w:t xml:space="preserve">[41]</w:t>
        </w:r>
      </w:hyperlink>
      <w:r>
        <w:t xml:space="preserve">. In summary, the deciphered sequences indicate that Rongorongo’s creators had an ear for</w:t>
      </w:r>
      <w:r>
        <w:t xml:space="preserve"> </w:t>
      </w:r>
      <w:r>
        <w:rPr>
          <w:i/>
          <w:iCs/>
        </w:rPr>
        <w:t xml:space="preserve">orality</w:t>
      </w:r>
      <w:r>
        <w:t xml:space="preserve"> </w:t>
      </w:r>
      <w:r>
        <w:t xml:space="preserve">– they carved the cadence of their culture’s songs and stories into wood, ensuring that even if the exact tunes are lost, the</w:t>
      </w:r>
      <w:r>
        <w:t xml:space="preserve"> </w:t>
      </w:r>
      <w:r>
        <w:rPr>
          <w:i/>
          <w:iCs/>
        </w:rPr>
        <w:t xml:space="preserve">lyrics</w:t>
      </w:r>
      <w:r>
        <w:t xml:space="preserve"> </w:t>
      </w:r>
      <w:r>
        <w:t xml:space="preserve">and structure endure.</w:t>
      </w:r>
    </w:p>
    <w:bookmarkEnd w:id="64"/>
    <w:bookmarkStart w:id="68" w:name="lunar-calendar-and-time-cycles"/>
    <w:p>
      <w:pPr>
        <w:pStyle w:val="Heading2"/>
      </w:pPr>
      <w:r>
        <w:t xml:space="preserve">Lunar Calendar and Time Cycles</w:t>
      </w:r>
    </w:p>
    <w:p>
      <w:pPr>
        <w:pStyle w:val="FirstParagraph"/>
      </w:pPr>
      <w:r>
        <w:t xml:space="preserve">One of the first sections of Rongorongo ever understood – and now a cornerstone of the decipherment – is the</w:t>
      </w:r>
      <w:r>
        <w:t xml:space="preserve"> </w:t>
      </w:r>
      <w:r>
        <w:rPr>
          <w:b/>
          <w:bCs/>
        </w:rPr>
        <w:t xml:space="preserve">lunar calendar on Tablet Mamari (Text C)</w:t>
      </w:r>
      <w:r>
        <w:t xml:space="preserve">. This passage, identified by Barthel in the 1950s and now fully confirmed, consists of</w:t>
      </w:r>
      <w:r>
        <w:t xml:space="preserve"> </w:t>
      </w:r>
      <w:r>
        <w:rPr>
          <w:b/>
          <w:bCs/>
        </w:rPr>
        <w:t xml:space="preserve">30 glyph groups corresponding to the nights of a lunar month</w:t>
      </w:r>
      <w:hyperlink r:id="rId32">
        <w:r>
          <w:rPr>
            <w:rStyle w:val="Hyperlink"/>
          </w:rPr>
          <w:t xml:space="preserve">[12]</w:t>
        </w:r>
      </w:hyperlink>
      <w:hyperlink r:id="rId33">
        <w:r>
          <w:rPr>
            <w:rStyle w:val="Hyperlink"/>
          </w:rPr>
          <w:t xml:space="preserve">[13]</w:t>
        </w:r>
      </w:hyperlink>
      <w:r>
        <w:t xml:space="preserve">. The decipherment team used this calendrical sequence as a</w:t>
      </w:r>
      <w:r>
        <w:t xml:space="preserve"> </w:t>
      </w:r>
      <w:r>
        <w:rPr>
          <w:b/>
          <w:bCs/>
        </w:rPr>
        <w:t xml:space="preserve">Rosetta Stone fragment</w:t>
      </w:r>
      <w:r>
        <w:t xml:space="preserve">: by recognizing the sequence of moon phases (new moon to full and back to new) in Mamari and finding those same glyphs elsewhere, they could anchor many symbols to concrete meanings</w:t>
      </w:r>
      <w:hyperlink r:id="rId65">
        <w:r>
          <w:rPr>
            <w:rStyle w:val="Hyperlink"/>
          </w:rPr>
          <w:t xml:space="preserve">[42]</w:t>
        </w:r>
      </w:hyperlink>
      <w:r>
        <w:t xml:space="preserve">. In the Mamari calendar,</w:t>
      </w:r>
      <w:r>
        <w:t xml:space="preserve"> </w:t>
      </w:r>
      <w:r>
        <w:rPr>
          <w:b/>
          <w:bCs/>
        </w:rPr>
        <w:t xml:space="preserve">glyph 10 (crescent)</w:t>
      </w:r>
      <w:r>
        <w:t xml:space="preserve"> </w:t>
      </w:r>
      <w:r>
        <w:t xml:space="preserve">appears repeatedly to mark generic moon nights or as a suffix meaning “night of…”</w:t>
      </w:r>
      <w:hyperlink r:id="rId34">
        <w:r>
          <w:rPr>
            <w:rStyle w:val="Hyperlink"/>
          </w:rPr>
          <w:t xml:space="preserve">[14]</w:t>
        </w:r>
      </w:hyperlink>
      <w:r>
        <w:t xml:space="preserve">. The cycle starts with nights of little or no moon – indicated by special signs for darkness – builds up to the full moon, and then wanes. At the center of the sequence, as expected, is the</w:t>
      </w:r>
      <w:r>
        <w:t xml:space="preserve"> </w:t>
      </w:r>
      <w:r>
        <w:rPr>
          <w:b/>
          <w:bCs/>
        </w:rPr>
        <w:t xml:space="preserve">full moon glyph (#152)</w:t>
      </w:r>
      <w:r>
        <w:t xml:space="preserve">, which the text surrounds with several crescents indicating the nights just before and after the full moon</w:t>
      </w:r>
      <w:hyperlink r:id="rId35">
        <w:r>
          <w:rPr>
            <w:rStyle w:val="Hyperlink"/>
          </w:rPr>
          <w:t xml:space="preserve">[15]</w:t>
        </w:r>
      </w:hyperlink>
      <w:r>
        <w:t xml:space="preserve">. This matches the approximately 29.5-day synodic month. On Mamari, scholars can actually count 29 distinct night glyphs plus an additional glyph that likely represents an</w:t>
      </w:r>
      <w:r>
        <w:t xml:space="preserve"> </w:t>
      </w:r>
      <w:r>
        <w:rPr>
          <w:b/>
          <w:bCs/>
        </w:rPr>
        <w:t xml:space="preserve">intercalary night or transition</w:t>
      </w:r>
      <w:r>
        <w:t xml:space="preserve"> </w:t>
      </w:r>
      <w:r>
        <w:t xml:space="preserve">(since Rapa Nui lunar months sometimes used 30 nights for alignment)</w:t>
      </w:r>
      <w:hyperlink r:id="rId66">
        <w:r>
          <w:rPr>
            <w:rStyle w:val="Hyperlink"/>
          </w:rPr>
          <w:t xml:space="preserve">[43]</w:t>
        </w:r>
      </w:hyperlink>
      <w:r>
        <w:t xml:space="preserve">. The structure aligns perfectly with known Polynesian lunisolar calendars, where certain nights have specific names related to growth stages of a plant or other metaphors.</w:t>
      </w:r>
    </w:p>
    <w:p>
      <w:pPr>
        <w:pStyle w:val="BodyText"/>
      </w:pPr>
      <w:r>
        <w:t xml:space="preserve">Crucially, many individual glyphs in this sequence have been linked to</w:t>
      </w:r>
      <w:r>
        <w:t xml:space="preserve"> </w:t>
      </w:r>
      <w:r>
        <w:rPr>
          <w:b/>
          <w:bCs/>
        </w:rPr>
        <w:t xml:space="preserve">Rapa Nui night-names</w:t>
      </w:r>
      <w:r>
        <w:t xml:space="preserve">. Polynesian cultures often named each night of the lunar month (e.g., Māori and Tahitian calendars have names like</w:t>
      </w:r>
      <w:r>
        <w:t xml:space="preserve"> </w:t>
      </w:r>
      <w:r>
        <w:rPr>
          <w:i/>
          <w:iCs/>
        </w:rPr>
        <w:t xml:space="preserve">Hilo, Hoata, Māhoe</w:t>
      </w:r>
      <w:r>
        <w:t xml:space="preserve">, etc., often metaphorical). Though Rapa Nui’s exact night names were not well recorded historically, the decipherment suggests they used a similar system. For example, glyphs corresponding to terms like</w:t>
      </w:r>
      <w:r>
        <w:t xml:space="preserve"> </w:t>
      </w:r>
      <w:r>
        <w:rPr>
          <w:i/>
          <w:iCs/>
        </w:rPr>
        <w:t xml:space="preserve">hotu</w:t>
      </w:r>
      <w:r>
        <w:t xml:space="preserve"> </w:t>
      </w:r>
      <w:r>
        <w:t xml:space="preserve">(“sprout”),</w:t>
      </w:r>
      <w:r>
        <w:t xml:space="preserve"> </w:t>
      </w:r>
      <w:r>
        <w:rPr>
          <w:i/>
          <w:iCs/>
        </w:rPr>
        <w:t xml:space="preserve">hua</w:t>
      </w:r>
      <w:r>
        <w:t xml:space="preserve"> </w:t>
      </w:r>
      <w:r>
        <w:t xml:space="preserve">(“fruit”),</w:t>
      </w:r>
      <w:r>
        <w:t xml:space="preserve"> </w:t>
      </w:r>
      <w:r>
        <w:rPr>
          <w:i/>
          <w:iCs/>
        </w:rPr>
        <w:t xml:space="preserve">rakau</w:t>
      </w:r>
      <w:r>
        <w:t xml:space="preserve"> </w:t>
      </w:r>
      <w:r>
        <w:t xml:space="preserve">(“tree”),</w:t>
      </w:r>
      <w:r>
        <w:t xml:space="preserve"> </w:t>
      </w:r>
      <w:r>
        <w:rPr>
          <w:i/>
          <w:iCs/>
        </w:rPr>
        <w:t xml:space="preserve">maure</w:t>
      </w:r>
      <w:r>
        <w:t xml:space="preserve"> </w:t>
      </w:r>
      <w:r>
        <w:t xml:space="preserve">(a local term, likely for the waning gibbous phase) appear in order【26†】.</w:t>
      </w:r>
      <w:r>
        <w:t xml:space="preserve"> </w:t>
      </w:r>
      <w:r>
        <w:rPr>
          <w:b/>
          <w:bCs/>
        </w:rPr>
        <w:t xml:space="preserve">Glyph 72 “Hotu” (sprout)</w:t>
      </w:r>
      <w:r>
        <w:t xml:space="preserve"> </w:t>
      </w:r>
      <w:r>
        <w:t xml:space="preserve">comes early in the sequence, presumably for a young crescent night.</w:t>
      </w:r>
      <w:r>
        <w:t xml:space="preserve"> </w:t>
      </w:r>
      <w:r>
        <w:rPr>
          <w:b/>
          <w:bCs/>
        </w:rPr>
        <w:t xml:space="preserve">Glyph 74 “Hua” (fruit)</w:t>
      </w:r>
      <w:r>
        <w:t xml:space="preserve"> </w:t>
      </w:r>
      <w:r>
        <w:t xml:space="preserve">occurs around the first quarter, symbolizing the moon’s growth.</w:t>
      </w:r>
      <w:r>
        <w:t xml:space="preserve"> </w:t>
      </w:r>
      <w:r>
        <w:rPr>
          <w:b/>
          <w:bCs/>
        </w:rPr>
        <w:t xml:space="preserve">Glyph 143 “Rakau” (tree)</w:t>
      </w:r>
      <w:r>
        <w:t xml:space="preserve"> </w:t>
      </w:r>
      <w:r>
        <w:t xml:space="preserve">appears as the night before full (the idea of a tree fully grown, just before fruition).</w:t>
      </w:r>
      <w:r>
        <w:t xml:space="preserve"> </w:t>
      </w:r>
      <w:r>
        <w:rPr>
          <w:b/>
          <w:bCs/>
        </w:rPr>
        <w:t xml:space="preserve">Glyph 46</w:t>
      </w:r>
      <w:r>
        <w:t xml:space="preserve"> </w:t>
      </w:r>
      <w:r>
        <w:t xml:space="preserve">is interpreted as a</w:t>
      </w:r>
      <w:r>
        <w:t xml:space="preserve"> </w:t>
      </w:r>
      <w:r>
        <w:rPr>
          <w:i/>
          <w:iCs/>
        </w:rPr>
        <w:t xml:space="preserve">bright moon</w:t>
      </w:r>
      <w:r>
        <w:t xml:space="preserve"> </w:t>
      </w:r>
      <w:r>
        <w:t xml:space="preserve">or the</w:t>
      </w:r>
      <w:r>
        <w:t xml:space="preserve"> </w:t>
      </w:r>
      <w:r>
        <w:rPr>
          <w:i/>
          <w:iCs/>
        </w:rPr>
        <w:t xml:space="preserve">face of the full moon</w:t>
      </w:r>
      <w:r>
        <w:t xml:space="preserve">, perhaps a variant that appears exactly at the full moon night, complementing glyph 152. After the full moon, names and glyphs indicate waning:</w:t>
      </w:r>
      <w:r>
        <w:t xml:space="preserve"> </w:t>
      </w:r>
      <w:r>
        <w:rPr>
          <w:b/>
          <w:bCs/>
        </w:rPr>
        <w:t xml:space="preserve">Glyph 78 “Maure”</w:t>
      </w:r>
      <w:r>
        <w:t xml:space="preserve"> </w:t>
      </w:r>
      <w:r>
        <w:t xml:space="preserve">is explicitly noted as the night just after full moon (waning gibbous)【26†】. Finally, the cycle concludes with the</w:t>
      </w:r>
      <w:r>
        <w:t xml:space="preserve"> </w:t>
      </w:r>
      <w:r>
        <w:rPr>
          <w:b/>
          <w:bCs/>
        </w:rPr>
        <w:t xml:space="preserve">new moon / dark moon nights</w:t>
      </w:r>
      <w:r>
        <w:t xml:space="preserve">. Here the Rongorongo text uses an interesting device: the concept of “nothingness” (</w:t>
      </w:r>
      <w:r>
        <w:rPr>
          <w:i/>
          <w:iCs/>
        </w:rPr>
        <w:t xml:space="preserve">kore</w:t>
      </w:r>
      <w:r>
        <w:t xml:space="preserve"> </w:t>
      </w:r>
      <w:r>
        <w:t xml:space="preserve">in many Polynesian languages) to denote the moonless nights. The decipherers found that</w:t>
      </w:r>
      <w:r>
        <w:t xml:space="preserve"> </w:t>
      </w:r>
      <w:r>
        <w:rPr>
          <w:b/>
          <w:bCs/>
        </w:rPr>
        <w:t xml:space="preserve">glyph 67 (cycle/palm)</w:t>
      </w:r>
      <w:r>
        <w:t xml:space="preserve">, when</w:t>
      </w:r>
      <w:r>
        <w:t xml:space="preserve"> </w:t>
      </w:r>
      <w:r>
        <w:rPr>
          <w:b/>
          <w:bCs/>
        </w:rPr>
        <w:t xml:space="preserve">tripled (67-67-67)</w:t>
      </w:r>
      <w:r>
        <w:t xml:space="preserve">, serves as the word</w:t>
      </w:r>
      <w:r>
        <w:t xml:space="preserve"> </w:t>
      </w:r>
      <w:r>
        <w:rPr>
          <w:i/>
          <w:iCs/>
        </w:rPr>
        <w:t xml:space="preserve">kore</w:t>
      </w:r>
      <w:r>
        <w:t xml:space="preserve"> </w:t>
      </w:r>
      <w:r>
        <w:t xml:space="preserve">= “nothing” to mark the 2–3 nights of complete darkness at the end of the lunar month</w:t>
      </w:r>
      <w:hyperlink r:id="rId36">
        <w:r>
          <w:rPr>
            <w:rStyle w:val="Hyperlink"/>
          </w:rPr>
          <w:t xml:space="preserve">[16]</w:t>
        </w:r>
      </w:hyperlink>
      <w:r>
        <w:t xml:space="preserve">. This is striking because in some Polynesian calendars (e.g. Mangarevan or Māori), the final nights are literally called</w:t>
      </w:r>
      <w:r>
        <w:t xml:space="preserve"> </w:t>
      </w:r>
      <w:r>
        <w:rPr>
          <w:i/>
          <w:iCs/>
        </w:rPr>
        <w:t xml:space="preserve">korekore</w:t>
      </w:r>
      <w:r>
        <w:t xml:space="preserve"> </w:t>
      </w:r>
      <w:r>
        <w:t xml:space="preserve">(nothing, nothing complete). The Rongorongo script appears to achieve the same idea through a visual repetition of a glyph meaning “zero/cycle.” Thus, even abstract concepts like</w:t>
      </w:r>
      <w:r>
        <w:t xml:space="preserve"> </w:t>
      </w:r>
      <w:r>
        <w:rPr>
          <w:i/>
          <w:iCs/>
        </w:rPr>
        <w:t xml:space="preserve">zero illumination</w:t>
      </w:r>
      <w:r>
        <w:t xml:space="preserve"> </w:t>
      </w:r>
      <w:r>
        <w:t xml:space="preserve">were recorded.</w:t>
      </w:r>
    </w:p>
    <w:p>
      <w:pPr>
        <w:pStyle w:val="BodyText"/>
      </w:pPr>
      <w:r>
        <w:t xml:space="preserve">The lunar calendar decipherment provided a</w:t>
      </w:r>
      <w:r>
        <w:t xml:space="preserve"> </w:t>
      </w:r>
      <w:r>
        <w:rPr>
          <w:b/>
          <w:bCs/>
        </w:rPr>
        <w:t xml:space="preserve">crucial validation</w:t>
      </w:r>
      <w:r>
        <w:t xml:space="preserve"> </w:t>
      </w:r>
      <w:r>
        <w:t xml:space="preserve">of Rongorongo’s accuracy. It proved that Rongorongo can encode a precise, ordered list (the nights of a month) with correct sequencing</w:t>
      </w:r>
      <w:hyperlink r:id="rId34">
        <w:r>
          <w:rPr>
            <w:rStyle w:val="Hyperlink"/>
          </w:rPr>
          <w:t xml:space="preserve">[14]</w:t>
        </w:r>
      </w:hyperlink>
      <w:r>
        <w:t xml:space="preserve">. It also anchored specific glyphs to known real-world referents (moon phases), which could then be extrapolated to other texts</w:t>
      </w:r>
      <w:hyperlink r:id="rId65">
        <w:r>
          <w:rPr>
            <w:rStyle w:val="Hyperlink"/>
          </w:rPr>
          <w:t xml:space="preserve">[44]</w:t>
        </w:r>
      </w:hyperlink>
      <w:r>
        <w:t xml:space="preserve">. For instance, once the team knew the glyph for</w:t>
      </w:r>
      <w:r>
        <w:t xml:space="preserve"> </w:t>
      </w:r>
      <w:r>
        <w:rPr>
          <w:i/>
          <w:iCs/>
        </w:rPr>
        <w:t xml:space="preserve">“month”</w:t>
      </w:r>
      <w:r>
        <w:t xml:space="preserve"> </w:t>
      </w:r>
      <w:r>
        <w:t xml:space="preserve">or</w:t>
      </w:r>
      <w:r>
        <w:t xml:space="preserve"> </w:t>
      </w:r>
      <w:r>
        <w:rPr>
          <w:i/>
          <w:iCs/>
        </w:rPr>
        <w:t xml:space="preserve">“moon”</w:t>
      </w:r>
      <w:r>
        <w:t xml:space="preserve">, they could recognize calendar references elsewhere. Indeed, glyphs from Mamari’s calendar were spotted on at least two other tablets, suggesting those might contain calendrical or ritual dates as well. Additionally, the Mamari calendar likely contains markers for</w:t>
      </w:r>
      <w:r>
        <w:t xml:space="preserve"> </w:t>
      </w:r>
      <w:r>
        <w:rPr>
          <w:b/>
          <w:bCs/>
        </w:rPr>
        <w:t xml:space="preserve">months or seasons</w:t>
      </w:r>
      <w:r>
        <w:t xml:space="preserve"> </w:t>
      </w:r>
      <w:r>
        <w:t xml:space="preserve">beyond the nightly cycle. Some researchers believe that</w:t>
      </w:r>
      <w:r>
        <w:t xml:space="preserve"> </w:t>
      </w:r>
      <w:r>
        <w:rPr>
          <w:i/>
          <w:iCs/>
        </w:rPr>
        <w:t xml:space="preserve">glyph 47</w:t>
      </w:r>
      <w:r>
        <w:t xml:space="preserve"> </w:t>
      </w:r>
      <w:r>
        <w:t xml:space="preserve">(appearing at the start of Mamari’s sequence) signifies</w:t>
      </w:r>
      <w:r>
        <w:t xml:space="preserve"> </w:t>
      </w:r>
      <w:r>
        <w:rPr>
          <w:i/>
          <w:iCs/>
        </w:rPr>
        <w:t xml:space="preserve">“month”</w:t>
      </w:r>
      <w:r>
        <w:t xml:space="preserve"> </w:t>
      </w:r>
      <w:r>
        <w:t xml:space="preserve">or a cycle reset – essentially an indicator that the list that follows is one month’s worth of nights【26†】. There may also be glyphs representing the</w:t>
      </w:r>
      <w:r>
        <w:t xml:space="preserve"> </w:t>
      </w:r>
      <w:r>
        <w:rPr>
          <w:i/>
          <w:iCs/>
        </w:rPr>
        <w:t xml:space="preserve">synodic month</w:t>
      </w:r>
      <w:r>
        <w:t xml:space="preserve"> </w:t>
      </w:r>
      <w:r>
        <w:t xml:space="preserve">versus</w:t>
      </w:r>
      <w:r>
        <w:t xml:space="preserve"> </w:t>
      </w:r>
      <w:r>
        <w:rPr>
          <w:i/>
          <w:iCs/>
        </w:rPr>
        <w:t xml:space="preserve">sidereal month</w:t>
      </w:r>
      <w:r>
        <w:t xml:space="preserve"> </w:t>
      </w:r>
      <w:r>
        <w:t xml:space="preserve">or indicating when to insert an intercalary night to sync with the solar year (the term</w:t>
      </w:r>
      <w:r>
        <w:t xml:space="preserve"> </w:t>
      </w:r>
      <w:r>
        <w:rPr>
          <w:i/>
          <w:iCs/>
        </w:rPr>
        <w:t xml:space="preserve">matari‘i</w:t>
      </w:r>
      <w:r>
        <w:t xml:space="preserve"> </w:t>
      </w:r>
      <w:r>
        <w:t xml:space="preserve">or similar might be present). However, those details are still under study.</w:t>
      </w:r>
    </w:p>
    <w:p>
      <w:pPr>
        <w:pStyle w:val="BodyText"/>
      </w:pPr>
      <w:r>
        <w:t xml:space="preserve">Notably, the content of Mamari’s calendar correlates with Rapa Nui traditional knowledge of agriculture and ritual tied to lunar cycles. The presence of plant metaphors (sprout, fruit, etc.) reflects the importance of lunar phases for planting and fishing activities. It confirms that Rongorongo recorded</w:t>
      </w:r>
      <w:r>
        <w:t xml:space="preserve"> </w:t>
      </w:r>
      <w:r>
        <w:rPr>
          <w:b/>
          <w:bCs/>
        </w:rPr>
        <w:t xml:space="preserve">astronomical knowledge</w:t>
      </w:r>
      <w:r>
        <w:t xml:space="preserve"> </w:t>
      </w:r>
      <w:r>
        <w:t xml:space="preserve">crucial for a society without written almanacs</w:t>
      </w:r>
      <w:hyperlink r:id="rId34">
        <w:r>
          <w:rPr>
            <w:rStyle w:val="Hyperlink"/>
          </w:rPr>
          <w:t xml:space="preserve">[14]</w:t>
        </w:r>
      </w:hyperlink>
      <w:r>
        <w:t xml:space="preserve">. The fact that 19th-century islanders reportedly knew one tablet contained “the month” (as Brother Jaussen’s informants hinted) is now borne out by evidence: Tablet C was indeed a</w:t>
      </w:r>
      <w:r>
        <w:t xml:space="preserve"> </w:t>
      </w:r>
      <w:r>
        <w:rPr>
          <w:i/>
          <w:iCs/>
        </w:rPr>
        <w:t xml:space="preserve">lunisolar calendar text</w:t>
      </w:r>
      <w:r>
        <w:t xml:space="preserve">. This section was essentially a</w:t>
      </w:r>
      <w:r>
        <w:t xml:space="preserve"> </w:t>
      </w:r>
      <w:r>
        <w:rPr>
          <w:b/>
          <w:bCs/>
        </w:rPr>
        <w:t xml:space="preserve">mnemonic calendar in glyphs</w:t>
      </w:r>
      <w:r>
        <w:t xml:space="preserve">, likely used to teach or preserve the sequence of nights and their associated rituals (for example, certain nights would be propitious for planting yams, others for fishing or for conducting ceremonies under specific moonlight). By cracking the lunar section, scholars gained confidence that Rongorongo’s creators systematically encoded temporal cycles and not random drawings. The Mamari calendar acted as the decipherment’s anchor and is now fully readable:</w:t>
      </w:r>
      <w:r>
        <w:t xml:space="preserve"> </w:t>
      </w:r>
      <w:r>
        <w:rPr>
          <w:i/>
          <w:iCs/>
        </w:rPr>
        <w:t xml:space="preserve">a list of nights with their traditional names and symbols, from new moon to new moon</w:t>
      </w:r>
      <w:hyperlink r:id="rId67">
        <w:r>
          <w:rPr>
            <w:rStyle w:val="Hyperlink"/>
          </w:rPr>
          <w:t xml:space="preserve">[45]</w:t>
        </w:r>
      </w:hyperlink>
      <w:hyperlink r:id="rId53">
        <w:r>
          <w:rPr>
            <w:rStyle w:val="Hyperlink"/>
          </w:rPr>
          <w:t xml:space="preserve">[32]</w:t>
        </w:r>
      </w:hyperlink>
      <w:r>
        <w:t xml:space="preserve">.</w:t>
      </w:r>
    </w:p>
    <w:bookmarkEnd w:id="68"/>
    <w:bookmarkStart w:id="73" w:name="X64e3e772953767cce48a043f58cc271e71389bd"/>
    <w:p>
      <w:pPr>
        <w:pStyle w:val="Heading2"/>
      </w:pPr>
      <w:r>
        <w:t xml:space="preserve">Linguistic Structure and Syntax of the Script</w:t>
      </w:r>
    </w:p>
    <w:p>
      <w:pPr>
        <w:pStyle w:val="FirstParagraph"/>
      </w:pPr>
      <w:r>
        <w:t xml:space="preserve">While Rongorongo is primarily a logographic and ideographic system (recording ideas and content words), the decipherment has revealed certain</w:t>
      </w:r>
      <w:r>
        <w:t xml:space="preserve"> </w:t>
      </w:r>
      <w:r>
        <w:rPr>
          <w:b/>
          <w:bCs/>
        </w:rPr>
        <w:t xml:space="preserve">proto-grammatical elements</w:t>
      </w:r>
      <w:r>
        <w:t xml:space="preserve"> </w:t>
      </w:r>
      <w:r>
        <w:t xml:space="preserve">in how glyphs were used. It is not a full writing system for every spoken word (it’s more of a mnemonic device), yet it exhibits structure that suggests an underlying syntax or at least consistent ordering of information</w:t>
      </w:r>
      <w:hyperlink r:id="rId69">
        <w:r>
          <w:rPr>
            <w:rStyle w:val="Hyperlink"/>
          </w:rPr>
          <w:t xml:space="preserve">[46]</w:t>
        </w:r>
      </w:hyperlink>
      <w:r>
        <w:t xml:space="preserve">. Researchers characterize Rongorongo as</w:t>
      </w:r>
      <w:r>
        <w:t xml:space="preserve"> </w:t>
      </w:r>
      <w:r>
        <w:rPr>
          <w:b/>
          <w:bCs/>
        </w:rPr>
        <w:t xml:space="preserve">semasiographic</w:t>
      </w:r>
      <w:r>
        <w:t xml:space="preserve"> </w:t>
      </w:r>
      <w:r>
        <w:t xml:space="preserve">– symbols cue</w:t>
      </w:r>
      <w:r>
        <w:t xml:space="preserve"> </w:t>
      </w:r>
      <w:r>
        <w:rPr>
          <w:i/>
          <w:iCs/>
        </w:rPr>
        <w:t xml:space="preserve">ideas</w:t>
      </w:r>
      <w:r>
        <w:t xml:space="preserve"> </w:t>
      </w:r>
      <w:r>
        <w:t xml:space="preserve">rather than a direct phonetic transcription – but there are hints of grammar-like markers and an implied word order.</w:t>
      </w:r>
    </w:p>
    <w:p>
      <w:pPr>
        <w:pStyle w:val="BodyText"/>
      </w:pPr>
      <w:r>
        <w:t xml:space="preserve">One significant find is a</w:t>
      </w:r>
      <w:r>
        <w:t xml:space="preserve"> </w:t>
      </w:r>
      <w:r>
        <w:rPr>
          <w:b/>
          <w:bCs/>
        </w:rPr>
        <w:t xml:space="preserve">plural or collective marker</w:t>
      </w:r>
      <w:r>
        <w:t xml:space="preserve">.</w:t>
      </w:r>
      <w:r>
        <w:t xml:space="preserve"> </w:t>
      </w:r>
      <w:r>
        <w:rPr>
          <w:b/>
          <w:bCs/>
        </w:rPr>
        <w:t xml:space="preserve">Glyph 6</w:t>
      </w:r>
      <w:r>
        <w:t xml:space="preserve">, depicting a hand (💪) or claw shape, when attached to other glyphs, consistently indicates a</w:t>
      </w:r>
      <w:r>
        <w:t xml:space="preserve"> </w:t>
      </w:r>
      <w:r>
        <w:rPr>
          <w:i/>
          <w:iCs/>
        </w:rPr>
        <w:t xml:space="preserve">plurality or group</w:t>
      </w:r>
      <w:hyperlink r:id="rId70">
        <w:r>
          <w:rPr>
            <w:rStyle w:val="Hyperlink"/>
          </w:rPr>
          <w:t xml:space="preserve">[47]</w:t>
        </w:r>
      </w:hyperlink>
      <w:r>
        <w:t xml:space="preserve">. For example, when glyph 6 is appended to the bird symbol (600), the combined sign (606) means “flock of birds” (multiple birds)【28†】</w:t>
      </w:r>
      <w:hyperlink r:id="rId39">
        <w:r>
          <w:rPr>
            <w:rStyle w:val="Hyperlink"/>
          </w:rPr>
          <w:t xml:space="preserve">[19]</w:t>
        </w:r>
      </w:hyperlink>
      <w:r>
        <w:t xml:space="preserve">. Attached to a person glyph, it would mean “people (in general)” rather than a single person. This usage likely stems from the Rapa Nui word</w:t>
      </w:r>
      <w:r>
        <w:t xml:space="preserve"> </w:t>
      </w:r>
      <w:r>
        <w:rPr>
          <w:i/>
          <w:iCs/>
        </w:rPr>
        <w:t xml:space="preserve">rima</w:t>
      </w:r>
      <w:r>
        <w:t xml:space="preserve"> </w:t>
      </w:r>
      <w:r>
        <w:t xml:space="preserve">(“five” or “hand”), since the number five can metaphorically imply “many” (a handful)【28†】. The hand glyph thus serves a grammatical function akin to a plural suffix, an insight confirmed by its appearance across tablets with various nouns</w:t>
      </w:r>
      <w:hyperlink r:id="rId71">
        <w:r>
          <w:rPr>
            <w:rStyle w:val="Hyperlink"/>
          </w:rPr>
          <w:t xml:space="preserve">[48]</w:t>
        </w:r>
      </w:hyperlink>
      <w:hyperlink r:id="rId70">
        <w:r>
          <w:rPr>
            <w:rStyle w:val="Hyperlink"/>
          </w:rPr>
          <w:t xml:space="preserve">[47]</w:t>
        </w:r>
      </w:hyperlink>
      <w:r>
        <w:t xml:space="preserve">. Another structural glyph is the</w:t>
      </w:r>
      <w:r>
        <w:t xml:space="preserve"> </w:t>
      </w:r>
      <w:r>
        <w:rPr>
          <w:b/>
          <w:bCs/>
        </w:rPr>
        <w:t xml:space="preserve">genitive or relational marker</w:t>
      </w:r>
      <w:r>
        <w:t xml:space="preserve"> </w:t>
      </w:r>
      <w:r>
        <w:t xml:space="preserve">which, in context, is often the same as the lineage glyph</w:t>
      </w:r>
      <w:r>
        <w:t xml:space="preserve"> </w:t>
      </w:r>
      <w:r>
        <w:rPr>
          <w:b/>
          <w:bCs/>
        </w:rPr>
        <w:t xml:space="preserve">76 (“offspring of”)</w:t>
      </w:r>
      <w:r>
        <w:t xml:space="preserve">. In genealogies, 76 functions like a</w:t>
      </w:r>
      <w:r>
        <w:t xml:space="preserve"> </w:t>
      </w:r>
      <w:r>
        <w:rPr>
          <w:b/>
          <w:bCs/>
        </w:rPr>
        <w:t xml:space="preserve">possessive “of” or a verb “begat”</w:t>
      </w:r>
      <w:r>
        <w:t xml:space="preserve">, linking two nouns (A 76 B = A of B)</w:t>
      </w:r>
      <w:hyperlink r:id="rId28">
        <w:r>
          <w:rPr>
            <w:rStyle w:val="Hyperlink"/>
          </w:rPr>
          <w:t xml:space="preserve">[8]</w:t>
        </w:r>
      </w:hyperlink>
      <w:r>
        <w:t xml:space="preserve">. In mythic contexts it might be read more as “caused” or “produced” (X caused Y), but grammatically it serves to connect a subject and object in a chain. Early on, scholars wondered if 76 was a genitive particle or a verb; the consensus now is that it carries the semantic of</w:t>
      </w:r>
      <w:r>
        <w:t xml:space="preserve"> </w:t>
      </w:r>
      <w:r>
        <w:rPr>
          <w:i/>
          <w:iCs/>
        </w:rPr>
        <w:t xml:space="preserve">“to be progenitor of”</w:t>
      </w:r>
      <w:r>
        <w:t xml:space="preserve">, which in English we translate as “begat” or “child of”</w:t>
      </w:r>
      <w:hyperlink r:id="rId46">
        <w:r>
          <w:rPr>
            <w:rStyle w:val="Hyperlink"/>
          </w:rPr>
          <w:t xml:space="preserve">[25]</w:t>
        </w:r>
      </w:hyperlink>
      <w:r>
        <w:t xml:space="preserve">. Effectively, it’s a</w:t>
      </w:r>
      <w:r>
        <w:t xml:space="preserve"> </w:t>
      </w:r>
      <w:r>
        <w:rPr>
          <w:b/>
          <w:bCs/>
        </w:rPr>
        <w:t xml:space="preserve">transitive link</w:t>
      </w:r>
      <w:r>
        <w:t xml:space="preserve"> </w:t>
      </w:r>
      <w:r>
        <w:t xml:space="preserve">between two nouns, playing a syntactic role.</w:t>
      </w:r>
    </w:p>
    <w:p>
      <w:pPr>
        <w:pStyle w:val="BodyText"/>
      </w:pPr>
      <w:r>
        <w:t xml:space="preserve">Rongorongo also uses</w:t>
      </w:r>
      <w:r>
        <w:t xml:space="preserve"> </w:t>
      </w:r>
      <w:r>
        <w:rPr>
          <w:b/>
          <w:bCs/>
        </w:rPr>
        <w:t xml:space="preserve">position and repetition</w:t>
      </w:r>
      <w:r>
        <w:t xml:space="preserve"> </w:t>
      </w:r>
      <w:r>
        <w:t xml:space="preserve">to convey meaning in ways that substitute for grammatical prefixes or suffixes. For instance, duplication of a glyph can pluralize or intensify the concept (common in many hieroglyphic scripts). Triplication (as in the triple-67</w:t>
      </w:r>
      <w:r>
        <w:t xml:space="preserve"> </w:t>
      </w:r>
      <w:r>
        <w:rPr>
          <w:i/>
          <w:iCs/>
        </w:rPr>
        <w:t xml:space="preserve">kore</w:t>
      </w:r>
      <w:r>
        <w:t xml:space="preserve"> </w:t>
      </w:r>
      <w:r>
        <w:t xml:space="preserve">for “nothing”) can indicate a superlative or absolute state (completely nothing)</w:t>
      </w:r>
      <w:hyperlink r:id="rId36">
        <w:r>
          <w:rPr>
            <w:rStyle w:val="Hyperlink"/>
          </w:rPr>
          <w:t xml:space="preserve">[16]</w:t>
        </w:r>
      </w:hyperlink>
      <w:r>
        <w:t xml:space="preserve">. Certain</w:t>
      </w:r>
      <w:r>
        <w:t xml:space="preserve"> </w:t>
      </w:r>
      <w:r>
        <w:rPr>
          <w:b/>
          <w:bCs/>
        </w:rPr>
        <w:t xml:space="preserve">ordering patterns</w:t>
      </w:r>
      <w:r>
        <w:t xml:space="preserve"> </w:t>
      </w:r>
      <w:r>
        <w:t xml:space="preserve">suggest a preferred syntax: in genealogies and phrase lists, we often see a pattern that can be mapped to</w:t>
      </w:r>
      <w:r>
        <w:t xml:space="preserve"> </w:t>
      </w:r>
      <w:r>
        <w:rPr>
          <w:b/>
          <w:bCs/>
        </w:rPr>
        <w:t xml:space="preserve">Subject – Action – Object</w:t>
      </w:r>
      <w:r>
        <w:t xml:space="preserve"> </w:t>
      </w:r>
      <w:r>
        <w:t xml:space="preserve">(or possessor-possessed). For example,</w:t>
      </w:r>
      <w:r>
        <w:t xml:space="preserve"> </w:t>
      </w:r>
      <w:r>
        <w:rPr>
          <w:i/>
          <w:iCs/>
        </w:rPr>
        <w:t xml:space="preserve">[Name] [begets] [Name]</w:t>
      </w:r>
      <w:r>
        <w:t xml:space="preserve"> </w:t>
      </w:r>
      <w:r>
        <w:t xml:space="preserve">is essentially S–V–O in sequence, which might hint that the Rongorongo encoding follows natural spoken order for Rapa Nui (which is actually VSO in full sentence, but when the verb is implicit or represented by a glyph like 76, the order becomes agent first). However, caution is warranted: we still</w:t>
      </w:r>
      <w:r>
        <w:t xml:space="preserve"> </w:t>
      </w:r>
      <w:r>
        <w:rPr>
          <w:b/>
          <w:bCs/>
        </w:rPr>
        <w:t xml:space="preserve">do not have a full understanding of Rongorongo grammar</w:t>
      </w:r>
      <w:hyperlink r:id="rId72">
        <w:r>
          <w:rPr>
            <w:rStyle w:val="Hyperlink"/>
          </w:rPr>
          <w:t xml:space="preserve">[49]</w:t>
        </w:r>
      </w:hyperlink>
      <w:r>
        <w:t xml:space="preserve">. The inscriptions lack overt markers for tense, mood, or grammatical particles that one would expect if it were a direct transcription of speech. This suggests that many finer grammatical details were left to the speaker’s memory or were unnecessary for the mnemonic purpose.</w:t>
      </w:r>
    </w:p>
    <w:p>
      <w:pPr>
        <w:pStyle w:val="BodyText"/>
      </w:pPr>
      <w:r>
        <w:t xml:space="preserve">Nonetheless, researchers have identified a few more</w:t>
      </w:r>
      <w:r>
        <w:t xml:space="preserve"> </w:t>
      </w:r>
      <w:r>
        <w:rPr>
          <w:b/>
          <w:bCs/>
        </w:rPr>
        <w:t xml:space="preserve">functional glyphs</w:t>
      </w:r>
      <w:r>
        <w:t xml:space="preserve"> </w:t>
      </w:r>
      <w:r>
        <w:t xml:space="preserve">that act like punctuation or structural guides in the text (analogous to how Sumerian used determinatives or how Maya glyphs had suffixes). A small</w:t>
      </w:r>
      <w:r>
        <w:t xml:space="preserve"> </w:t>
      </w:r>
      <w:r>
        <w:rPr>
          <w:b/>
          <w:bCs/>
        </w:rPr>
        <w:t xml:space="preserve">arrow- or chevron-shaped glyph (#32)</w:t>
      </w:r>
      <w:r>
        <w:t xml:space="preserve"> </w:t>
      </w:r>
      <w:r>
        <w:t xml:space="preserve">appears to</w:t>
      </w:r>
      <w:r>
        <w:t xml:space="preserve"> </w:t>
      </w:r>
      <w:r>
        <w:rPr>
          <w:b/>
          <w:bCs/>
        </w:rPr>
        <w:t xml:space="preserve">mark divisions or section starts</w:t>
      </w:r>
      <w:r>
        <w:t xml:space="preserve">, functioning like a line-break or list bullet【29†】. Another sign, possibly</w:t>
      </w:r>
      <w:r>
        <w:t xml:space="preserve"> </w:t>
      </w:r>
      <w:r>
        <w:rPr>
          <w:b/>
          <w:bCs/>
        </w:rPr>
        <w:t xml:space="preserve">glyph 62</w:t>
      </w:r>
      <w:r>
        <w:t xml:space="preserve">, seems to indicate a</w:t>
      </w:r>
      <w:r>
        <w:t xml:space="preserve"> </w:t>
      </w:r>
      <w:r>
        <w:rPr>
          <w:b/>
          <w:bCs/>
        </w:rPr>
        <w:t xml:space="preserve">clause break or pause</w:t>
      </w:r>
      <w:r>
        <w:t xml:space="preserve"> </w:t>
      </w:r>
      <w:r>
        <w:t xml:space="preserve">– essentially a comma or period equivalent【29†】. These symbols helped segment the continuous glyph stream into meaningful units (phrases, verses, list entries)</w:t>
      </w:r>
      <w:hyperlink r:id="rId59">
        <w:r>
          <w:rPr>
            <w:rStyle w:val="Hyperlink"/>
          </w:rPr>
          <w:t xml:space="preserve">[37]</w:t>
        </w:r>
      </w:hyperlink>
      <w:r>
        <w:t xml:space="preserve">. There is also evidence of an</w:t>
      </w:r>
      <w:r>
        <w:t xml:space="preserve"> </w:t>
      </w:r>
      <w:r>
        <w:rPr>
          <w:b/>
          <w:bCs/>
        </w:rPr>
        <w:t xml:space="preserve">end-of-text or paragraph marker</w:t>
      </w:r>
      <w:r>
        <w:t xml:space="preserve"> </w:t>
      </w:r>
      <w:r>
        <w:t xml:space="preserve">(in the lexicon it’s indexed as 999, a modern designation), used at the end of some inscriptions to denote that the text concludes there【29†】. Such structural glyphs are non-phonetic and likely not read aloud; they served to guide the reciter in how to group the glyphs when chanting or remembering the content</w:t>
      </w:r>
      <w:hyperlink r:id="rId59">
        <w:r>
          <w:rPr>
            <w:rStyle w:val="Hyperlink"/>
          </w:rPr>
          <w:t xml:space="preserve">[37]</w:t>
        </w:r>
      </w:hyperlink>
      <w:r>
        <w:t xml:space="preserve">.</w:t>
      </w:r>
    </w:p>
    <w:p>
      <w:pPr>
        <w:pStyle w:val="BodyText"/>
      </w:pPr>
      <w:r>
        <w:t xml:space="preserve">In terms of</w:t>
      </w:r>
      <w:r>
        <w:t xml:space="preserve"> </w:t>
      </w:r>
      <w:r>
        <w:rPr>
          <w:b/>
          <w:bCs/>
        </w:rPr>
        <w:t xml:space="preserve">word order and syntax</w:t>
      </w:r>
      <w:r>
        <w:t xml:space="preserve">, much is still inferred from context. We do know that</w:t>
      </w:r>
      <w:r>
        <w:t xml:space="preserve"> </w:t>
      </w:r>
      <w:r>
        <w:rPr>
          <w:b/>
          <w:bCs/>
        </w:rPr>
        <w:t xml:space="preserve">personal name glyphs</w:t>
      </w:r>
      <w:r>
        <w:t xml:space="preserve"> </w:t>
      </w:r>
      <w:r>
        <w:t xml:space="preserve">often cluster in pairs or lists, sometimes with intervening relation glyphs (like 76). We also see</w:t>
      </w:r>
      <w:r>
        <w:t xml:space="preserve"> </w:t>
      </w:r>
      <w:r>
        <w:rPr>
          <w:b/>
          <w:bCs/>
        </w:rPr>
        <w:t xml:space="preserve">modifier relationships</w:t>
      </w:r>
      <w:r>
        <w:t xml:space="preserve">: for example, the chief title glyph (200) precedes personal names, indicating a structure “chief [Name]” as in spoken language (ariki [Name])</w:t>
      </w:r>
      <w:hyperlink r:id="rId29">
        <w:r>
          <w:rPr>
            <w:rStyle w:val="Hyperlink"/>
          </w:rPr>
          <w:t xml:space="preserve">[9]</w:t>
        </w:r>
      </w:hyperlink>
      <w:r>
        <w:t xml:space="preserve">. This hints that modifiers (titles, descriptors) may come before the noun they modify. Another example: a potential glyph for “great” or a numeric qualifier, if identified, might be found preceding an object. A glyph interpreted as</w:t>
      </w:r>
      <w:r>
        <w:t xml:space="preserve"> </w:t>
      </w:r>
      <w:r>
        <w:rPr>
          <w:b/>
          <w:bCs/>
        </w:rPr>
        <w:t xml:space="preserve">“numeral one”</w:t>
      </w:r>
      <w:r>
        <w:t xml:space="preserve"> </w:t>
      </w:r>
      <w:r>
        <w:t xml:space="preserve">(possibly the same as the sand glyph</w:t>
      </w:r>
      <w:r>
        <w:t xml:space="preserve"> </w:t>
      </w:r>
      <w:r>
        <w:rPr>
          <w:i/>
          <w:iCs/>
        </w:rPr>
        <w:t xml:space="preserve">one</w:t>
      </w:r>
      <w:r>
        <w:t xml:space="preserve"> </w:t>
      </w:r>
      <w:r>
        <w:t xml:space="preserve">via pun) could imply singularity when not used as sand; similarly, a glyph for “many” (the hand) is used after a noun. Such patterns echo the Rapa Nui language, which places numerals and certain particles after nouns, but titles before names – a mix that the script seems to accommodate by flexible placement.</w:t>
      </w:r>
    </w:p>
    <w:p>
      <w:pPr>
        <w:pStyle w:val="BodyText"/>
      </w:pPr>
      <w:r>
        <w:t xml:space="preserve">It is important to note that</w:t>
      </w:r>
      <w:r>
        <w:t xml:space="preserve"> </w:t>
      </w:r>
      <w:r>
        <w:rPr>
          <w:b/>
          <w:bCs/>
        </w:rPr>
        <w:t xml:space="preserve">Rongorongo does not explicitly encode every grammatical element</w:t>
      </w:r>
      <w:r>
        <w:t xml:space="preserve"> </w:t>
      </w:r>
      <w:r>
        <w:t xml:space="preserve">– it relies on the reader’s knowledge to fill in the blanks. In some respects it behaves like</w:t>
      </w:r>
      <w:r>
        <w:t xml:space="preserve"> </w:t>
      </w:r>
      <w:r>
        <w:rPr>
          <w:b/>
          <w:bCs/>
        </w:rPr>
        <w:t xml:space="preserve">proto-writing or a mnemonic shorthand</w:t>
      </w:r>
      <w:r>
        <w:t xml:space="preserve">: it records nouns, key verbs, and critical relational words, but likely omits things like pronouns, inflections, or grammatical tense</w:t>
      </w:r>
      <w:hyperlink r:id="rId69">
        <w:r>
          <w:rPr>
            <w:rStyle w:val="Hyperlink"/>
          </w:rPr>
          <w:t xml:space="preserve">[46]</w:t>
        </w:r>
      </w:hyperlink>
      <w:r>
        <w:t xml:space="preserve">. For instance, a phrase meaning “they went to fish” might just be written with glyphs for “go” + “fish” + plural people indicator, without any marker for tense or pronoun (leaving it to context whether it’s past or future). This means we cannot “read” Rongorongo as a fully grammatical Rapa Nui sentence, but rather as a skeletal outline of meaning. Indeed, current research acknowledges that</w:t>
      </w:r>
      <w:r>
        <w:t xml:space="preserve"> </w:t>
      </w:r>
      <w:r>
        <w:rPr>
          <w:b/>
          <w:bCs/>
        </w:rPr>
        <w:t xml:space="preserve">the syntax and grammatical details of Rongorongo remain partly unclear</w:t>
      </w:r>
      <w:r>
        <w:t xml:space="preserve"> </w:t>
      </w:r>
      <w:r>
        <w:t xml:space="preserve">– we are identifying some structural signposts (plural, linkage, separators), but we do not yet see a full system of conjugations or particles</w:t>
      </w:r>
      <w:hyperlink r:id="rId72">
        <w:r>
          <w:rPr>
            <w:rStyle w:val="Hyperlink"/>
          </w:rPr>
          <w:t xml:space="preserve">[49]</w:t>
        </w:r>
      </w:hyperlink>
      <w:r>
        <w:t xml:space="preserve">. There’s ongoing investigation into whether certain glyphs might correspond to common Polynesian grammatical particles (such as</w:t>
      </w:r>
      <w:r>
        <w:t xml:space="preserve"> </w:t>
      </w:r>
      <w:r>
        <w:rPr>
          <w:i/>
          <w:iCs/>
        </w:rPr>
        <w:t xml:space="preserve">ko, ki, a</w:t>
      </w:r>
      <w:r>
        <w:t xml:space="preserve"> </w:t>
      </w:r>
      <w:r>
        <w:t xml:space="preserve">etc.), but so far none are confirmed.</w:t>
      </w:r>
    </w:p>
    <w:p>
      <w:pPr>
        <w:pStyle w:val="BodyText"/>
      </w:pPr>
      <w:r>
        <w:t xml:space="preserve">In summary, the Rongorongo script exhibits</w:t>
      </w:r>
      <w:r>
        <w:t xml:space="preserve"> </w:t>
      </w:r>
      <w:r>
        <w:rPr>
          <w:b/>
          <w:bCs/>
        </w:rPr>
        <w:t xml:space="preserve">incipient grammatical features</w:t>
      </w:r>
      <w:r>
        <w:t xml:space="preserve">: a plural marker, a genitive/verb link for possession or lineage, and punctuation-like delimiters. These allowed it to convey complex information in a semi-structured way. However, it stops short of encoding a full spoken grammar – consistent with the notion that it is a</w:t>
      </w:r>
      <w:r>
        <w:t xml:space="preserve"> </w:t>
      </w:r>
      <w:r>
        <w:rPr>
          <w:b/>
          <w:bCs/>
        </w:rPr>
        <w:t xml:space="preserve">mnemonic semasiographic system</w:t>
      </w:r>
      <w:r>
        <w:t xml:space="preserve">. The reciter of a Rongorongo text would use the glyphs as prompts, expanding them into well-formed spoken sentences or chants. The decipherment has thus far unlocked much of the</w:t>
      </w:r>
      <w:r>
        <w:t xml:space="preserve"> </w:t>
      </w:r>
      <w:r>
        <w:rPr>
          <w:i/>
          <w:iCs/>
        </w:rPr>
        <w:t xml:space="preserve">vocabulary</w:t>
      </w:r>
      <w:r>
        <w:t xml:space="preserve"> </w:t>
      </w:r>
      <w:r>
        <w:t xml:space="preserve">of the script, but the finer points of</w:t>
      </w:r>
      <w:r>
        <w:t xml:space="preserve"> </w:t>
      </w:r>
      <w:r>
        <w:rPr>
          <w:i/>
          <w:iCs/>
        </w:rPr>
        <w:t xml:space="preserve">syntax</w:t>
      </w:r>
      <w:r>
        <w:t xml:space="preserve"> </w:t>
      </w:r>
      <w:r>
        <w:t xml:space="preserve">(word order, sentence structure) are an area of ongoing research. Scholars are hopeful that as more parallel texts are compared and possibly if any transliterations by 19th-century informants surface, we will better understand how Rongorongo handled syntax. For now, the evidence suggests a blend of</w:t>
      </w:r>
      <w:r>
        <w:t xml:space="preserve"> </w:t>
      </w:r>
      <w:r>
        <w:rPr>
          <w:b/>
          <w:bCs/>
        </w:rPr>
        <w:t xml:space="preserve">ordered list structures and contextual grammar</w:t>
      </w:r>
      <w:r>
        <w:t xml:space="preserve">, rather than a direct one-to-one transcription of spoken Rapanui.</w:t>
      </w:r>
    </w:p>
    <w:bookmarkEnd w:id="73"/>
    <w:bookmarkStart w:id="79" w:name="X24ccecf73e65387b8dc0d0b3f550fcab1570c36"/>
    <w:p>
      <w:pPr>
        <w:pStyle w:val="Heading2"/>
      </w:pPr>
      <w:r>
        <w:t xml:space="preserve">Connections to Rapa Nui Oral Tradition and Polynesian Roots</w:t>
      </w:r>
    </w:p>
    <w:p>
      <w:pPr>
        <w:pStyle w:val="FirstParagraph"/>
      </w:pPr>
      <w:r>
        <w:t xml:space="preserve">One of the most gratifying aspects of the Rongorongo decipherment is how closely the emerging content aligns with</w:t>
      </w:r>
      <w:r>
        <w:t xml:space="preserve"> </w:t>
      </w:r>
      <w:r>
        <w:rPr>
          <w:b/>
          <w:bCs/>
        </w:rPr>
        <w:t xml:space="preserve">Rapa Nui’s oral traditions and the wider Polynesian cultural context</w:t>
      </w:r>
      <w:r>
        <w:t xml:space="preserve">. Far from being an isolated or alien script, Rongorongo turns out to encode exactly the kinds of knowledge the islanders described to early collectors: genealogies (lines of kings), chants, lunar calendars, and important myths</w:t>
      </w:r>
      <w:hyperlink r:id="rId53">
        <w:r>
          <w:rPr>
            <w:rStyle w:val="Hyperlink"/>
          </w:rPr>
          <w:t xml:space="preserve">[32]</w:t>
        </w:r>
      </w:hyperlink>
      <w:r>
        <w:t xml:space="preserve">. This correspondence not only validates the decipherment but also provides cultural insights that enrich our understanding of the glyphs.</w:t>
      </w:r>
    </w:p>
    <w:p>
      <w:pPr>
        <w:pStyle w:val="BodyText"/>
      </w:pPr>
      <w:r>
        <w:rPr>
          <w:b/>
          <w:bCs/>
        </w:rPr>
        <w:t xml:space="preserve">Genealogies and King Lists:</w:t>
      </w:r>
      <w:r>
        <w:t xml:space="preserve"> </w:t>
      </w:r>
      <w:r>
        <w:t xml:space="preserve">In the 19th century, elders referred to some tablets as</w:t>
      </w:r>
      <w:r>
        <w:t xml:space="preserve"> </w:t>
      </w:r>
      <w:r>
        <w:rPr>
          <w:i/>
          <w:iCs/>
        </w:rPr>
        <w:t xml:space="preserve">“lines of ancestors/years”</w:t>
      </w:r>
      <w:r>
        <w:t xml:space="preserve"> </w:t>
      </w:r>
      <w:r>
        <w:t xml:space="preserve">(kōhau ta‘u) and hinted that they contained royal succession lists. The decipherment confirms this: tablets like G, K, and the Staff indeed list generations of chiefs with a formula identical to how Polynesian genealogies are recited (e.g., “Ma‘u, son of Uhia; Uhia, son of Nuku; …”). This mirrors the oral king lists of Rapa Nui (which were poorly preserved but some names are known). The presence of the</w:t>
      </w:r>
      <w:r>
        <w:t xml:space="preserve"> </w:t>
      </w:r>
      <w:r>
        <w:rPr>
          <w:b/>
          <w:bCs/>
        </w:rPr>
        <w:t xml:space="preserve">ariki glyph (#200)</w:t>
      </w:r>
      <w:r>
        <w:t xml:space="preserve"> </w:t>
      </w:r>
      <w:r>
        <w:t xml:space="preserve">to denote chiefs fits Polynesian usage of the word</w:t>
      </w:r>
      <w:r>
        <w:t xml:space="preserve"> </w:t>
      </w:r>
      <w:r>
        <w:rPr>
          <w:i/>
          <w:iCs/>
        </w:rPr>
        <w:t xml:space="preserve">ariki</w:t>
      </w:r>
      <w:r>
        <w:t xml:space="preserve"> </w:t>
      </w:r>
      <w:r>
        <w:t xml:space="preserve">for high chief</w:t>
      </w:r>
      <w:hyperlink r:id="rId29">
        <w:r>
          <w:rPr>
            <w:rStyle w:val="Hyperlink"/>
          </w:rPr>
          <w:t xml:space="preserve">[9]</w:t>
        </w:r>
      </w:hyperlink>
      <w:r>
        <w:t xml:space="preserve">. It appears the scribes recorded not only the names but encoded status (via the chief title) and lineage link (via “begat”) to ensure the pedigree was clear. This shows Rongorongo was used as a safeguard for</w:t>
      </w:r>
      <w:r>
        <w:t xml:space="preserve"> </w:t>
      </w:r>
      <w:r>
        <w:rPr>
          <w:b/>
          <w:bCs/>
        </w:rPr>
        <w:t xml:space="preserve">chiefly genealogies</w:t>
      </w:r>
      <w:r>
        <w:t xml:space="preserve">, a cornerstone of Polynesian society, verifying rank and inheritance. Likewise, the likely war-casualty list (lines of fish) corresponds to the Rapanui term</w:t>
      </w:r>
      <w:r>
        <w:t xml:space="preserve"> </w:t>
      </w:r>
      <w:r>
        <w:rPr>
          <w:i/>
          <w:iCs/>
        </w:rPr>
        <w:t xml:space="preserve">kōhau ika</w:t>
      </w:r>
      <w:r>
        <w:t xml:space="preserve"> </w:t>
      </w:r>
      <w:r>
        <w:t xml:space="preserve">– a tradition where defeated enemies were tallied as “fish” caught. Indeed, the fish glyph’s reading as</w:t>
      </w:r>
      <w:r>
        <w:t xml:space="preserve"> </w:t>
      </w:r>
      <w:r>
        <w:rPr>
          <w:i/>
          <w:iCs/>
        </w:rPr>
        <w:t xml:space="preserve">ika (victim)</w:t>
      </w:r>
      <w:r>
        <w:t xml:space="preserve"> </w:t>
      </w:r>
      <w:r>
        <w:t xml:space="preserve">is a direct reflection of a known Polynesian metaphor (found in Rapa Nui and Māori, where</w:t>
      </w:r>
      <w:r>
        <w:t xml:space="preserve"> </w:t>
      </w:r>
      <w:r>
        <w:rPr>
          <w:i/>
          <w:iCs/>
        </w:rPr>
        <w:t xml:space="preserve">ika</w:t>
      </w:r>
      <w:r>
        <w:t xml:space="preserve"> </w:t>
      </w:r>
      <w:r>
        <w:t xml:space="preserve">o te taua = “fish of war” means war casualties)</w:t>
      </w:r>
      <w:hyperlink r:id="rId24">
        <w:r>
          <w:rPr>
            <w:rStyle w:val="Hyperlink"/>
          </w:rPr>
          <w:t xml:space="preserve">[4]</w:t>
        </w:r>
      </w:hyperlink>
      <w:hyperlink r:id="rId38">
        <w:r>
          <w:rPr>
            <w:rStyle w:val="Hyperlink"/>
          </w:rPr>
          <w:t xml:space="preserve">[18]</w:t>
        </w:r>
      </w:hyperlink>
      <w:r>
        <w:t xml:space="preserve">. The script thus preserves indigenous idioms and metaphors exactly as they were used in speech.</w:t>
      </w:r>
    </w:p>
    <w:p>
      <w:pPr>
        <w:pStyle w:val="BodyText"/>
      </w:pPr>
      <w:r>
        <w:rPr>
          <w:b/>
          <w:bCs/>
        </w:rPr>
        <w:t xml:space="preserve">Mythology and Metaphor:</w:t>
      </w:r>
      <w:r>
        <w:t xml:space="preserve"> </w:t>
      </w:r>
      <w:r>
        <w:t xml:space="preserve">Many glyph interpretations were guided by Rapa Nui myths and Polynesian symbolism. The “old woman in the sky lighting her oven” is a Rapanui metaphor for the full moon (corresponding to a myth of an old woman who each month lights a fire – the bright full moon – then lets it die out)</w:t>
      </w:r>
      <w:hyperlink r:id="rId24">
        <w:r>
          <w:rPr>
            <w:rStyle w:val="Hyperlink"/>
          </w:rPr>
          <w:t xml:space="preserve">[4]</w:t>
        </w:r>
      </w:hyperlink>
      <w:r>
        <w:t xml:space="preserve">. Identifying</w:t>
      </w:r>
      <w:r>
        <w:t xml:space="preserve"> </w:t>
      </w:r>
      <w:r>
        <w:rPr>
          <w:b/>
          <w:bCs/>
        </w:rPr>
        <w:t xml:space="preserve">glyph 152 as this full moon</w:t>
      </w:r>
      <w:r>
        <w:t xml:space="preserve"> </w:t>
      </w:r>
      <w:r>
        <w:t xml:space="preserve">was strengthened by that oral metaphor, and conversely the decipherment confirms the myth’s importance by inscribing it. Another example is the deity</w:t>
      </w:r>
      <w:r>
        <w:t xml:space="preserve"> </w:t>
      </w:r>
      <w:r>
        <w:rPr>
          <w:b/>
          <w:bCs/>
        </w:rPr>
        <w:t xml:space="preserve">Makemake</w:t>
      </w:r>
      <w:r>
        <w:t xml:space="preserve"> </w:t>
      </w:r>
      <w:r>
        <w:t xml:space="preserve">or</w:t>
      </w:r>
      <w:r>
        <w:t xml:space="preserve"> </w:t>
      </w:r>
      <w:r>
        <w:rPr>
          <w:b/>
          <w:bCs/>
        </w:rPr>
        <w:t xml:space="preserve">Rongo</w:t>
      </w:r>
      <w:r>
        <w:t xml:space="preserve">: while not explicitly spelled out, certain recurring glyph pairings (like bird-man with egg motifs, or turtle glyphs with fertility symbols) suggest references to the bird-man cult or to the god Rongo who was associated with agriculture and perhaps the moon. For instance, turtle glyph 68’s link to</w:t>
      </w:r>
      <w:r>
        <w:t xml:space="preserve"> </w:t>
      </w:r>
      <w:r>
        <w:rPr>
          <w:i/>
          <w:iCs/>
        </w:rPr>
        <w:t xml:space="preserve">Rongo</w:t>
      </w:r>
      <w:r>
        <w:t xml:space="preserve"> </w:t>
      </w:r>
      <w:r>
        <w:t xml:space="preserve">and lizard glyph 69’s link to</w:t>
      </w:r>
      <w:r>
        <w:t xml:space="preserve"> </w:t>
      </w:r>
      <w:r>
        <w:rPr>
          <w:i/>
          <w:iCs/>
        </w:rPr>
        <w:t xml:space="preserve">Hiro</w:t>
      </w:r>
      <w:r>
        <w:t xml:space="preserve"> </w:t>
      </w:r>
      <w:r>
        <w:t xml:space="preserve">come from the fact that Rapa Nui legends associate Rongo with the sea (turtle) and Hiro with mischief and possibly lizards. The decipherers, being cautious, label these as associations rather than confirmed “names,” but the contextual fit is strong (these glyphs appear in places where a god’s name or action is expected, such as in creation sequences or navigational chants)【35†】【25†】. If these hold true, Rongorongo would be explicitly naming figures from Rapa Nui’s pantheon and legendary history, stitching the oral lore into the wood.</w:t>
      </w:r>
    </w:p>
    <w:p>
      <w:pPr>
        <w:pStyle w:val="BodyText"/>
      </w:pPr>
      <w:r>
        <w:rPr>
          <w:b/>
          <w:bCs/>
        </w:rPr>
        <w:t xml:space="preserve">Polynesian Linguistic Parallels:</w:t>
      </w:r>
      <w:r>
        <w:t xml:space="preserve"> </w:t>
      </w:r>
      <w:r>
        <w:t xml:space="preserve">Almost every glyph meaning has a correlate in the Polynesian languages, showing that Rongorongo encodes Rapa Nui language (with some influence from shared Polynesian concepts). The decipherment team often cross-referenced Rapa Nui words: e.g.</w:t>
      </w:r>
      <w:r>
        <w:t xml:space="preserve"> </w:t>
      </w:r>
      <w:r>
        <w:rPr>
          <w:b/>
          <w:bCs/>
        </w:rPr>
        <w:t xml:space="preserve">glyph 4 (mouth)</w:t>
      </w:r>
      <w:r>
        <w:t xml:space="preserve"> </w:t>
      </w:r>
      <w:r>
        <w:t xml:space="preserve">corresponds to Rapanui</w:t>
      </w:r>
      <w:r>
        <w:t xml:space="preserve"> </w:t>
      </w:r>
      <w:r>
        <w:rPr>
          <w:i/>
          <w:iCs/>
        </w:rPr>
        <w:t xml:space="preserve">haha</w:t>
      </w:r>
      <w:r>
        <w:t xml:space="preserve"> </w:t>
      </w:r>
      <w:r>
        <w:t xml:space="preserve">(mouth) and extends to</w:t>
      </w:r>
      <w:r>
        <w:t xml:space="preserve"> </w:t>
      </w:r>
      <w:r>
        <w:rPr>
          <w:i/>
          <w:iCs/>
        </w:rPr>
        <w:t xml:space="preserve">ki</w:t>
      </w:r>
      <w:r>
        <w:t xml:space="preserve"> </w:t>
      </w:r>
      <w:r>
        <w:t xml:space="preserve">(to speak) and</w:t>
      </w:r>
      <w:r>
        <w:t xml:space="preserve"> </w:t>
      </w:r>
      <w:r>
        <w:rPr>
          <w:i/>
          <w:iCs/>
        </w:rPr>
        <w:t xml:space="preserve">kupu</w:t>
      </w:r>
      <w:r>
        <w:t xml:space="preserve"> </w:t>
      </w:r>
      <w:r>
        <w:t xml:space="preserve">(word)【17† (glyph4)】, reflecting the Polynesian idea of “mouth” for speech.</w:t>
      </w:r>
      <w:r>
        <w:t xml:space="preserve"> </w:t>
      </w:r>
      <w:r>
        <w:rPr>
          <w:b/>
          <w:bCs/>
        </w:rPr>
        <w:t xml:space="preserve">Glyph 2 (head)</w:t>
      </w:r>
      <w:r>
        <w:t xml:space="preserve"> </w:t>
      </w:r>
      <w:r>
        <w:t xml:space="preserve">was read as</w:t>
      </w:r>
      <w:r>
        <w:t xml:space="preserve"> </w:t>
      </w:r>
      <w:r>
        <w:rPr>
          <w:i/>
          <w:iCs/>
        </w:rPr>
        <w:t xml:space="preserve">po‘o</w:t>
      </w:r>
      <w:r>
        <w:t xml:space="preserve"> </w:t>
      </w:r>
      <w:r>
        <w:t xml:space="preserve">(head) and</w:t>
      </w:r>
      <w:r>
        <w:t xml:space="preserve"> </w:t>
      </w:r>
      <w:r>
        <w:rPr>
          <w:i/>
          <w:iCs/>
        </w:rPr>
        <w:t xml:space="preserve">mata</w:t>
      </w:r>
      <w:r>
        <w:t xml:space="preserve"> </w:t>
      </w:r>
      <w:r>
        <w:t xml:space="preserve">(face/eyes), both Polynesian roots【17† (glyph2)】.</w:t>
      </w:r>
      <w:r>
        <w:t xml:space="preserve"> </w:t>
      </w:r>
      <w:r>
        <w:rPr>
          <w:b/>
          <w:bCs/>
        </w:rPr>
        <w:t xml:space="preserve">Glyph 3 (eye)</w:t>
      </w:r>
      <w:r>
        <w:t xml:space="preserve"> </w:t>
      </w:r>
      <w:r>
        <w:t xml:space="preserve">is</w:t>
      </w:r>
      <w:r>
        <w:t xml:space="preserve"> </w:t>
      </w:r>
      <w:r>
        <w:rPr>
          <w:i/>
          <w:iCs/>
        </w:rPr>
        <w:t xml:space="preserve">mata</w:t>
      </w:r>
      <w:r>
        <w:t xml:space="preserve"> </w:t>
      </w:r>
      <w:r>
        <w:t xml:space="preserve">(eye) and by extension</w:t>
      </w:r>
      <w:r>
        <w:t xml:space="preserve"> </w:t>
      </w:r>
      <w:r>
        <w:rPr>
          <w:i/>
          <w:iCs/>
        </w:rPr>
        <w:t xml:space="preserve">kite</w:t>
      </w:r>
      <w:r>
        <w:t xml:space="preserve"> </w:t>
      </w:r>
      <w:r>
        <w:t xml:space="preserve">(to see)【17† (glyph3)】. The human figure glyph 1 as</w:t>
      </w:r>
      <w:r>
        <w:t xml:space="preserve"> </w:t>
      </w:r>
      <w:r>
        <w:rPr>
          <w:i/>
          <w:iCs/>
        </w:rPr>
        <w:t xml:space="preserve">tangata</w:t>
      </w:r>
      <w:r>
        <w:t xml:space="preserve"> </w:t>
      </w:r>
      <w:r>
        <w:t xml:space="preserve">(person)【17† (glyph1)】, the hand glyph 6 as</w:t>
      </w:r>
      <w:r>
        <w:t xml:space="preserve"> </w:t>
      </w:r>
      <w:r>
        <w:rPr>
          <w:i/>
          <w:iCs/>
        </w:rPr>
        <w:t xml:space="preserve">rima</w:t>
      </w:r>
      <w:r>
        <w:t xml:space="preserve"> </w:t>
      </w:r>
      <w:r>
        <w:t xml:space="preserve">(hand, five, many)【28†】, the arm glyph 5 as</w:t>
      </w:r>
      <w:r>
        <w:t xml:space="preserve"> </w:t>
      </w:r>
      <w:r>
        <w:rPr>
          <w:i/>
          <w:iCs/>
        </w:rPr>
        <w:t xml:space="preserve">rima</w:t>
      </w:r>
      <w:r>
        <w:t xml:space="preserve"> </w:t>
      </w:r>
      <w:r>
        <w:t xml:space="preserve">(arm) or</w:t>
      </w:r>
      <w:r>
        <w:t xml:space="preserve"> </w:t>
      </w:r>
      <w:r>
        <w:rPr>
          <w:i/>
          <w:iCs/>
        </w:rPr>
        <w:t xml:space="preserve">tuku</w:t>
      </w:r>
      <w:r>
        <w:t xml:space="preserve"> </w:t>
      </w:r>
      <w:r>
        <w:t xml:space="preserve">(to extend)【17† (glyph5)】 – all of these show direct alignment with the Rapa Nui lexicon (which is a dialect of Eastern Polynesian). Even more telling, some glyph compounds reveal</w:t>
      </w:r>
      <w:r>
        <w:t xml:space="preserve"> </w:t>
      </w:r>
      <w:r>
        <w:rPr>
          <w:b/>
          <w:bCs/>
        </w:rPr>
        <w:t xml:space="preserve">Polynesian wordplay</w:t>
      </w:r>
      <w:r>
        <w:t xml:space="preserve">: for example, the beach glyph 9 represents</w:t>
      </w:r>
      <w:r>
        <w:t xml:space="preserve"> </w:t>
      </w:r>
      <w:r>
        <w:rPr>
          <w:i/>
          <w:iCs/>
        </w:rPr>
        <w:t xml:space="preserve">one</w:t>
      </w:r>
      <w:r>
        <w:t xml:space="preserve"> </w:t>
      </w:r>
      <w:r>
        <w:t xml:space="preserve">(sand) and is used as a homophone for “one (the number)” to signify</w:t>
      </w:r>
      <w:r>
        <w:t xml:space="preserve"> </w:t>
      </w:r>
      <w:r>
        <w:rPr>
          <w:i/>
          <w:iCs/>
        </w:rPr>
        <w:t xml:space="preserve">first/unique</w:t>
      </w:r>
      <w:r>
        <w:t xml:space="preserve"> </w:t>
      </w:r>
      <w:r>
        <w:t xml:space="preserve">or the specific beach called One (Anakena)【39†】. The fish glyph being read as</w:t>
      </w:r>
      <w:r>
        <w:t xml:space="preserve"> </w:t>
      </w:r>
      <w:r>
        <w:rPr>
          <w:i/>
          <w:iCs/>
        </w:rPr>
        <w:t xml:space="preserve">ika</w:t>
      </w:r>
      <w:r>
        <w:t xml:space="preserve"> </w:t>
      </w:r>
      <w:r>
        <w:t xml:space="preserve">for victim relies on understanding the double meaning in Rapa Nui. The script thus assumes the reader knows these Polynesian words and puns – a strong indication that the texts were recorded by and for speakers of Rapa Nui, embedding their linguistic worldview.</w:t>
      </w:r>
    </w:p>
    <w:p>
      <w:pPr>
        <w:pStyle w:val="BodyText"/>
      </w:pPr>
      <w:r>
        <w:rPr>
          <w:b/>
          <w:bCs/>
        </w:rPr>
        <w:t xml:space="preserve">Oral Literature Correspondences:</w:t>
      </w:r>
      <w:r>
        <w:t xml:space="preserve"> </w:t>
      </w:r>
      <w:r>
        <w:t xml:space="preserve">The content types in Rongorongo match the categories of oral literature known across Polynesia. We have</w:t>
      </w:r>
      <w:r>
        <w:t xml:space="preserve"> </w:t>
      </w:r>
      <w:r>
        <w:rPr>
          <w:b/>
          <w:bCs/>
        </w:rPr>
        <w:t xml:space="preserve">cosmogonic chants</w:t>
      </w:r>
      <w:r>
        <w:t xml:space="preserve"> </w:t>
      </w:r>
      <w:r>
        <w:t xml:space="preserve">(creation of the world by sequential generation, as seen on the Staff, paralleling chants like the Hawaiian</w:t>
      </w:r>
      <w:r>
        <w:t xml:space="preserve"> </w:t>
      </w:r>
      <w:r>
        <w:rPr>
          <w:i/>
          <w:iCs/>
        </w:rPr>
        <w:t xml:space="preserve">Kumulipo</w:t>
      </w:r>
      <w:r>
        <w:t xml:space="preserve"> </w:t>
      </w:r>
      <w:r>
        <w:t xml:space="preserve">or Māori</w:t>
      </w:r>
      <w:r>
        <w:t xml:space="preserve"> </w:t>
      </w:r>
      <w:r>
        <w:rPr>
          <w:i/>
          <w:iCs/>
        </w:rPr>
        <w:t xml:space="preserve">Karakia</w:t>
      </w:r>
      <w:r>
        <w:t xml:space="preserve"> </w:t>
      </w:r>
      <w:r>
        <w:t xml:space="preserve">of creation)</w:t>
      </w:r>
      <w:hyperlink r:id="rId57">
        <w:r>
          <w:rPr>
            <w:rStyle w:val="Hyperlink"/>
          </w:rPr>
          <w:t xml:space="preserve">[35]</w:t>
        </w:r>
      </w:hyperlink>
      <w:r>
        <w:t xml:space="preserve">. We have</w:t>
      </w:r>
      <w:r>
        <w:t xml:space="preserve"> </w:t>
      </w:r>
      <w:r>
        <w:rPr>
          <w:b/>
          <w:bCs/>
        </w:rPr>
        <w:t xml:space="preserve">migration stories</w:t>
      </w:r>
      <w:r>
        <w:t xml:space="preserve"> </w:t>
      </w:r>
      <w:r>
        <w:t xml:space="preserve">(voyage sequences ending at a known land, akin to the Hawaiki departure and landfinding stories present in many island traditions). We have</w:t>
      </w:r>
      <w:r>
        <w:t xml:space="preserve"> </w:t>
      </w:r>
      <w:r>
        <w:rPr>
          <w:b/>
          <w:bCs/>
        </w:rPr>
        <w:t xml:space="preserve">genealogical chants</w:t>
      </w:r>
      <w:r>
        <w:t xml:space="preserve"> </w:t>
      </w:r>
      <w:r>
        <w:t xml:space="preserve">(listing ancestors, similar to what Polynesians would recite at important events to establish precedence). There are indications of</w:t>
      </w:r>
      <w:r>
        <w:t xml:space="preserve"> </w:t>
      </w:r>
      <w:r>
        <w:rPr>
          <w:b/>
          <w:bCs/>
        </w:rPr>
        <w:t xml:space="preserve">star lore or navigation references</w:t>
      </w:r>
      <w:r>
        <w:t xml:space="preserve">: e.g., glyph 40 denotes</w:t>
      </w:r>
      <w:r>
        <w:t xml:space="preserve"> </w:t>
      </w:r>
      <w:r>
        <w:rPr>
          <w:i/>
          <w:iCs/>
        </w:rPr>
        <w:t xml:space="preserve">tai</w:t>
      </w:r>
      <w:r>
        <w:t xml:space="preserve"> </w:t>
      </w:r>
      <w:r>
        <w:t xml:space="preserve">(sea, tides)【26†】 and might be part of navigation lists; glyph 8 (star/sun) could signal star names or the sun in some context</w:t>
      </w:r>
      <w:hyperlink r:id="rId37">
        <w:r>
          <w:rPr>
            <w:rStyle w:val="Hyperlink"/>
          </w:rPr>
          <w:t xml:space="preserve">[17]</w:t>
        </w:r>
      </w:hyperlink>
      <w:r>
        <w:t xml:space="preserve">. If any tablet is a star calendar (some have theorized Mamari might double as one), that would align with how Polynesians tracked stars for seasons. The point is that nothing deciphered so far falls outside what we know of the island’s oral culture – there are no “mystery” content like foreign histories or unrelated topics. Everything fits a coherent picture:</w:t>
      </w:r>
      <w:r>
        <w:t xml:space="preserve"> </w:t>
      </w:r>
      <w:r>
        <w:rPr>
          <w:b/>
          <w:bCs/>
        </w:rPr>
        <w:t xml:space="preserve">Rongorongo was the mnemonic repository of the island’s sacred and practical knowledge</w:t>
      </w:r>
      <w:r>
        <w:t xml:space="preserve">, exactly as the Rapa Nui themselves indicated.</w:t>
      </w:r>
    </w:p>
    <w:p>
      <w:pPr>
        <w:pStyle w:val="BodyText"/>
      </w:pPr>
      <w:r>
        <w:t xml:space="preserve">One compelling confirmation came when a phrase from the deciphered text was found to correspond to a line in a known Rapa Nui</w:t>
      </w:r>
      <w:r>
        <w:t xml:space="preserve"> </w:t>
      </w:r>
      <w:r>
        <w:rPr>
          <w:b/>
          <w:bCs/>
        </w:rPr>
        <w:t xml:space="preserve">chant recorded by missionaries</w:t>
      </w:r>
      <w:r>
        <w:t xml:space="preserve">. By the late 19th century, some fragments of Rapa Nui chants were written down in Roman alphabet (though not understood well). The research team cross-checked one such fragment – referred to as the “Grand Tradition chant” – and realized a sequence on Tablets P/Q/H matched it, including specific names of legendary chiefs</w:t>
      </w:r>
      <w:hyperlink r:id="rId44">
        <w:r>
          <w:rPr>
            <w:rStyle w:val="Hyperlink"/>
          </w:rPr>
          <w:t xml:space="preserve">[23]</w:t>
        </w:r>
      </w:hyperlink>
      <w:r>
        <w:t xml:space="preserve">. This provided a double verification: the oral line gave meaning to the glyphs, and the glyphs preserved a detail (a name or epithet) that was missing or unclear in the oral record. In one case, a chief’s name in a myth (faintly remembered in oral form) was confirmed by the Rongorongo text on Tablet O, which repeated the same myth with that name clearly delineated in glyphs</w:t>
      </w:r>
      <w:hyperlink r:id="rId44">
        <w:r>
          <w:rPr>
            <w:rStyle w:val="Hyperlink"/>
          </w:rPr>
          <w:t xml:space="preserve">[23]</w:t>
        </w:r>
      </w:hyperlink>
      <w:r>
        <w:t xml:space="preserve">. These kinds of correspondences demonstrate an interplay between</w:t>
      </w:r>
      <w:r>
        <w:t xml:space="preserve"> </w:t>
      </w:r>
      <w:r>
        <w:rPr>
          <w:b/>
          <w:bCs/>
        </w:rPr>
        <w:t xml:space="preserve">oral and written</w:t>
      </w:r>
      <w:r>
        <w:t xml:space="preserve">: the tablets were not a full script in the Western sense, but they were a sophisticated extension of the oral domain, ensuring consistency and continuity of tradition.</w:t>
      </w:r>
    </w:p>
    <w:p>
      <w:pPr>
        <w:pStyle w:val="BodyText"/>
      </w:pPr>
      <w:r>
        <w:t xml:space="preserve">Finally, the decipherment highlights some</w:t>
      </w:r>
      <w:r>
        <w:t xml:space="preserve"> </w:t>
      </w:r>
      <w:r>
        <w:rPr>
          <w:b/>
          <w:bCs/>
        </w:rPr>
        <w:t xml:space="preserve">Polynesian pan-cultural themes</w:t>
      </w:r>
      <w:r>
        <w:t xml:space="preserve"> </w:t>
      </w:r>
      <w:r>
        <w:t xml:space="preserve">encoded in the script. The use of plant growth stages for moon phases, the metaphor of fishing for warfare, the reverence of ancestors (with genealogies going back perhaps to mythical times), and the concept of writing as an aid to</w:t>
      </w:r>
      <w:r>
        <w:t xml:space="preserve"> </w:t>
      </w:r>
      <w:r>
        <w:rPr>
          <w:b/>
          <w:bCs/>
        </w:rPr>
        <w:t xml:space="preserve">ritual recitation</w:t>
      </w:r>
      <w:r>
        <w:t xml:space="preserve"> </w:t>
      </w:r>
      <w:r>
        <w:t xml:space="preserve">– all these resonate with broader Polynesian practices. In a way, Rongorongo’s successful reading situates Rapa Nui firmly within the Polynesian world, rather than an isolated oddity. It shows that, despite its isolation, Easter Island developed a unique but understandable system to record what mattered to them:</w:t>
      </w:r>
      <w:r>
        <w:t xml:space="preserve"> </w:t>
      </w:r>
      <w:r>
        <w:rPr>
          <w:i/>
          <w:iCs/>
        </w:rPr>
        <w:t xml:space="preserve">the sky and time, the lineage of people, the tales of origin, and the rhythm of ritual life</w:t>
      </w:r>
      <w:r>
        <w:t xml:space="preserve">. This system makes use of pan-Polynesian symbols (moon, sun, turtle, bird-man, etc.) and local innovations (the specific glyph shapes and combinations), blending them into a mnemonic code. As the decipherment report concludes,</w:t>
      </w:r>
      <w:r>
        <w:t xml:space="preserve"> </w:t>
      </w:r>
      <w:r>
        <w:rPr>
          <w:i/>
          <w:iCs/>
        </w:rPr>
        <w:t xml:space="preserve">“the once-enigmatic wooden tablets have begun to speak: they tell of moons and seasons, of kings and battles, of voyages and creation – the voice of Rapa Nui’s heritage made visible.”</w:t>
      </w:r>
      <w:hyperlink r:id="rId74">
        <w:r>
          <w:rPr>
            <w:rStyle w:val="Hyperlink"/>
          </w:rPr>
          <w:t xml:space="preserve">[50]</w:t>
        </w:r>
      </w:hyperlink>
      <w:hyperlink r:id="rId51">
        <w:r>
          <w:rPr>
            <w:rStyle w:val="Hyperlink"/>
          </w:rPr>
          <w:t xml:space="preserve">[30]</w:t>
        </w:r>
      </w:hyperlink>
    </w:p>
    <w:p>
      <w:pPr>
        <w:pStyle w:val="BodyText"/>
      </w:pPr>
      <w:r>
        <w:rPr>
          <w:b/>
          <w:bCs/>
        </w:rPr>
        <w:t xml:space="preserve">Sources:</w:t>
      </w:r>
      <w:r>
        <w:t xml:space="preserve"> </w:t>
      </w:r>
      <w:r>
        <w:t xml:space="preserve">The interpretations above are drawn from the 2025 breakthrough study and its compiled lexicon of 306 glyphs</w:t>
      </w:r>
      <w:hyperlink r:id="rId75">
        <w:r>
          <w:rPr>
            <w:rStyle w:val="Hyperlink"/>
          </w:rPr>
          <w:t xml:space="preserve">[51]</w:t>
        </w:r>
      </w:hyperlink>
      <w:hyperlink r:id="rId76">
        <w:r>
          <w:rPr>
            <w:rStyle w:val="Hyperlink"/>
          </w:rPr>
          <w:t xml:space="preserve">[52]</w:t>
        </w:r>
      </w:hyperlink>
      <w:r>
        <w:t xml:space="preserve">. Key evidence has been cited from that report, which documents glyph meanings (e.g. moon, full moon, offspring, chief, fish)</w:t>
      </w:r>
      <w:hyperlink r:id="rId76">
        <w:r>
          <w:rPr>
            <w:rStyle w:val="Hyperlink"/>
          </w:rPr>
          <w:t xml:space="preserve">[52]</w:t>
        </w:r>
      </w:hyperlink>
      <w:hyperlink r:id="rId77">
        <w:r>
          <w:rPr>
            <w:rStyle w:val="Hyperlink"/>
          </w:rPr>
          <w:t xml:space="preserve">[53]</w:t>
        </w:r>
      </w:hyperlink>
      <w:r>
        <w:t xml:space="preserve">, formulaic sequences (genealogies, refrains)</w:t>
      </w:r>
      <w:hyperlink r:id="rId45">
        <w:r>
          <w:rPr>
            <w:rStyle w:val="Hyperlink"/>
          </w:rPr>
          <w:t xml:space="preserve">[24]</w:t>
        </w:r>
      </w:hyperlink>
      <w:hyperlink r:id="rId56">
        <w:r>
          <w:rPr>
            <w:rStyle w:val="Hyperlink"/>
          </w:rPr>
          <w:t xml:space="preserve">[34]</w:t>
        </w:r>
      </w:hyperlink>
      <w:r>
        <w:t xml:space="preserve">, and content correlations with oral tradition</w:t>
      </w:r>
      <w:hyperlink r:id="rId53">
        <w:r>
          <w:rPr>
            <w:rStyle w:val="Hyperlink"/>
          </w:rPr>
          <w:t xml:space="preserve">[32]</w:t>
        </w:r>
      </w:hyperlink>
      <w:hyperlink r:id="rId38">
        <w:r>
          <w:rPr>
            <w:rStyle w:val="Hyperlink"/>
          </w:rPr>
          <w:t xml:space="preserve">[18]</w:t>
        </w:r>
      </w:hyperlink>
      <w:r>
        <w:t xml:space="preserve">. These findings collectively demonstrate a successful multi-disciplinary decipherment, achieved by aligning internal patterns with Rapa Nui language and lore, confirming that Rongorongo is a</w:t>
      </w:r>
      <w:r>
        <w:t xml:space="preserve"> </w:t>
      </w:r>
      <w:r>
        <w:rPr>
          <w:b/>
          <w:bCs/>
        </w:rPr>
        <w:t xml:space="preserve">sophisticated mnemonic proto-writing system</w:t>
      </w:r>
      <w:r>
        <w:t xml:space="preserve"> </w:t>
      </w:r>
      <w:r>
        <w:t xml:space="preserve">for preserving the island’s cultural knowledge</w:t>
      </w:r>
      <w:hyperlink r:id="rId78">
        <w:r>
          <w:rPr>
            <w:rStyle w:val="Hyperlink"/>
          </w:rPr>
          <w:t xml:space="preserve">[54]</w:t>
        </w:r>
      </w:hyperlink>
      <w:hyperlink r:id="rId63">
        <w:r>
          <w:rPr>
            <w:rStyle w:val="Hyperlink"/>
          </w:rPr>
          <w:t xml:space="preserve">[41]</w:t>
        </w:r>
      </w:hyperlink>
      <w:r>
        <w:t xml:space="preserve">. The ongoing work continues to refine readings and uncover more nuance, but the broad strokes are now clear: Rongorongo can finally be read, and it speaks in the metaphors and meanings of the Rapa Nui people themselves.</w:t>
      </w:r>
    </w:p>
    <w:bookmarkEnd w:id="79"/>
    <w:bookmarkEnd w:id="80"/>
    <w:bookmarkEnd w:id="81"/>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5">
        <w:r>
          <w:rPr>
            <w:rStyle w:val="Hyperlink"/>
          </w:rPr>
          <w:t xml:space="preserve">[44]</w:t>
        </w:r>
      </w:hyperlink>
      <w:r>
        <w:t xml:space="preserve"> </w:t>
      </w:r>
      <w:hyperlink r:id="rId67">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r>
        <w:t xml:space="preserve">Rongorongo Script Decipherment Breakthrough (2025)-1.pdf</w:t>
      </w:r>
    </w:p>
    <w:p>
      <w:pPr>
        <w:pStyle w:val="BodyText"/>
      </w:pPr>
      <w:hyperlink r:id="rId82">
        <w:r>
          <w:rPr>
            <w:rStyle w:val="Hyperlink"/>
          </w:rPr>
          <w:t xml:space="preserve">file://file-73NS7DbrjTTD6Rrwzgh3in</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73NS7DbrjTTD6Rrwzgh3in" TargetMode="External" /><Relationship Type="http://schemas.openxmlformats.org/officeDocument/2006/relationships/hyperlink" Id="rId47" Target="file://file-73NS7DbrjTTD6Rrwzgh3in#:~:text=%28Barthel%20,a%20new%20ancestor%20or%20king" TargetMode="External" /><Relationship Type="http://schemas.openxmlformats.org/officeDocument/2006/relationships/hyperlink" Id="rId31" Target="file://file-73NS7DbrjTTD6Rrwzgh3in#:~:text=%E2%80%9Cika%E2%80%9D%20%3D%20%E2%80%9Cvictim%E2%80%9D%20,elder%2Fauthoritative%20figure%E2%80%9D%20in%20a%20list" TargetMode="External" /><Relationship Type="http://schemas.openxmlformats.org/officeDocument/2006/relationships/hyperlink" Id="rId37" Target="file://file-73NS7DbrjTTD6Rrwzgh3in#:~:text=%E2%80%9Coffspring%20%2F%20%20genitive%E2%80%9D%20,hence" TargetMode="External" /><Relationship Type="http://schemas.openxmlformats.org/officeDocument/2006/relationships/hyperlink" Id="rId25" Target="file://file-73NS7DbrjTTD6Rrwzgh3in#:~:text=,cues%2C%20combined%20with%20knowledge%20of" TargetMode="External" /><Relationship Type="http://schemas.openxmlformats.org/officeDocument/2006/relationships/hyperlink" Id="rId70" Target="file://file-73NS7DbrjTTD6Rrwzgh3in#:~:text=,have%20defined%20meanings%20or%20sounds" TargetMode="External" /><Relationship Type="http://schemas.openxmlformats.org/officeDocument/2006/relationships/hyperlink" Id="rId48" Target="file://file-73NS7DbrjTTD6Rrwzgh3in#:~:text=,the%20longest" TargetMode="External" /><Relationship Type="http://schemas.openxmlformats.org/officeDocument/2006/relationships/hyperlink" Id="rId28" Target="file://file-73NS7DbrjTTD6Rrwzgh3in#:~:text=152%20,genealogical%20contexts%20is%20read%20as" TargetMode="External" /><Relationship Type="http://schemas.openxmlformats.org/officeDocument/2006/relationships/hyperlink" Id="rId75" Target="file://file-73NS7DbrjTTD6Rrwzgh3in#:~:text=A%20comprehensive%20glyph%20lexicon%20has,and%20consistently%20the%20interpretation%20is" TargetMode="External" /><Relationship Type="http://schemas.openxmlformats.org/officeDocument/2006/relationships/hyperlink" Id="rId56" Target="file://file-73NS7DbrjTTD6Rrwzgh3in#:~:text=Cosmogonic%20Chants%20and%20Mythic%20Sequences%3A,where%20%20each%20%20verse" TargetMode="External" /><Relationship Type="http://schemas.openxmlformats.org/officeDocument/2006/relationships/hyperlink" Id="rId76" Target="file://file-73NS7DbrjTTD6Rrwzgh3in#:~:text=Dozens%20%20of%20%20glyphs,ariki%29%2C%20often" TargetMode="External" /><Relationship Type="http://schemas.openxmlformats.org/officeDocument/2006/relationships/hyperlink" Id="rId26" Target="file://file-73NS7DbrjTTD6Rrwzgh3in#:~:text=Dozens%20%20of%20%20glyphs,names%20in%20family%20lines" TargetMode="External" /><Relationship Type="http://schemas.openxmlformats.org/officeDocument/2006/relationships/hyperlink" Id="rId38" Target="file://file-73NS7DbrjTTD6Rrwzgh3in#:~:text=Glyph%20200%20,elder%2Fauthoritative%20figure%E2%80%9D%20in%20a%20list" TargetMode="External" /><Relationship Type="http://schemas.openxmlformats.org/officeDocument/2006/relationships/hyperlink" Id="rId78" Target="file://file-73NS7DbrjTTD6Rrwzgh3in#:~:text=In%20August%202025%2C%20however%2C%20a,of%20the%20Rapa%20Nui%20people" TargetMode="External" /><Relationship Type="http://schemas.openxmlformats.org/officeDocument/2006/relationships/hyperlink" Id="rId33" Target="file://file-73NS7DbrjTTD6Rrwzgh3in#:~:text=Lunar%20%20Calendar%20%20Sequence%3A,crescents%20and%20special%20%E2%80%9Cfull%20moon%E2%80%9D" TargetMode="External" /><Relationship Type="http://schemas.openxmlformats.org/officeDocument/2006/relationships/hyperlink" Id="rId65" Target="file://file-73NS7DbrjTTD6Rrwzgh3in#:~:text=Lunar%20Calendar%20Alignment%3A%20The%20known,phase%20glyphs" TargetMode="External" /><Relationship Type="http://schemas.openxmlformats.org/officeDocument/2006/relationships/hyperlink" Id="rId60" Target="file://file-73NS7DbrjTTD6Rrwzgh3in#:~:text=Parallel%20Texts%20,confirmed%20%20by%20%20digital" TargetMode="External" /><Relationship Type="http://schemas.openxmlformats.org/officeDocument/2006/relationships/hyperlink" Id="rId67" Target="file://file-73NS7DbrjTTD6Rrwzgh3in#:~:text=Prior%20to%202025%2C%20%20no,essentially%20unreadable%20as%20language" TargetMode="External" /><Relationship Type="http://schemas.openxmlformats.org/officeDocument/2006/relationships/hyperlink" Id="rId22" Target="file://file-73NS7DbrjTTD6Rrwzgh3in#:~:text=Rebus%20and%20Iconographic%20Reading%3A%20The,applied%20the%20rebus%20principle%20widely" TargetMode="External" /><Relationship Type="http://schemas.openxmlformats.org/officeDocument/2006/relationships/hyperlink" Id="rId41" Target="file://file-73NS7DbrjTTD6Rrwzgh3in#:~:text=Rongorongo%20sign%20and%20its%20proposed,is%20attested%20across%20texts" TargetMode="External" /><Relationship Type="http://schemas.openxmlformats.org/officeDocument/2006/relationships/hyperlink" Id="rId49" Target="file://file-73NS7DbrjTTD6Rrwzgh3in#:~:text=Rongorongo%20text%2C%20contains%20564%20occurrences,the%20presence%20of%20the%20genealogical" TargetMode="External" /><Relationship Type="http://schemas.openxmlformats.org/officeDocument/2006/relationships/hyperlink" Id="rId53" Target="file://file-73NS7DbrjTTD6Rrwzgh3in#:~:text=These%20findings%20collectively%20%20show,for%20%20genealogy%2C%20%20lines" TargetMode="External" /><Relationship Type="http://schemas.openxmlformats.org/officeDocument/2006/relationships/hyperlink" Id="rId57" Target="file://file-73NS7DbrjTTD6Rrwzgh3in#:~:text=Y%20,man%20%20and" TargetMode="External" /><Relationship Type="http://schemas.openxmlformats.org/officeDocument/2006/relationships/hyperlink" Id="rId72" Target="file://file-73NS7DbrjTTD6Rrwzgh3in#:~:text=as%20a%20genitive%20or%20verb%2C,inferred%2C%20or%20how%20verb%20tenses" TargetMode="External" /><Relationship Type="http://schemas.openxmlformats.org/officeDocument/2006/relationships/hyperlink" Id="rId51" Target="file://file-73NS7DbrjTTD6Rrwzgh3in#:~:text=astronomical%20%20knowledge%2C%20%20genealogies,pictures%2C%20%20Rongorongo%20is%20a" TargetMode="External" /><Relationship Type="http://schemas.openxmlformats.org/officeDocument/2006/relationships/hyperlink" Id="rId34" Target="file://file-73NS7DbrjTTD6Rrwzgh3in#:~:text=calendar%20listing%20the%2028%E2%80%9330%20nights,as%20an%20astronomical%20text" TargetMode="External" /><Relationship Type="http://schemas.openxmlformats.org/officeDocument/2006/relationships/hyperlink" Id="rId62" Target="file://file-73NS7DbrjTTD6Rrwzgh3in#:~:text=creation%20chant%3A%20it%20is%20divided,a%20bird%20glyph%20followed%20by" TargetMode="External" /><Relationship Type="http://schemas.openxmlformats.org/officeDocument/2006/relationships/hyperlink" Id="rId30" Target="file://file-73NS7DbrjTTD6Rrwzgh3in#:~:text=effectively%20%20%E2%80%9CA%2C%20son%20of,a%20new%20ancestor%20or%20king" TargetMode="External" /><Relationship Type="http://schemas.openxmlformats.org/officeDocument/2006/relationships/hyperlink" Id="rId61" Target="file://file-73NS7DbrjTTD6Rrwzgh3in#:~:text=for%20line%20,confidence%20in%20the%20reading" TargetMode="External" /><Relationship Type="http://schemas.openxmlformats.org/officeDocument/2006/relationships/hyperlink" Id="rId29" Target="file://file-73NS7DbrjTTD6Rrwzgh3in#:~:text=form,genealogical%20contexts%20is%20read%20as" TargetMode="External" /><Relationship Type="http://schemas.openxmlformats.org/officeDocument/2006/relationships/hyperlink" Id="rId77" Target="file://file-73NS7DbrjTTD6Rrwzgh3in#:~:text=form,meaning%20%E2%80%9Cnew%20item%20%E2%80%93%20an" TargetMode="External" /><Relationship Type="http://schemas.openxmlformats.org/officeDocument/2006/relationships/hyperlink" Id="rId59" Target="file://file-73NS7DbrjTTD6Rrwzgh3in#:~:text=function%20like%20punctuation%20or%20determinatives,evolve%20from%20pictograms%20to%20partially" TargetMode="External" /><Relationship Type="http://schemas.openxmlformats.org/officeDocument/2006/relationships/hyperlink" Id="rId43" Target="file://file-73NS7DbrjTTD6Rrwzgh3in#:~:text=glyph%20patterns%20and%20structural%20templates,like" TargetMode="External" /><Relationship Type="http://schemas.openxmlformats.org/officeDocument/2006/relationships/hyperlink" Id="rId66" Target="file://file-73NS7DbrjTTD6Rrwzgh3in#:~:text=helped%2520decode%2520bits%2520of%2520meaning%2CMamari%2520tablet%252C%2520which%2520matches%2520the%20https%3A%2F%2Flackadaisical" TargetMode="External" /><Relationship Type="http://schemas.openxmlformats.org/officeDocument/2006/relationships/hyperlink" Id="rId46" Target="file://file-73NS7DbrjTTD6Rrwzgh3in#:~:text=instance%2C%20a%20pattern%20of%20alternating,list%20marker%20denoting%20a%20new" TargetMode="External" /><Relationship Type="http://schemas.openxmlformats.org/officeDocument/2006/relationships/hyperlink" Id="rId35" Target="file://file-73NS7DbrjTTD6Rrwzgh3in#:~:text=match%20at%20L237%20For%20example%2C,marking%20%20waxing%20%20or" TargetMode="External" /><Relationship Type="http://schemas.openxmlformats.org/officeDocument/2006/relationships/hyperlink" Id="rId24" Target="file://file-73NS7DbrjTTD6Rrwzgh3in#:~:text=matching%20the%20glyphs,that%20doubles%20for%20%E2%80%9Cvictim%E2%80%9D%20in" TargetMode="External" /><Relationship Type="http://schemas.openxmlformats.org/officeDocument/2006/relationships/hyperlink" Id="rId63" Target="file://file-73NS7DbrjTTD6Rrwzgh3in#:~:text=mnemonic%20%20device%20%20for,for%20%20genealogy%2C%20%20lines" TargetMode="External" /><Relationship Type="http://schemas.openxmlformats.org/officeDocument/2006/relationships/hyperlink" Id="rId36" Target="file://file-73NS7DbrjTTD6Rrwzgh3in#:~:text=multiple%20birds%2C%20multiple%20people%2C%20etc,600%29%2C%20%20%E2%80%9Cflock%20of" TargetMode="External" /><Relationship Type="http://schemas.openxmlformats.org/officeDocument/2006/relationships/hyperlink" Id="rId58" Target="file://file-73NS7DbrjTTD6Rrwzgh3in#:~:text=mythical%20%20or%20%20historical,wood%20to%20aid%20memorization" TargetMode="External" /><Relationship Type="http://schemas.openxmlformats.org/officeDocument/2006/relationships/hyperlink" Id="rId40" Target="file://file-73NS7DbrjTTD6Rrwzgh3in#:~:text=oneone%20%E2%80%93%20sand%2Fground,human%20sacrifice%20in%20a%20war" TargetMode="External" /><Relationship Type="http://schemas.openxmlformats.org/officeDocument/2006/relationships/hyperlink" Id="rId44" Target="file://file-73NS7DbrjTTD6Rrwzgh3in#:~:text=passed%20%20down%20%20and,of%20chiefs%20associated%20with%20that" TargetMode="External" /><Relationship Type="http://schemas.openxmlformats.org/officeDocument/2006/relationships/hyperlink" Id="rId23" Target="file://file-73NS7DbrjTTD6Rrwzgh3in#:~:text=pictograms%20whose%20shape%20hints%20at,a%20large%20round%20head%20and" TargetMode="External" /><Relationship Type="http://schemas.openxmlformats.org/officeDocument/2006/relationships/hyperlink" Id="rId74" Target="file://file-73NS7DbrjTTD6Rrwzgh3in#:~:text=possibly%20%20ritual%20%20chants,different%20tablets%20for" TargetMode="External" /><Relationship Type="http://schemas.openxmlformats.org/officeDocument/2006/relationships/hyperlink" Id="rId52" Target="file://file-73NS7DbrjTTD6Rrwzgh3in#:~:text=producing%20the%20next%20elements%20of,record%2C%20as%20noted%20above%2C%20both" TargetMode="External" /><Relationship Type="http://schemas.openxmlformats.org/officeDocument/2006/relationships/hyperlink" Id="rId54" Target="file://file-73NS7DbrjTTD6Rrwzgh3in#:~:text=redundancy%20means%20Rongorongo%20texts%20are,phrase%20in%20the%20Grand%20Tradition" TargetMode="External" /><Relationship Type="http://schemas.openxmlformats.org/officeDocument/2006/relationships/hyperlink" Id="rId21" Target="file://file-73NS7DbrjTTD6Rrwzgh3in#:~:text=researchers%20%20report%20%20that,This%20%20unprecedented" TargetMode="External" /><Relationship Type="http://schemas.openxmlformats.org/officeDocument/2006/relationships/hyperlink" Id="rId69" Target="file://file-73NS7DbrjTTD6Rrwzgh3in#:~:text=semasiographic%20mnemonic%20,but%20some%20elements" TargetMode="External" /><Relationship Type="http://schemas.openxmlformats.org/officeDocument/2006/relationships/hyperlink" Id="rId50" Target="file://file-73NS7DbrjTTD6Rrwzgh3in#:~:text=tablet%20can%20be%20cross,Such" TargetMode="External" /><Relationship Type="http://schemas.openxmlformats.org/officeDocument/2006/relationships/hyperlink" Id="rId39" Target="file://file-73NS7DbrjTTD6Rrwzgh3in#:~:text=tentatively.%20High,glyph%E2%80%99s%20entry%20in%20the%20lexicon" TargetMode="External" /><Relationship Type="http://schemas.openxmlformats.org/officeDocument/2006/relationships/hyperlink" Id="rId71" Target="file://file-73NS7DbrjTTD6Rrwzgh3in#:~:text=that%20a%20proposed%20%E2%80%9Cplural%E2%80%9D%20marker,Though%20Rongorongo%20developed%20in%20isolation" TargetMode="External" /><Relationship Type="http://schemas.openxmlformats.org/officeDocument/2006/relationships/hyperlink" Id="rId27" Target="file://file-73NS7DbrjTTD6Rrwzgh3in#:~:text=unequivocally%20means%20%20%E2%80%9Cmoon%E2%80%9D%20or,Glyph%2076%20%28phallic" TargetMode="External" /><Relationship Type="http://schemas.openxmlformats.org/officeDocument/2006/relationships/hyperlink" Id="rId45" Target="file://file-73NS7DbrjTTD6Rrwzgh3in#:~:text=using%20a%20%20repetitive%20,3%2C%20a%20human%20figure" TargetMode="External" /><Relationship Type="http://schemas.openxmlformats.org/officeDocument/2006/relationships/hyperlink" Id="rId32" Target="file://file-73NS7DbrjTTD6Rrwzgh3in#:~:text=with%20confidence%3A%20a%20lunar%20calendar,hints%20%20of%20%20a" TargetMode="External" /></Relationships>
</file>

<file path=word/_rels/footnotes.xml.rels><?xml version="1.0" encoding="UTF-8"?><Relationships xmlns="http://schemas.openxmlformats.org/package/2006/relationships"><Relationship Type="http://schemas.openxmlformats.org/officeDocument/2006/relationships/hyperlink" Id="rId82" Target="file://file-73NS7DbrjTTD6Rrwzgh3in" TargetMode="External" /><Relationship Type="http://schemas.openxmlformats.org/officeDocument/2006/relationships/hyperlink" Id="rId47" Target="file://file-73NS7DbrjTTD6Rrwzgh3in#:~:text=%28Barthel%20,a%20new%20ancestor%20or%20king" TargetMode="External" /><Relationship Type="http://schemas.openxmlformats.org/officeDocument/2006/relationships/hyperlink" Id="rId31" Target="file://file-73NS7DbrjTTD6Rrwzgh3in#:~:text=%E2%80%9Cika%E2%80%9D%20%3D%20%E2%80%9Cvictim%E2%80%9D%20,elder%2Fauthoritative%20figure%E2%80%9D%20in%20a%20list" TargetMode="External" /><Relationship Type="http://schemas.openxmlformats.org/officeDocument/2006/relationships/hyperlink" Id="rId37" Target="file://file-73NS7DbrjTTD6Rrwzgh3in#:~:text=%E2%80%9Coffspring%20%2F%20%20genitive%E2%80%9D%20,hence" TargetMode="External" /><Relationship Type="http://schemas.openxmlformats.org/officeDocument/2006/relationships/hyperlink" Id="rId25" Target="file://file-73NS7DbrjTTD6Rrwzgh3in#:~:text=,cues%2C%20combined%20with%20knowledge%20of" TargetMode="External" /><Relationship Type="http://schemas.openxmlformats.org/officeDocument/2006/relationships/hyperlink" Id="rId70" Target="file://file-73NS7DbrjTTD6Rrwzgh3in#:~:text=,have%20defined%20meanings%20or%20sounds" TargetMode="External" /><Relationship Type="http://schemas.openxmlformats.org/officeDocument/2006/relationships/hyperlink" Id="rId48" Target="file://file-73NS7DbrjTTD6Rrwzgh3in#:~:text=,the%20longest" TargetMode="External" /><Relationship Type="http://schemas.openxmlformats.org/officeDocument/2006/relationships/hyperlink" Id="rId28" Target="file://file-73NS7DbrjTTD6Rrwzgh3in#:~:text=152%20,genealogical%20contexts%20is%20read%20as" TargetMode="External" /><Relationship Type="http://schemas.openxmlformats.org/officeDocument/2006/relationships/hyperlink" Id="rId75" Target="file://file-73NS7DbrjTTD6Rrwzgh3in#:~:text=A%20comprehensive%20glyph%20lexicon%20has,and%20consistently%20the%20interpretation%20is" TargetMode="External" /><Relationship Type="http://schemas.openxmlformats.org/officeDocument/2006/relationships/hyperlink" Id="rId56" Target="file://file-73NS7DbrjTTD6Rrwzgh3in#:~:text=Cosmogonic%20Chants%20and%20Mythic%20Sequences%3A,where%20%20each%20%20verse" TargetMode="External" /><Relationship Type="http://schemas.openxmlformats.org/officeDocument/2006/relationships/hyperlink" Id="rId76" Target="file://file-73NS7DbrjTTD6Rrwzgh3in#:~:text=Dozens%20%20of%20%20glyphs,ariki%29%2C%20often" TargetMode="External" /><Relationship Type="http://schemas.openxmlformats.org/officeDocument/2006/relationships/hyperlink" Id="rId26" Target="file://file-73NS7DbrjTTD6Rrwzgh3in#:~:text=Dozens%20%20of%20%20glyphs,names%20in%20family%20lines" TargetMode="External" /><Relationship Type="http://schemas.openxmlformats.org/officeDocument/2006/relationships/hyperlink" Id="rId38" Target="file://file-73NS7DbrjTTD6Rrwzgh3in#:~:text=Glyph%20200%20,elder%2Fauthoritative%20figure%E2%80%9D%20in%20a%20list" TargetMode="External" /><Relationship Type="http://schemas.openxmlformats.org/officeDocument/2006/relationships/hyperlink" Id="rId78" Target="file://file-73NS7DbrjTTD6Rrwzgh3in#:~:text=In%20August%202025%2C%20however%2C%20a,of%20the%20Rapa%20Nui%20people" TargetMode="External" /><Relationship Type="http://schemas.openxmlformats.org/officeDocument/2006/relationships/hyperlink" Id="rId33" Target="file://file-73NS7DbrjTTD6Rrwzgh3in#:~:text=Lunar%20%20Calendar%20%20Sequence%3A,crescents%20and%20special%20%E2%80%9Cfull%20moon%E2%80%9D" TargetMode="External" /><Relationship Type="http://schemas.openxmlformats.org/officeDocument/2006/relationships/hyperlink" Id="rId65" Target="file://file-73NS7DbrjTTD6Rrwzgh3in#:~:text=Lunar%20Calendar%20Alignment%3A%20The%20known,phase%20glyphs" TargetMode="External" /><Relationship Type="http://schemas.openxmlformats.org/officeDocument/2006/relationships/hyperlink" Id="rId60" Target="file://file-73NS7DbrjTTD6Rrwzgh3in#:~:text=Parallel%20Texts%20,confirmed%20%20by%20%20digital" TargetMode="External" /><Relationship Type="http://schemas.openxmlformats.org/officeDocument/2006/relationships/hyperlink" Id="rId67" Target="file://file-73NS7DbrjTTD6Rrwzgh3in#:~:text=Prior%20to%202025%2C%20%20no,essentially%20unreadable%20as%20language" TargetMode="External" /><Relationship Type="http://schemas.openxmlformats.org/officeDocument/2006/relationships/hyperlink" Id="rId22" Target="file://file-73NS7DbrjTTD6Rrwzgh3in#:~:text=Rebus%20and%20Iconographic%20Reading%3A%20The,applied%20the%20rebus%20principle%20widely" TargetMode="External" /><Relationship Type="http://schemas.openxmlformats.org/officeDocument/2006/relationships/hyperlink" Id="rId41" Target="file://file-73NS7DbrjTTD6Rrwzgh3in#:~:text=Rongorongo%20sign%20and%20its%20proposed,is%20attested%20across%20texts" TargetMode="External" /><Relationship Type="http://schemas.openxmlformats.org/officeDocument/2006/relationships/hyperlink" Id="rId49" Target="file://file-73NS7DbrjTTD6Rrwzgh3in#:~:text=Rongorongo%20text%2C%20contains%20564%20occurrences,the%20presence%20of%20the%20genealogical" TargetMode="External" /><Relationship Type="http://schemas.openxmlformats.org/officeDocument/2006/relationships/hyperlink" Id="rId53" Target="file://file-73NS7DbrjTTD6Rrwzgh3in#:~:text=These%20findings%20collectively%20%20show,for%20%20genealogy%2C%20%20lines" TargetMode="External" /><Relationship Type="http://schemas.openxmlformats.org/officeDocument/2006/relationships/hyperlink" Id="rId57" Target="file://file-73NS7DbrjTTD6Rrwzgh3in#:~:text=Y%20,man%20%20and" TargetMode="External" /><Relationship Type="http://schemas.openxmlformats.org/officeDocument/2006/relationships/hyperlink" Id="rId72" Target="file://file-73NS7DbrjTTD6Rrwzgh3in#:~:text=as%20a%20genitive%20or%20verb%2C,inferred%2C%20or%20how%20verb%20tenses" TargetMode="External" /><Relationship Type="http://schemas.openxmlformats.org/officeDocument/2006/relationships/hyperlink" Id="rId51" Target="file://file-73NS7DbrjTTD6Rrwzgh3in#:~:text=astronomical%20%20knowledge%2C%20%20genealogies,pictures%2C%20%20Rongorongo%20is%20a" TargetMode="External" /><Relationship Type="http://schemas.openxmlformats.org/officeDocument/2006/relationships/hyperlink" Id="rId34" Target="file://file-73NS7DbrjTTD6Rrwzgh3in#:~:text=calendar%20listing%20the%2028%E2%80%9330%20nights,as%20an%20astronomical%20text" TargetMode="External" /><Relationship Type="http://schemas.openxmlformats.org/officeDocument/2006/relationships/hyperlink" Id="rId62" Target="file://file-73NS7DbrjTTD6Rrwzgh3in#:~:text=creation%20chant%3A%20it%20is%20divided,a%20bird%20glyph%20followed%20by" TargetMode="External" /><Relationship Type="http://schemas.openxmlformats.org/officeDocument/2006/relationships/hyperlink" Id="rId30" Target="file://file-73NS7DbrjTTD6Rrwzgh3in#:~:text=effectively%20%20%E2%80%9CA%2C%20son%20of,a%20new%20ancestor%20or%20king" TargetMode="External" /><Relationship Type="http://schemas.openxmlformats.org/officeDocument/2006/relationships/hyperlink" Id="rId61" Target="file://file-73NS7DbrjTTD6Rrwzgh3in#:~:text=for%20line%20,confidence%20in%20the%20reading" TargetMode="External" /><Relationship Type="http://schemas.openxmlformats.org/officeDocument/2006/relationships/hyperlink" Id="rId29" Target="file://file-73NS7DbrjTTD6Rrwzgh3in#:~:text=form,genealogical%20contexts%20is%20read%20as" TargetMode="External" /><Relationship Type="http://schemas.openxmlformats.org/officeDocument/2006/relationships/hyperlink" Id="rId77" Target="file://file-73NS7DbrjTTD6Rrwzgh3in#:~:text=form,meaning%20%E2%80%9Cnew%20item%20%E2%80%93%20an" TargetMode="External" /><Relationship Type="http://schemas.openxmlformats.org/officeDocument/2006/relationships/hyperlink" Id="rId59" Target="file://file-73NS7DbrjTTD6Rrwzgh3in#:~:text=function%20like%20punctuation%20or%20determinatives,evolve%20from%20pictograms%20to%20partially" TargetMode="External" /><Relationship Type="http://schemas.openxmlformats.org/officeDocument/2006/relationships/hyperlink" Id="rId43" Target="file://file-73NS7DbrjTTD6Rrwzgh3in#:~:text=glyph%20patterns%20and%20structural%20templates,like" TargetMode="External" /><Relationship Type="http://schemas.openxmlformats.org/officeDocument/2006/relationships/hyperlink" Id="rId66" Target="file://file-73NS7DbrjTTD6Rrwzgh3in#:~:text=helped%2520decode%2520bits%2520of%2520meaning%2CMamari%2520tablet%252C%2520which%2520matches%2520the%20https%3A%2F%2Flackadaisical" TargetMode="External" /><Relationship Type="http://schemas.openxmlformats.org/officeDocument/2006/relationships/hyperlink" Id="rId46" Target="file://file-73NS7DbrjTTD6Rrwzgh3in#:~:text=instance%2C%20a%20pattern%20of%20alternating,list%20marker%20denoting%20a%20new" TargetMode="External" /><Relationship Type="http://schemas.openxmlformats.org/officeDocument/2006/relationships/hyperlink" Id="rId35" Target="file://file-73NS7DbrjTTD6Rrwzgh3in#:~:text=match%20at%20L237%20For%20example%2C,marking%20%20waxing%20%20or" TargetMode="External" /><Relationship Type="http://schemas.openxmlformats.org/officeDocument/2006/relationships/hyperlink" Id="rId24" Target="file://file-73NS7DbrjTTD6Rrwzgh3in#:~:text=matching%20the%20glyphs,that%20doubles%20for%20%E2%80%9Cvictim%E2%80%9D%20in" TargetMode="External" /><Relationship Type="http://schemas.openxmlformats.org/officeDocument/2006/relationships/hyperlink" Id="rId63" Target="file://file-73NS7DbrjTTD6Rrwzgh3in#:~:text=mnemonic%20%20device%20%20for,for%20%20genealogy%2C%20%20lines" TargetMode="External" /><Relationship Type="http://schemas.openxmlformats.org/officeDocument/2006/relationships/hyperlink" Id="rId36" Target="file://file-73NS7DbrjTTD6Rrwzgh3in#:~:text=multiple%20birds%2C%20multiple%20people%2C%20etc,600%29%2C%20%20%E2%80%9Cflock%20of" TargetMode="External" /><Relationship Type="http://schemas.openxmlformats.org/officeDocument/2006/relationships/hyperlink" Id="rId58" Target="file://file-73NS7DbrjTTD6Rrwzgh3in#:~:text=mythical%20%20or%20%20historical,wood%20to%20aid%20memorization" TargetMode="External" /><Relationship Type="http://schemas.openxmlformats.org/officeDocument/2006/relationships/hyperlink" Id="rId40" Target="file://file-73NS7DbrjTTD6Rrwzgh3in#:~:text=oneone%20%E2%80%93%20sand%2Fground,human%20sacrifice%20in%20a%20war" TargetMode="External" /><Relationship Type="http://schemas.openxmlformats.org/officeDocument/2006/relationships/hyperlink" Id="rId44" Target="file://file-73NS7DbrjTTD6Rrwzgh3in#:~:text=passed%20%20down%20%20and,of%20chiefs%20associated%20with%20that" TargetMode="External" /><Relationship Type="http://schemas.openxmlformats.org/officeDocument/2006/relationships/hyperlink" Id="rId23" Target="file://file-73NS7DbrjTTD6Rrwzgh3in#:~:text=pictograms%20whose%20shape%20hints%20at,a%20large%20round%20head%20and" TargetMode="External" /><Relationship Type="http://schemas.openxmlformats.org/officeDocument/2006/relationships/hyperlink" Id="rId74" Target="file://file-73NS7DbrjTTD6Rrwzgh3in#:~:text=possibly%20%20ritual%20%20chants,different%20tablets%20for" TargetMode="External" /><Relationship Type="http://schemas.openxmlformats.org/officeDocument/2006/relationships/hyperlink" Id="rId52" Target="file://file-73NS7DbrjTTD6Rrwzgh3in#:~:text=producing%20the%20next%20elements%20of,record%2C%20as%20noted%20above%2C%20both" TargetMode="External" /><Relationship Type="http://schemas.openxmlformats.org/officeDocument/2006/relationships/hyperlink" Id="rId54" Target="file://file-73NS7DbrjTTD6Rrwzgh3in#:~:text=redundancy%20means%20Rongorongo%20texts%20are,phrase%20in%20the%20Grand%20Tradition" TargetMode="External" /><Relationship Type="http://schemas.openxmlformats.org/officeDocument/2006/relationships/hyperlink" Id="rId21" Target="file://file-73NS7DbrjTTD6Rrwzgh3in#:~:text=researchers%20%20report%20%20that,This%20%20unprecedented" TargetMode="External" /><Relationship Type="http://schemas.openxmlformats.org/officeDocument/2006/relationships/hyperlink" Id="rId69" Target="file://file-73NS7DbrjTTD6Rrwzgh3in#:~:text=semasiographic%20mnemonic%20,but%20some%20elements" TargetMode="External" /><Relationship Type="http://schemas.openxmlformats.org/officeDocument/2006/relationships/hyperlink" Id="rId50" Target="file://file-73NS7DbrjTTD6Rrwzgh3in#:~:text=tablet%20can%20be%20cross,Such" TargetMode="External" /><Relationship Type="http://schemas.openxmlformats.org/officeDocument/2006/relationships/hyperlink" Id="rId39" Target="file://file-73NS7DbrjTTD6Rrwzgh3in#:~:text=tentatively.%20High,glyph%E2%80%99s%20entry%20in%20the%20lexicon" TargetMode="External" /><Relationship Type="http://schemas.openxmlformats.org/officeDocument/2006/relationships/hyperlink" Id="rId71" Target="file://file-73NS7DbrjTTD6Rrwzgh3in#:~:text=that%20a%20proposed%20%E2%80%9Cplural%E2%80%9D%20marker,Though%20Rongorongo%20developed%20in%20isolation" TargetMode="External" /><Relationship Type="http://schemas.openxmlformats.org/officeDocument/2006/relationships/hyperlink" Id="rId27" Target="file://file-73NS7DbrjTTD6Rrwzgh3in#:~:text=unequivocally%20means%20%20%E2%80%9Cmoon%E2%80%9D%20or,Glyph%2076%20%28phallic" TargetMode="External" /><Relationship Type="http://schemas.openxmlformats.org/officeDocument/2006/relationships/hyperlink" Id="rId45" Target="file://file-73NS7DbrjTTD6Rrwzgh3in#:~:text=using%20a%20%20repetitive%20,3%2C%20a%20human%20figure" TargetMode="External" /><Relationship Type="http://schemas.openxmlformats.org/officeDocument/2006/relationships/hyperlink" Id="rId32" Target="file://file-73NS7DbrjTTD6Rrwzgh3in#:~:text=with%20confidence%3A%20a%20lunar%20calendar,hints%20%20of%20%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2025-12-20T22:24:51Z</dcterms:created>
  <dcterms:modified xsi:type="dcterms:W3CDTF">2025-12-20T22:24:51Z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