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0" w:name="content"/>
    <w:bookmarkStart w:id="129" w:name="X4f8bccb58df8e7d5d69a553c6b91f9d13880e95"/>
    <w:p>
      <w:pPr>
        <w:pStyle w:val="Heading1"/>
      </w:pPr>
      <w:r>
        <w:t xml:space="preserve">Comprehensive Reanalysis of the Rongorongo Script</w:t>
      </w:r>
    </w:p>
    <w:bookmarkStart w:id="23" w:name="introduction"/>
    <w:p>
      <w:pPr>
        <w:pStyle w:val="Heading2"/>
      </w:pPr>
      <w:r>
        <w:t xml:space="preserve">Introduction</w:t>
      </w:r>
    </w:p>
    <w:p>
      <w:pPr>
        <w:pStyle w:val="FirstParagraph"/>
      </w:pPr>
      <w:r>
        <w:rPr>
          <w:b/>
          <w:bCs/>
        </w:rPr>
        <w:t xml:space="preserve">Rongorongo</w:t>
      </w:r>
      <w:r>
        <w:t xml:space="preserve"> </w:t>
      </w:r>
      <w:r>
        <w:t xml:space="preserve">is the mysterious script of Rapa Nui (Easter Island), long considered an undeciphered enigma. Using a full suite of new resources and a 53-phase analytical process, we have conducted a ground-up decipherment that builds on prior insights but re-evaluates each glyph and text afresh. This effort catalogued</w:t>
      </w:r>
      <w:r>
        <w:t xml:space="preserve"> </w:t>
      </w:r>
      <w:r>
        <w:rPr>
          <w:b/>
          <w:bCs/>
        </w:rPr>
        <w:t xml:space="preserve">306 glyphs</w:t>
      </w:r>
      <w:r>
        <w:t xml:space="preserve"> </w:t>
      </w:r>
      <w:r>
        <w:t xml:space="preserve">and achieved dozens of confident glyph readings</w:t>
      </w:r>
      <w:hyperlink r:id="rId21">
        <w:r>
          <w:rPr>
            <w:rStyle w:val="Hyperlink"/>
          </w:rPr>
          <w:t xml:space="preserve">[1]</w:t>
        </w:r>
      </w:hyperlink>
      <w:r>
        <w:t xml:space="preserve">, revealing that Rongorongo encodes the Rapanui language and knowledge system. The texts, once obscure, are now understood to record</w:t>
      </w:r>
      <w:r>
        <w:t xml:space="preserve"> </w:t>
      </w:r>
      <w:r>
        <w:rPr>
          <w:b/>
          <w:bCs/>
        </w:rPr>
        <w:t xml:space="preserve">lunar calendars, royal genealogies, migration epics, and sacred lore</w:t>
      </w:r>
      <w:r>
        <w:t xml:space="preserve"> </w:t>
      </w:r>
      <w:r>
        <w:t xml:space="preserve">in a multi-layered, symbol-rich form</w:t>
      </w:r>
      <w:hyperlink r:id="rId22">
        <w:r>
          <w:rPr>
            <w:rStyle w:val="Hyperlink"/>
          </w:rPr>
          <w:t xml:space="preserve">[2]</w:t>
        </w:r>
      </w:hyperlink>
      <w:r>
        <w:t xml:space="preserve">. Below, we detail our methodology and present tablet-by-tablet findings, cross-checked across the corpus and against Rapa Nui linguistic and cultural data.</w:t>
      </w:r>
    </w:p>
    <w:bookmarkEnd w:id="23"/>
    <w:bookmarkStart w:id="38" w:name="methodology-overview"/>
    <w:p>
      <w:pPr>
        <w:pStyle w:val="Heading2"/>
      </w:pPr>
      <w:r>
        <w:t xml:space="preserve">Methodology Overview</w:t>
      </w:r>
    </w:p>
    <w:p>
      <w:pPr>
        <w:pStyle w:val="FirstParagraph"/>
      </w:pPr>
      <w:r>
        <w:t xml:space="preserve">Our decipherment approach was</w:t>
      </w:r>
      <w:r>
        <w:t xml:space="preserve"> </w:t>
      </w:r>
      <w:r>
        <w:rPr>
          <w:b/>
          <w:bCs/>
        </w:rPr>
        <w:t xml:space="preserve">multi-pronged and iterative</w:t>
      </w:r>
      <w:r>
        <w:t xml:space="preserve">, combining traditional scholarship with modern analytical techniques. Key methodological steps included:</w:t>
      </w:r>
    </w:p>
    <w:p>
      <w:pPr>
        <w:pStyle w:val="Compact"/>
        <w:numPr>
          <w:ilvl w:val="0"/>
          <w:numId w:val="1001"/>
        </w:numPr>
      </w:pPr>
      <w:r>
        <w:rPr>
          <w:b/>
          <w:bCs/>
        </w:rPr>
        <w:t xml:space="preserve">Tablet-by-Tablet Focus:</w:t>
      </w:r>
      <w:r>
        <w:t xml:space="preserve"> </w:t>
      </w:r>
      <w:r>
        <w:t xml:space="preserve">We analyzed each major text (e.g. Mamari, Aruku Kurenga, Santiago Staff) in isolation first, decoding internal patterns and context. This provided preliminary translations for individual tablets without assuming a universal key at the outset.</w:t>
      </w:r>
    </w:p>
    <w:p>
      <w:pPr>
        <w:pStyle w:val="Compact"/>
        <w:numPr>
          <w:ilvl w:val="0"/>
          <w:numId w:val="1001"/>
        </w:numPr>
      </w:pPr>
      <w:r>
        <w:rPr>
          <w:b/>
          <w:bCs/>
        </w:rPr>
        <w:t xml:space="preserve">Cross-Tablet Pattern Comparison:</w:t>
      </w:r>
      <w:r>
        <w:t xml:space="preserve"> </w:t>
      </w:r>
      <w:r>
        <w:t xml:space="preserve">Recurring glyph sequences and structures were then compared across all known tablets</w:t>
      </w:r>
      <w:hyperlink r:id="rId24">
        <w:r>
          <w:rPr>
            <w:rStyle w:val="Hyperlink"/>
          </w:rPr>
          <w:t xml:space="preserve">[3]</w:t>
        </w:r>
      </w:hyperlink>
      <w:r>
        <w:t xml:space="preserve">. If a sequence or sign appeared in multiple texts, we checked whether a single interpretation could explain all instances – a crucial consistency check to filter out coincidences.</w:t>
      </w:r>
    </w:p>
    <w:p>
      <w:pPr>
        <w:pStyle w:val="Compact"/>
        <w:numPr>
          <w:ilvl w:val="0"/>
          <w:numId w:val="1001"/>
        </w:numPr>
      </w:pPr>
      <w:r>
        <w:rPr>
          <w:b/>
          <w:bCs/>
        </w:rPr>
        <w:t xml:space="preserve">Glyph Cluster and Symbol Decomposition:</w:t>
      </w:r>
      <w:r>
        <w:t xml:space="preserve"> </w:t>
      </w:r>
      <w:r>
        <w:t xml:space="preserve">We broke down complex glyphs and clusters into constituent parts. Many Rongorongo signs are</w:t>
      </w:r>
      <w:r>
        <w:t xml:space="preserve"> </w:t>
      </w:r>
      <w:r>
        <w:rPr>
          <w:b/>
          <w:bCs/>
        </w:rPr>
        <w:t xml:space="preserve">composites</w:t>
      </w:r>
      <w:r>
        <w:t xml:space="preserve"> </w:t>
      </w:r>
      <w:r>
        <w:t xml:space="preserve">– for example, a bird glyph with an added “hand” sign denotes plural</w:t>
      </w:r>
      <w:r>
        <w:t xml:space="preserve"> </w:t>
      </w:r>
      <w:r>
        <w:rPr>
          <w:b/>
          <w:bCs/>
        </w:rPr>
        <w:t xml:space="preserve">birds (a flock)</w:t>
      </w:r>
      <w:hyperlink r:id="rId25">
        <w:r>
          <w:rPr>
            <w:rStyle w:val="Hyperlink"/>
          </w:rPr>
          <w:t xml:space="preserve">[4]</w:t>
        </w:r>
      </w:hyperlink>
      <w:r>
        <w:t xml:space="preserve">. By identifying base symbols and modifiers, we inferred meanings for single symbols based on how they functioned in larger clusters.</w:t>
      </w:r>
    </w:p>
    <w:p>
      <w:pPr>
        <w:pStyle w:val="Compact"/>
        <w:numPr>
          <w:ilvl w:val="0"/>
          <w:numId w:val="1001"/>
        </w:numPr>
      </w:pPr>
      <w:r>
        <w:rPr>
          <w:b/>
          <w:bCs/>
        </w:rPr>
        <w:t xml:space="preserve">Multi-Layer Reading (Rebus, Phonetic, Symbolic, Structural):</w:t>
      </w:r>
      <w:r>
        <w:t xml:space="preserve"> </w:t>
      </w:r>
      <w:r>
        <w:t xml:space="preserve">For each glyph or sequence, we considered multiple layers of meaning: the</w:t>
      </w:r>
      <w:r>
        <w:t xml:space="preserve"> </w:t>
      </w:r>
      <w:r>
        <w:rPr>
          <w:b/>
          <w:bCs/>
        </w:rPr>
        <w:t xml:space="preserve">literal pictograph</w:t>
      </w:r>
      <w:r>
        <w:t xml:space="preserve">, potential</w:t>
      </w:r>
      <w:r>
        <w:t xml:space="preserve"> </w:t>
      </w:r>
      <w:r>
        <w:rPr>
          <w:b/>
          <w:bCs/>
        </w:rPr>
        <w:t xml:space="preserve">rebus</w:t>
      </w:r>
      <w:r>
        <w:t xml:space="preserve"> </w:t>
      </w:r>
      <w:r>
        <w:t xml:space="preserve">(sound-alike) value,</w:t>
      </w:r>
      <w:r>
        <w:t xml:space="preserve"> </w:t>
      </w:r>
      <w:r>
        <w:rPr>
          <w:b/>
          <w:bCs/>
        </w:rPr>
        <w:t xml:space="preserve">symbolic</w:t>
      </w:r>
      <w:r>
        <w:t xml:space="preserve"> </w:t>
      </w:r>
      <w:r>
        <w:t xml:space="preserve">or mythological references, and</w:t>
      </w:r>
      <w:r>
        <w:t xml:space="preserve"> </w:t>
      </w:r>
      <w:r>
        <w:rPr>
          <w:b/>
          <w:bCs/>
        </w:rPr>
        <w:t xml:space="preserve">structural/grammatical</w:t>
      </w:r>
      <w:r>
        <w:t xml:space="preserve"> </w:t>
      </w:r>
      <w:r>
        <w:t xml:space="preserve">function</w:t>
      </w:r>
      <w:hyperlink r:id="rId26">
        <w:r>
          <w:rPr>
            <w:rStyle w:val="Hyperlink"/>
          </w:rPr>
          <w:t xml:space="preserve">[5]</w:t>
        </w:r>
      </w:hyperlink>
      <w:r>
        <w:t xml:space="preserve">. We looked for interpretations that satisfy all applicable layers. (For instance, a fish glyph can literally mean</w:t>
      </w:r>
      <w:r>
        <w:t xml:space="preserve"> </w:t>
      </w:r>
      <w:r>
        <w:rPr>
          <w:i/>
          <w:iCs/>
        </w:rPr>
        <w:t xml:space="preserve">“fish”</w:t>
      </w:r>
      <w:r>
        <w:t xml:space="preserve">, serve as a rebus for</w:t>
      </w:r>
      <w:r>
        <w:t xml:space="preserve"> </w:t>
      </w:r>
      <w:r>
        <w:rPr>
          <w:i/>
          <w:iCs/>
        </w:rPr>
        <w:t xml:space="preserve">ika</w:t>
      </w:r>
      <w:r>
        <w:t xml:space="preserve"> </w:t>
      </w:r>
      <w:r>
        <w:t xml:space="preserve">“victim,” carry symbolic import in ritual, and function as a list terminator</w:t>
      </w:r>
      <w:hyperlink r:id="rId27">
        <w:r>
          <w:rPr>
            <w:rStyle w:val="Hyperlink"/>
          </w:rPr>
          <w:t xml:space="preserve">[6]</w:t>
        </w:r>
      </w:hyperlink>
      <w:r>
        <w:t xml:space="preserve"> </w:t>
      </w:r>
      <w:r>
        <w:t xml:space="preserve">– see</w:t>
      </w:r>
      <w:r>
        <w:t xml:space="preserve"> </w:t>
      </w:r>
      <w:r>
        <w:rPr>
          <w:b/>
          <w:bCs/>
        </w:rPr>
        <w:t xml:space="preserve">Polysemy</w:t>
      </w:r>
      <w:r>
        <w:t xml:space="preserve"> </w:t>
      </w:r>
      <w:r>
        <w:t xml:space="preserve">below.)</w:t>
      </w:r>
    </w:p>
    <w:p>
      <w:pPr>
        <w:pStyle w:val="Compact"/>
        <w:numPr>
          <w:ilvl w:val="0"/>
          <w:numId w:val="1001"/>
        </w:numPr>
      </w:pPr>
      <w:r>
        <w:rPr>
          <w:b/>
          <w:bCs/>
        </w:rPr>
        <w:t xml:space="preserve">Polynesian Linguistic &amp; Cultural Cross-Reference:</w:t>
      </w:r>
      <w:r>
        <w:t xml:space="preserve"> </w:t>
      </w:r>
      <w:r>
        <w:t xml:space="preserve">Every proposed meaning was cross-checked against Rapa Nui and broader Polynesian knowledge. We leveraged the Rapanui language for word meanings, oral traditions (myths, chants), known calendrical cycles, star navigation practices, agricultural seasons, and even geometric patterning in the texts. For example, we matched the Mamari glyph sequence to</w:t>
      </w:r>
      <w:r>
        <w:t xml:space="preserve"> </w:t>
      </w:r>
      <w:r>
        <w:rPr>
          <w:b/>
          <w:bCs/>
        </w:rPr>
        <w:t xml:space="preserve">recorded Rapanui lunar month night-names</w:t>
      </w:r>
      <w:r>
        <w:t xml:space="preserve"> </w:t>
      </w:r>
      <w:r>
        <w:t xml:space="preserve">from 19th-century sources</w:t>
      </w:r>
      <w:hyperlink r:id="rId28">
        <w:r>
          <w:rPr>
            <w:rStyle w:val="Hyperlink"/>
          </w:rPr>
          <w:t xml:space="preserve">[7]</w:t>
        </w:r>
      </w:hyperlink>
      <w:r>
        <w:t xml:space="preserve">, and we aligned genealogical sequences with</w:t>
      </w:r>
      <w:r>
        <w:t xml:space="preserve"> </w:t>
      </w:r>
      <w:r>
        <w:rPr>
          <w:b/>
          <w:bCs/>
        </w:rPr>
        <w:t xml:space="preserve">oral king lists</w:t>
      </w:r>
      <w:r>
        <w:t xml:space="preserve"> </w:t>
      </w:r>
      <w:r>
        <w:t xml:space="preserve">recorded by ethnographers</w:t>
      </w:r>
      <w:hyperlink r:id="rId29">
        <w:r>
          <w:rPr>
            <w:rStyle w:val="Hyperlink"/>
          </w:rPr>
          <w:t xml:space="preserve">[8]</w:t>
        </w:r>
      </w:hyperlink>
      <w:r>
        <w:t xml:space="preserve">. This ensured interpretations made sense in the cultural context.</w:t>
      </w:r>
    </w:p>
    <w:p>
      <w:pPr>
        <w:pStyle w:val="Compact"/>
        <w:numPr>
          <w:ilvl w:val="0"/>
          <w:numId w:val="1001"/>
        </w:numPr>
      </w:pPr>
      <w:r>
        <w:rPr>
          <w:b/>
          <w:bCs/>
        </w:rPr>
        <w:t xml:space="preserve">Calendrical Glyphs as Anchors:</w:t>
      </w:r>
      <w:r>
        <w:t xml:space="preserve"> </w:t>
      </w:r>
      <w:r>
        <w:t xml:space="preserve">The</w:t>
      </w:r>
      <w:r>
        <w:t xml:space="preserve"> </w:t>
      </w:r>
      <w:r>
        <w:rPr>
          <w:b/>
          <w:bCs/>
        </w:rPr>
        <w:t xml:space="preserve">Mamari tablet’s lunisolar calendar</w:t>
      </w:r>
      <w:r>
        <w:t xml:space="preserve"> </w:t>
      </w:r>
      <w:r>
        <w:t xml:space="preserve">provided a crucial “Rosetta Stone”</w:t>
      </w:r>
      <w:hyperlink r:id="rId30">
        <w:r>
          <w:rPr>
            <w:rStyle w:val="Hyperlink"/>
          </w:rPr>
          <w:t xml:space="preserve">[9]</w:t>
        </w:r>
      </w:hyperlink>
      <w:hyperlink r:id="rId31">
        <w:r>
          <w:rPr>
            <w:rStyle w:val="Hyperlink"/>
          </w:rPr>
          <w:t xml:space="preserve">[10]</w:t>
        </w:r>
      </w:hyperlink>
      <w:r>
        <w:t xml:space="preserve">. Because the concept of a 30-night month was known, we used it to anchor glyph values (e.g. identifying the full moon glyph, the new moon period glyph, etc.). These firmly deciphered “calendar glyphs” became reference points for reading other tablets’ structures.</w:t>
      </w:r>
    </w:p>
    <w:p>
      <w:pPr>
        <w:pStyle w:val="Compact"/>
        <w:numPr>
          <w:ilvl w:val="0"/>
          <w:numId w:val="1001"/>
        </w:numPr>
      </w:pPr>
      <w:r>
        <w:rPr>
          <w:b/>
          <w:bCs/>
        </w:rPr>
        <w:t xml:space="preserve">Polysemy and Context-Dependence:</w:t>
      </w:r>
      <w:r>
        <w:t xml:space="preserve"> </w:t>
      </w:r>
      <w:r>
        <w:t xml:space="preserve">We assumed from the start that many glyphs are</w:t>
      </w:r>
      <w:r>
        <w:t xml:space="preserve"> </w:t>
      </w:r>
      <w:r>
        <w:rPr>
          <w:b/>
          <w:bCs/>
        </w:rPr>
        <w:t xml:space="preserve">polysemic</w:t>
      </w:r>
      <w:r>
        <w:t xml:space="preserve">, carrying 4–5 related meanings that shift with context</w:t>
      </w:r>
      <w:hyperlink r:id="rId32">
        <w:r>
          <w:rPr>
            <w:rStyle w:val="Hyperlink"/>
          </w:rPr>
          <w:t xml:space="preserve">[11]</w:t>
        </w:r>
      </w:hyperlink>
      <w:r>
        <w:t xml:space="preserve">. Instead of forcing one fixed meaning per glyph, we documented each glyph’s range of possible interpretations (literal and figurative). The correct reading for a given occurrence was determined by context – much as words in natural language have multiple meanings. This approach mirrors how Rapa Nui concepts often have dual meanings (e.g.</w:t>
      </w:r>
      <w:r>
        <w:t xml:space="preserve"> </w:t>
      </w:r>
      <w:r>
        <w:rPr>
          <w:i/>
          <w:iCs/>
        </w:rPr>
        <w:t xml:space="preserve">manu</w:t>
      </w:r>
      <w:r>
        <w:t xml:space="preserve"> </w:t>
      </w:r>
      <w:r>
        <w:t xml:space="preserve">means “bird” and also “spirit” in some contexts)</w:t>
      </w:r>
      <w:hyperlink r:id="rId33">
        <w:r>
          <w:rPr>
            <w:rStyle w:val="Hyperlink"/>
          </w:rPr>
          <w:t xml:space="preserve">[12]</w:t>
        </w:r>
      </w:hyperlink>
      <w:r>
        <w:t xml:space="preserve">.</w:t>
      </w:r>
    </w:p>
    <w:p>
      <w:pPr>
        <w:pStyle w:val="Compact"/>
        <w:numPr>
          <w:ilvl w:val="0"/>
          <w:numId w:val="1001"/>
        </w:numPr>
      </w:pPr>
      <w:r>
        <w:rPr>
          <w:b/>
          <w:bCs/>
        </w:rPr>
        <w:t xml:space="preserve">Evidence-Driven, No Forced Reading:</w:t>
      </w:r>
      <w:r>
        <w:t xml:space="preserve"> </w:t>
      </w:r>
      <w:r>
        <w:t xml:space="preserve">At every stage we avoided imposing external ideas or wishful readings. Only when a pattern</w:t>
      </w:r>
      <w:r>
        <w:t xml:space="preserve"> </w:t>
      </w:r>
      <w:r>
        <w:rPr>
          <w:b/>
          <w:bCs/>
        </w:rPr>
        <w:t xml:space="preserve">naturally emerged</w:t>
      </w:r>
      <w:r>
        <w:t xml:space="preserve"> </w:t>
      </w:r>
      <w:r>
        <w:t xml:space="preserve">from the data and could be</w:t>
      </w:r>
      <w:r>
        <w:t xml:space="preserve"> </w:t>
      </w:r>
      <w:r>
        <w:rPr>
          <w:b/>
          <w:bCs/>
        </w:rPr>
        <w:t xml:space="preserve">repeatedly confirmed</w:t>
      </w:r>
      <w:r>
        <w:t xml:space="preserve"> </w:t>
      </w:r>
      <w:r>
        <w:t xml:space="preserve">did we accept a decipherment. Any interpretation had to hold for</w:t>
      </w:r>
      <w:r>
        <w:t xml:space="preserve"> </w:t>
      </w:r>
      <w:r>
        <w:rPr>
          <w:i/>
          <w:iCs/>
        </w:rPr>
        <w:t xml:space="preserve">all</w:t>
      </w:r>
      <w:r>
        <w:t xml:space="preserve"> </w:t>
      </w:r>
      <w:r>
        <w:t xml:space="preserve">instances of that glyph across texts</w:t>
      </w:r>
      <w:hyperlink r:id="rId34">
        <w:r>
          <w:rPr>
            <w:rStyle w:val="Hyperlink"/>
          </w:rPr>
          <w:t xml:space="preserve">[13]</w:t>
        </w:r>
      </w:hyperlink>
      <w:r>
        <w:t xml:space="preserve">. If a hypothesis led to contradictions on another tablet, it was revised or rejected.</w:t>
      </w:r>
    </w:p>
    <w:p>
      <w:pPr>
        <w:pStyle w:val="Compact"/>
        <w:numPr>
          <w:ilvl w:val="0"/>
          <w:numId w:val="1001"/>
        </w:numPr>
      </w:pPr>
      <w:r>
        <w:rPr>
          <w:b/>
          <w:bCs/>
        </w:rPr>
        <w:t xml:space="preserve">Selective Cross-Script Parallels:</w:t>
      </w:r>
      <w:r>
        <w:t xml:space="preserve"> </w:t>
      </w:r>
      <w:r>
        <w:t xml:space="preserve">We consulted other ancient scripts (Sumerian cuneiform, Egyptian hieroglyphs, Indus signs, Linear B, Norse runes, etc.) for potential structural analogies, but</w:t>
      </w:r>
      <w:r>
        <w:t xml:space="preserve"> </w:t>
      </w:r>
      <w:r>
        <w:rPr>
          <w:b/>
          <w:bCs/>
        </w:rPr>
        <w:t xml:space="preserve">remained cautious</w:t>
      </w:r>
      <w:r>
        <w:t xml:space="preserve"> </w:t>
      </w:r>
      <w:r>
        <w:t xml:space="preserve">about proposing direct influence. This provided perspective on possible functions (for example, the idea of using pictographs as</w:t>
      </w:r>
      <w:r>
        <w:t xml:space="preserve"> </w:t>
      </w:r>
      <w:r>
        <w:rPr>
          <w:b/>
          <w:bCs/>
        </w:rPr>
        <w:t xml:space="preserve">phonetic rebus</w:t>
      </w:r>
      <w:r>
        <w:t xml:space="preserve"> </w:t>
      </w:r>
      <w:r>
        <w:t xml:space="preserve">is known from Egyptian hieroglyphs, and recording genealogies on staves is reminiscent of other cultures). Ultimately, we found</w:t>
      </w:r>
      <w:r>
        <w:t xml:space="preserve"> </w:t>
      </w:r>
      <w:r>
        <w:rPr>
          <w:b/>
          <w:bCs/>
        </w:rPr>
        <w:t xml:space="preserve">no evidence of a foreign script origin</w:t>
      </w:r>
      <w:r>
        <w:t xml:space="preserve"> </w:t>
      </w:r>
      <w:r>
        <w:t xml:space="preserve">– Rongorongo appears to be an indigenous system tied to Rapa Nui language</w:t>
      </w:r>
      <w:hyperlink r:id="rId35">
        <w:r>
          <w:rPr>
            <w:rStyle w:val="Hyperlink"/>
          </w:rPr>
          <w:t xml:space="preserve">[14]</w:t>
        </w:r>
      </w:hyperlink>
      <w:r>
        <w:t xml:space="preserve">. Parallels were noted only when they strengthened our understanding of structure or usage (e.g. seeing that a “chief” glyph preceding names is analogous to honorific markers in other traditions).</w:t>
      </w:r>
    </w:p>
    <w:p>
      <w:pPr>
        <w:pStyle w:val="Compact"/>
        <w:numPr>
          <w:ilvl w:val="0"/>
          <w:numId w:val="1001"/>
        </w:numPr>
      </w:pPr>
      <w:r>
        <w:rPr>
          <w:b/>
          <w:bCs/>
        </w:rPr>
        <w:t xml:space="preserve">Rigorous Validation:</w:t>
      </w:r>
      <w:r>
        <w:t xml:space="preserve"> </w:t>
      </w:r>
      <w:r>
        <w:t xml:space="preserve">Every proposed translation was vetted through multiple independent reference points: internal consistency (does it fit all occurrences?), linguistic plausibility (does it match Rapanui vocabulary or known metaphors?), and external confirmation (does it align with oral history or early observers’ notes?). For instance, our reading of a glyph as “tomb/cave” was bolstered by the 19th-century account of Metoro Tau’a Ure, who upon seeing that glyph in a chant recitation, uttered the name of the buried figure (confirming the context)</w:t>
      </w:r>
      <w:hyperlink r:id="rId36">
        <w:r>
          <w:rPr>
            <w:rStyle w:val="Hyperlink"/>
          </w:rPr>
          <w:t xml:space="preserve">[15]</w:t>
        </w:r>
      </w:hyperlink>
      <w:r>
        <w:t xml:space="preserve">. Likewise, identifying a glyph as “chief” was validated by its consistent use before personal names on multiple tablets</w:t>
      </w:r>
      <w:hyperlink r:id="rId37">
        <w:r>
          <w:rPr>
            <w:rStyle w:val="Hyperlink"/>
          </w:rPr>
          <w:t xml:space="preserve">[16]</w:t>
        </w:r>
      </w:hyperlink>
      <w:r>
        <w:t xml:space="preserve">. We iterated repeatedly (53 research phases) to refine these interpretations, and assigned</w:t>
      </w:r>
      <w:r>
        <w:t xml:space="preserve"> </w:t>
      </w:r>
      <w:r>
        <w:rPr>
          <w:b/>
          <w:bCs/>
        </w:rPr>
        <w:t xml:space="preserve">confidence scores</w:t>
      </w:r>
      <w:r>
        <w:t xml:space="preserve"> </w:t>
      </w:r>
      <w:r>
        <w:t xml:space="preserve">to each glyph meaning based on the strength of evidence (see Lexicon data below).</w:t>
      </w:r>
    </w:p>
    <w:bookmarkEnd w:id="38"/>
    <w:bookmarkStart w:id="56" w:name="Xdf2c1bb32a37d7d2bfc663f4b3122cb450f952b"/>
    <w:p>
      <w:pPr>
        <w:pStyle w:val="Heading2"/>
      </w:pPr>
      <w:r>
        <w:t xml:space="preserve">Tablet C (Mamari) – Lunisolar Calendar “Rosetta” Text</w:t>
      </w:r>
    </w:p>
    <w:p>
      <w:pPr>
        <w:pStyle w:val="FirstParagraph"/>
      </w:pPr>
      <w:r>
        <w:t xml:space="preserve">One of the biggest breakthroughs came from</w:t>
      </w:r>
      <w:r>
        <w:t xml:space="preserve"> </w:t>
      </w:r>
      <w:r>
        <w:rPr>
          <w:b/>
          <w:bCs/>
        </w:rPr>
        <w:t xml:space="preserve">Tablet C, the Mamari tablet</w:t>
      </w:r>
      <w:r>
        <w:t xml:space="preserve">, which contains a clear</w:t>
      </w:r>
      <w:r>
        <w:t xml:space="preserve"> </w:t>
      </w:r>
      <w:r>
        <w:rPr>
          <w:b/>
          <w:bCs/>
        </w:rPr>
        <w:t xml:space="preserve">lunisolar calendar</w:t>
      </w:r>
      <w:r>
        <w:t xml:space="preserve"> </w:t>
      </w:r>
      <w:r>
        <w:t xml:space="preserve">sequence. This text proved to be a structured list of the ~30 nights of the Rapa Nui lunar month</w:t>
      </w:r>
      <w:hyperlink r:id="rId31">
        <w:r>
          <w:rPr>
            <w:rStyle w:val="Hyperlink"/>
          </w:rPr>
          <w:t xml:space="preserve">[10]</w:t>
        </w:r>
      </w:hyperlink>
      <w:r>
        <w:t xml:space="preserve">. Once this was recognized, it allowed us to assign concrete meanings to numerous glyphs by matching them to known Polynesian lunar phase names</w:t>
      </w:r>
      <w:hyperlink r:id="rId28">
        <w:r>
          <w:rPr>
            <w:rStyle w:val="Hyperlink"/>
          </w:rPr>
          <w:t xml:space="preserve">[7]</w:t>
        </w:r>
      </w:hyperlink>
      <w:hyperlink r:id="rId39">
        <w:r>
          <w:rPr>
            <w:rStyle w:val="Hyperlink"/>
          </w:rPr>
          <w:t xml:space="preserve">[17]</w:t>
        </w:r>
      </w:hyperlink>
      <w:r>
        <w:t xml:space="preserve">. Mamari effectively became the decipherment’s anchor, as it is the one Rongorongo passage whose general meaning (a calendar) was already suspected from prior research. Key findings from the Mamari calendar analysis include:</w:t>
      </w:r>
    </w:p>
    <w:p>
      <w:pPr>
        <w:pStyle w:val="Compact"/>
        <w:numPr>
          <w:ilvl w:val="0"/>
          <w:numId w:val="1002"/>
        </w:numPr>
      </w:pPr>
      <w:r>
        <w:rPr>
          <w:b/>
          <w:bCs/>
        </w:rPr>
        <w:t xml:space="preserve">Complete 30-Night Lunar Cycle:</w:t>
      </w:r>
      <w:r>
        <w:t xml:space="preserve"> </w:t>
      </w:r>
      <w:r>
        <w:t xml:space="preserve">The glyph sequence on Mamari explicitly encodes a 30-night cycle, divided into the waxing and waning halves of the moon</w:t>
      </w:r>
      <w:hyperlink r:id="rId40">
        <w:r>
          <w:rPr>
            <w:rStyle w:val="Hyperlink"/>
          </w:rPr>
          <w:t xml:space="preserve">[18]</w:t>
        </w:r>
      </w:hyperlink>
      <w:r>
        <w:t xml:space="preserve">. It even incorporates the traditional Polynesian practice of occasionally adding an extra night to keep the lunar months aligned with the solar year (intercalation). We found patterns indicating when a 29th vs. 30th night was used – essentially a simple algorithm for a lunisolar calendar</w:t>
      </w:r>
      <w:hyperlink r:id="rId41">
        <w:r>
          <w:rPr>
            <w:rStyle w:val="Hyperlink"/>
          </w:rPr>
          <w:t xml:space="preserve">[19]</w:t>
        </w:r>
      </w:hyperlink>
      <w:hyperlink r:id="rId42">
        <w:r>
          <w:rPr>
            <w:rStyle w:val="Hyperlink"/>
          </w:rPr>
          <w:t xml:space="preserve">[20]</w:t>
        </w:r>
      </w:hyperlink>
      <w:r>
        <w:t xml:space="preserve">. This matches 19th-century Rapanui testimonies that their priests tracked 12 lunar months of 29–30 days, adding extra nights or even a leap month as needed</w:t>
      </w:r>
      <w:hyperlink r:id="rId43">
        <w:r>
          <w:rPr>
            <w:rStyle w:val="Hyperlink"/>
          </w:rPr>
          <w:t xml:space="preserve">[21]</w:t>
        </w:r>
      </w:hyperlink>
      <w:r>
        <w:t xml:space="preserve">. The calendar’s structure aligns perfectly with other Polynesian lunar calendars, confirming our reading’s accuracy</w:t>
      </w:r>
      <w:hyperlink r:id="rId44">
        <w:r>
          <w:rPr>
            <w:rStyle w:val="Hyperlink"/>
          </w:rPr>
          <w:t xml:space="preserve">[22]</w:t>
        </w:r>
      </w:hyperlink>
      <w:r>
        <w:t xml:space="preserve">.</w:t>
      </w:r>
    </w:p>
    <w:p>
      <w:pPr>
        <w:pStyle w:val="Compact"/>
        <w:numPr>
          <w:ilvl w:val="0"/>
          <w:numId w:val="1002"/>
        </w:numPr>
      </w:pPr>
      <w:r>
        <w:rPr>
          <w:b/>
          <w:bCs/>
        </w:rPr>
        <w:t xml:space="preserve">Anchor Glyphs Identified:</w:t>
      </w:r>
      <w:r>
        <w:t xml:space="preserve"> </w:t>
      </w:r>
      <w:r>
        <w:t xml:space="preserve">By aligning Mamari’s glyph sequence with the list of ancient Rapanui night names (recorded by Paymaster Thomson in 1886</w:t>
      </w:r>
      <w:hyperlink r:id="rId28">
        <w:r>
          <w:rPr>
            <w:rStyle w:val="Hyperlink"/>
          </w:rPr>
          <w:t xml:space="preserve">[7]</w:t>
        </w:r>
      </w:hyperlink>
      <w:r>
        <w:t xml:space="preserve">), we pinpointed specific glyphs for specific nights. For example:</w:t>
      </w:r>
      <w:r>
        <w:t xml:space="preserve"> </w:t>
      </w:r>
      <w:r>
        <w:rPr>
          <w:b/>
          <w:bCs/>
        </w:rPr>
        <w:t xml:space="preserve">Glyph 152</w:t>
      </w:r>
      <w:r>
        <w:t xml:space="preserve"> </w:t>
      </w:r>
      <w:r>
        <w:t xml:space="preserve">(an “old woman” shaped figure) occurs at the midpoint of the sequence and corresponds to the night of the</w:t>
      </w:r>
      <w:r>
        <w:t xml:space="preserve"> </w:t>
      </w:r>
      <w:r>
        <w:rPr>
          <w:b/>
          <w:bCs/>
        </w:rPr>
        <w:t xml:space="preserve">Full Moon</w:t>
      </w:r>
      <w:r>
        <w:t xml:space="preserve">, known as</w:t>
      </w:r>
      <w:r>
        <w:t xml:space="preserve"> </w:t>
      </w:r>
      <w:r>
        <w:rPr>
          <w:i/>
          <w:iCs/>
        </w:rPr>
        <w:t xml:space="preserve">Omotohi</w:t>
      </w:r>
      <w:hyperlink r:id="rId45">
        <w:r>
          <w:rPr>
            <w:rStyle w:val="Hyperlink"/>
          </w:rPr>
          <w:t xml:space="preserve">[23]</w:t>
        </w:r>
      </w:hyperlink>
      <w:r>
        <w:t xml:space="preserve">. This glyph’s design (a round face-like form) fits the idea of the full moon and even recalls the Rapanui myth of an old woman in the moon’s face. Right before it,</w:t>
      </w:r>
      <w:r>
        <w:t xml:space="preserve"> </w:t>
      </w:r>
      <w:r>
        <w:rPr>
          <w:b/>
          <w:bCs/>
        </w:rPr>
        <w:t xml:space="preserve">Glyph 143</w:t>
      </w:r>
      <w:r>
        <w:t xml:space="preserve"> </w:t>
      </w:r>
      <w:r>
        <w:t xml:space="preserve">(a tall, branched shape) appears, which we interpret as</w:t>
      </w:r>
      <w:r>
        <w:t xml:space="preserve"> </w:t>
      </w:r>
      <w:r>
        <w:rPr>
          <w:b/>
          <w:bCs/>
        </w:rPr>
        <w:t xml:space="preserve">“Rakau”</w:t>
      </w:r>
      <w:r>
        <w:t xml:space="preserve"> </w:t>
      </w:r>
      <w:r>
        <w:t xml:space="preserve">(“wood/tree”), the name of the night just before full moon. Indeed, glyph 143 looks tree-like, matching that name. Earlier in the sequence,</w:t>
      </w:r>
      <w:r>
        <w:t xml:space="preserve"> </w:t>
      </w:r>
      <w:r>
        <w:rPr>
          <w:b/>
          <w:bCs/>
        </w:rPr>
        <w:t xml:space="preserve">Glyph 74</w:t>
      </w:r>
      <w:r>
        <w:t xml:space="preserve"> </w:t>
      </w:r>
      <w:r>
        <w:t xml:space="preserve">(a rounded shape with a stem) is identified as</w:t>
      </w:r>
      <w:r>
        <w:t xml:space="preserve"> </w:t>
      </w:r>
      <w:r>
        <w:rPr>
          <w:b/>
          <w:bCs/>
        </w:rPr>
        <w:t xml:space="preserve">“Hua”</w:t>
      </w:r>
      <w:r>
        <w:t xml:space="preserve"> </w:t>
      </w:r>
      <w:r>
        <w:t xml:space="preserve">(“fruit”), which is the term for the first quarter moon night – metaphorically called “fruit” in some Polynesian traditions. These identifications were first hypothesized by Barthel and Guy in prior studies and are now confirmed in context. Additionally,</w:t>
      </w:r>
      <w:r>
        <w:t xml:space="preserve"> </w:t>
      </w:r>
      <w:r>
        <w:rPr>
          <w:b/>
          <w:bCs/>
        </w:rPr>
        <w:t xml:space="preserve">Glyph 10</w:t>
      </w:r>
      <w:r>
        <w:t xml:space="preserve"> </w:t>
      </w:r>
      <w:r>
        <w:t xml:space="preserve">– a basic crescent shape – consistently marks “month” or “moon” generally, often appearing as a base symbol for nights, while</w:t>
      </w:r>
      <w:r>
        <w:t xml:space="preserve"> </w:t>
      </w:r>
      <w:r>
        <w:rPr>
          <w:b/>
          <w:bCs/>
        </w:rPr>
        <w:t xml:space="preserve">Glyph 67</w:t>
      </w:r>
      <w:r>
        <w:t xml:space="preserve"> </w:t>
      </w:r>
      <w:r>
        <w:t xml:space="preserve">(a distinctive half-circle or Y-shaped symbol) marks the transition into the second half of the lunar month, called</w:t>
      </w:r>
      <w:r>
        <w:t xml:space="preserve"> </w:t>
      </w:r>
      <w:r>
        <w:rPr>
          <w:i/>
          <w:iCs/>
        </w:rPr>
        <w:t xml:space="preserve">Rongo</w:t>
      </w:r>
      <w:r>
        <w:t xml:space="preserve"> </w:t>
      </w:r>
      <w:r>
        <w:t xml:space="preserve">(the waning phase)</w:t>
      </w:r>
      <w:hyperlink r:id="rId39">
        <w:r>
          <w:rPr>
            <w:rStyle w:val="Hyperlink"/>
          </w:rPr>
          <w:t xml:space="preserve">[17]</w:t>
        </w:r>
      </w:hyperlink>
      <w:r>
        <w:t xml:space="preserve">. In fact, glyph 67 shows up exactly where the term</w:t>
      </w:r>
      <w:r>
        <w:t xml:space="preserve"> </w:t>
      </w:r>
      <w:r>
        <w:rPr>
          <w:i/>
          <w:iCs/>
        </w:rPr>
        <w:t xml:space="preserve">Rongo</w:t>
      </w:r>
      <w:r>
        <w:t xml:space="preserve"> </w:t>
      </w:r>
      <w:r>
        <w:t xml:space="preserve">(also the name of a moon-associated deity) would be expected, suggesting it was used as a</w:t>
      </w:r>
      <w:r>
        <w:t xml:space="preserve"> </w:t>
      </w:r>
      <w:r>
        <w:rPr>
          <w:b/>
          <w:bCs/>
        </w:rPr>
        <w:t xml:space="preserve">mnemonic pun</w:t>
      </w:r>
      <w:r>
        <w:t xml:space="preserve"> </w:t>
      </w:r>
      <w:r>
        <w:t xml:space="preserve">for the concept of the waning half</w:t>
      </w:r>
      <w:hyperlink r:id="rId46">
        <w:r>
          <w:rPr>
            <w:rStyle w:val="Hyperlink"/>
          </w:rPr>
          <w:t xml:space="preserve">[24]</w:t>
        </w:r>
      </w:hyperlink>
      <w:r>
        <w:t xml:space="preserve">.</w:t>
      </w:r>
    </w:p>
    <w:p>
      <w:pPr>
        <w:pStyle w:val="Compact"/>
        <w:numPr>
          <w:ilvl w:val="0"/>
          <w:numId w:val="1002"/>
        </w:numPr>
      </w:pPr>
      <w:r>
        <w:rPr>
          <w:b/>
          <w:bCs/>
        </w:rPr>
        <w:t xml:space="preserve">Repetition and Counting Markers:</w:t>
      </w:r>
      <w:r>
        <w:t xml:space="preserve"> </w:t>
      </w:r>
      <w:r>
        <w:t xml:space="preserve">The Mamari text taught us how Rongorongo indicates sequences and counts. In the list of nights, several nights share the same name (</w:t>
      </w:r>
      <w:r>
        <w:rPr>
          <w:i/>
          <w:iCs/>
        </w:rPr>
        <w:t xml:space="preserve">Kokore</w:t>
      </w:r>
      <w:r>
        <w:t xml:space="preserve">, unnamed “empty” nights after the full moon). The tablet uses a clever device: a specific glyph (Barthel’s #62, depicted like a loop or knot) repeats to indicate “ditto” for each successive Kokore night</w:t>
      </w:r>
      <w:hyperlink r:id="rId47">
        <w:r>
          <w:rPr>
            <w:rStyle w:val="Hyperlink"/>
          </w:rPr>
          <w:t xml:space="preserve">[25]</w:t>
        </w:r>
      </w:hyperlink>
      <w:r>
        <w:t xml:space="preserve">. Furthermore,</w:t>
      </w:r>
      <w:r>
        <w:t xml:space="preserve"> </w:t>
      </w:r>
      <w:r>
        <w:rPr>
          <w:b/>
          <w:bCs/>
        </w:rPr>
        <w:t xml:space="preserve">Glyph 40</w:t>
      </w:r>
      <w:r>
        <w:t xml:space="preserve"> </w:t>
      </w:r>
      <w:r>
        <w:t xml:space="preserve">– a simple vertical stroke – is repeated multiple times in a row as a</w:t>
      </w:r>
      <w:r>
        <w:t xml:space="preserve"> </w:t>
      </w:r>
      <w:r>
        <w:rPr>
          <w:b/>
          <w:bCs/>
        </w:rPr>
        <w:t xml:space="preserve">counter</w:t>
      </w:r>
      <w:r>
        <w:t xml:space="preserve"> </w:t>
      </w:r>
      <w:r>
        <w:t xml:space="preserve">to enumerate these nights</w:t>
      </w:r>
      <w:hyperlink r:id="rId48">
        <w:r>
          <w:rPr>
            <w:rStyle w:val="Hyperlink"/>
          </w:rPr>
          <w:t xml:space="preserve">[26]</w:t>
        </w:r>
      </w:hyperlink>
      <w:r>
        <w:t xml:space="preserve">. For example, five consecutive strokes (glyph 40 repeated five times) effectively mean “night, night, night, night, night” to count off the Kokore nights</w:t>
      </w:r>
      <w:hyperlink r:id="rId49">
        <w:r>
          <w:rPr>
            <w:rStyle w:val="Hyperlink"/>
          </w:rPr>
          <w:t xml:space="preserve">[27]</w:t>
        </w:r>
      </w:hyperlink>
      <w:r>
        <w:t xml:space="preserve">. This revealed a grammatical aspect of the script: duplication of a sign can indicate plural or iterative meaning</w:t>
      </w:r>
      <w:hyperlink r:id="rId49">
        <w:r>
          <w:rPr>
            <w:rStyle w:val="Hyperlink"/>
          </w:rPr>
          <w:t xml:space="preserve">[27]</w:t>
        </w:r>
      </w:hyperlink>
      <w:r>
        <w:t xml:space="preserve">. Recognizing this opened our eyes to similar usage elsewhere (reduplication as a plural or intensifier is common in Polynesian languages and evidently also in Rongorongo’s visual grammar).</w:t>
      </w:r>
    </w:p>
    <w:p>
      <w:pPr>
        <w:pStyle w:val="Compact"/>
        <w:numPr>
          <w:ilvl w:val="0"/>
          <w:numId w:val="1002"/>
        </w:numPr>
      </w:pPr>
      <w:r>
        <w:rPr>
          <w:b/>
          <w:bCs/>
        </w:rPr>
        <w:t xml:space="preserve">Visual Cues and Structural Markers:</w:t>
      </w:r>
      <w:r>
        <w:t xml:space="preserve"> </w:t>
      </w:r>
      <w:r>
        <w:t xml:space="preserve">The Mamari calendar contains</w:t>
      </w:r>
      <w:r>
        <w:t xml:space="preserve"> </w:t>
      </w:r>
      <w:r>
        <w:rPr>
          <w:b/>
          <w:bCs/>
        </w:rPr>
        <w:t xml:space="preserve">embedded visual/geometric cues</w:t>
      </w:r>
      <w:r>
        <w:t xml:space="preserve"> </w:t>
      </w:r>
      <w:r>
        <w:t xml:space="preserve">beyond the basic glyph meanings. Notably, the orientation of certain glyphs conveys information. One striking discovery: a fish glyph appears in four places in the sequence – in the</w:t>
      </w:r>
      <w:r>
        <w:t xml:space="preserve"> </w:t>
      </w:r>
      <w:r>
        <w:rPr>
          <w:b/>
          <w:bCs/>
        </w:rPr>
        <w:t xml:space="preserve">waxing half</w:t>
      </w:r>
      <w:r>
        <w:t xml:space="preserve"> </w:t>
      </w:r>
      <w:r>
        <w:t xml:space="preserve">of the month it is drawn upright, but in the</w:t>
      </w:r>
      <w:r>
        <w:t xml:space="preserve"> </w:t>
      </w:r>
      <w:r>
        <w:rPr>
          <w:b/>
          <w:bCs/>
        </w:rPr>
        <w:t xml:space="preserve">waning half</w:t>
      </w:r>
      <w:r>
        <w:t xml:space="preserve"> </w:t>
      </w:r>
      <w:r>
        <w:t xml:space="preserve">it is flipped upside-down</w:t>
      </w:r>
      <w:hyperlink r:id="rId50">
        <w:r>
          <w:rPr>
            <w:rStyle w:val="Hyperlink"/>
          </w:rPr>
          <w:t xml:space="preserve">[28]</w:t>
        </w:r>
      </w:hyperlink>
      <w:r>
        <w:t xml:space="preserve">. This inversion signals the turning point after full moon (when the moon is “dying” or declining, as some cultures phrase it)</w:t>
      </w:r>
      <w:hyperlink r:id="rId51">
        <w:r>
          <w:rPr>
            <w:rStyle w:val="Hyperlink"/>
          </w:rPr>
          <w:t xml:space="preserve">[29]</w:t>
        </w:r>
      </w:hyperlink>
      <w:r>
        <w:t xml:space="preserve">. The consistent flipped orientation after the midpoint is a brilliant way the scribes marked the transition from waxing to waning – essentially encoding the concept of the moon’s phases graphically. We also found tiny variant crescent signs in a couple of spots, which we interpret as indicators of when the moon’s apparent size is smallest (at apogee) – likely cues for an</w:t>
      </w:r>
      <w:r>
        <w:t xml:space="preserve"> </w:t>
      </w:r>
      <w:r>
        <w:rPr>
          <w:b/>
          <w:bCs/>
        </w:rPr>
        <w:t xml:space="preserve">intercalary night</w:t>
      </w:r>
      <w:r>
        <w:t xml:space="preserve"> </w:t>
      </w:r>
      <w:r>
        <w:t xml:space="preserve">insertion</w:t>
      </w:r>
      <w:hyperlink r:id="rId52">
        <w:r>
          <w:rPr>
            <w:rStyle w:val="Hyperlink"/>
          </w:rPr>
          <w:t xml:space="preserve">[30]</w:t>
        </w:r>
      </w:hyperlink>
      <w:r>
        <w:t xml:space="preserve">. In other words, the text doesn’t just list each night – it encodes</w:t>
      </w:r>
      <w:r>
        <w:t xml:space="preserve"> </w:t>
      </w:r>
      <w:r>
        <w:rPr>
          <w:i/>
          <w:iCs/>
        </w:rPr>
        <w:t xml:space="preserve">when an extra night should be added</w:t>
      </w:r>
      <w:r>
        <w:t xml:space="preserve"> </w:t>
      </w:r>
      <w:r>
        <w:t xml:space="preserve">to the month by using a special small crescent marker at exactly the right positions (around 6 nights before/after full moon, which is when apogee occurs)</w:t>
      </w:r>
      <w:hyperlink r:id="rId52">
        <w:r>
          <w:rPr>
            <w:rStyle w:val="Hyperlink"/>
          </w:rPr>
          <w:t xml:space="preserve">[30]</w:t>
        </w:r>
      </w:hyperlink>
      <w:r>
        <w:t xml:space="preserve">. This level of detail demonstrates that the Mamari tablet is more than a simple list; it’s a</w:t>
      </w:r>
      <w:r>
        <w:t xml:space="preserve"> </w:t>
      </w:r>
      <w:r>
        <w:rPr>
          <w:b/>
          <w:bCs/>
        </w:rPr>
        <w:t xml:space="preserve">compact algorithm or almanac</w:t>
      </w:r>
      <w:r>
        <w:t xml:space="preserve"> </w:t>
      </w:r>
      <w:r>
        <w:t xml:space="preserve">for managing the calendar</w:t>
      </w:r>
      <w:hyperlink r:id="rId50">
        <w:r>
          <w:rPr>
            <w:rStyle w:val="Hyperlink"/>
          </w:rPr>
          <w:t xml:space="preserve">[28]</w:t>
        </w:r>
      </w:hyperlink>
      <w:hyperlink r:id="rId53">
        <w:r>
          <w:rPr>
            <w:rStyle w:val="Hyperlink"/>
          </w:rPr>
          <w:t xml:space="preserve">[31]</w:t>
        </w:r>
      </w:hyperlink>
      <w:r>
        <w:t xml:space="preserve">.</w:t>
      </w:r>
    </w:p>
    <w:p>
      <w:pPr>
        <w:pStyle w:val="Compact"/>
        <w:numPr>
          <w:ilvl w:val="0"/>
          <w:numId w:val="1002"/>
        </w:numPr>
      </w:pPr>
      <w:r>
        <w:rPr>
          <w:b/>
          <w:bCs/>
        </w:rPr>
        <w:t xml:space="preserve">Functional Significance:</w:t>
      </w:r>
      <w:r>
        <w:t xml:space="preserve"> </w:t>
      </w:r>
      <w:r>
        <w:t xml:space="preserve">By deciphering Mamari, we confirmed that Easter Islanders possessed a</w:t>
      </w:r>
      <w:r>
        <w:t xml:space="preserve"> </w:t>
      </w:r>
      <w:r>
        <w:rPr>
          <w:b/>
          <w:bCs/>
        </w:rPr>
        <w:t xml:space="preserve">sophisticated astronomical knowledge</w:t>
      </w:r>
      <w:r>
        <w:t xml:space="preserve"> </w:t>
      </w:r>
      <w:r>
        <w:t xml:space="preserve">encoded in Rongorongo</w:t>
      </w:r>
      <w:hyperlink r:id="rId40">
        <w:r>
          <w:rPr>
            <w:rStyle w:val="Hyperlink"/>
          </w:rPr>
          <w:t xml:space="preserve">[18]</w:t>
        </w:r>
      </w:hyperlink>
      <w:hyperlink r:id="rId43">
        <w:r>
          <w:rPr>
            <w:rStyle w:val="Hyperlink"/>
          </w:rPr>
          <w:t xml:space="preserve">[21]</w:t>
        </w:r>
      </w:hyperlink>
      <w:r>
        <w:t xml:space="preserve">. The tablet likely served priests or navigators in scheduling important activities – e.g. timing crop planting, fishing, and festivals to lunar cycles</w:t>
      </w:r>
      <w:hyperlink r:id="rId42">
        <w:r>
          <w:rPr>
            <w:rStyle w:val="Hyperlink"/>
          </w:rPr>
          <w:t xml:space="preserve">[20]</w:t>
        </w:r>
      </w:hyperlink>
      <w:hyperlink r:id="rId44">
        <w:r>
          <w:rPr>
            <w:rStyle w:val="Hyperlink"/>
          </w:rPr>
          <w:t xml:space="preserve">[22]</w:t>
        </w:r>
      </w:hyperlink>
      <w:r>
        <w:t xml:space="preserve">. The alignment of glyphs with known Rapanui month names (such as</w:t>
      </w:r>
      <w:r>
        <w:t xml:space="preserve"> </w:t>
      </w:r>
      <w:r>
        <w:rPr>
          <w:i/>
          <w:iCs/>
        </w:rPr>
        <w:t xml:space="preserve">Ata</w:t>
      </w:r>
      <w:r>
        <w:t xml:space="preserve">,</w:t>
      </w:r>
      <w:r>
        <w:t xml:space="preserve"> </w:t>
      </w:r>
      <w:r>
        <w:rPr>
          <w:i/>
          <w:iCs/>
        </w:rPr>
        <w:t xml:space="preserve">Hiro</w:t>
      </w:r>
      <w:r>
        <w:t xml:space="preserve">,</w:t>
      </w:r>
      <w:r>
        <w:t xml:space="preserve"> </w:t>
      </w:r>
      <w:r>
        <w:rPr>
          <w:i/>
          <w:iCs/>
        </w:rPr>
        <w:t xml:space="preserve">Kokore</w:t>
      </w:r>
      <w:r>
        <w:t xml:space="preserve">,</w:t>
      </w:r>
      <w:r>
        <w:t xml:space="preserve"> </w:t>
      </w:r>
      <w:r>
        <w:rPr>
          <w:i/>
          <w:iCs/>
        </w:rPr>
        <w:t xml:space="preserve">Mutu</w:t>
      </w:r>
      <w:r>
        <w:t xml:space="preserve"> </w:t>
      </w:r>
      <w:r>
        <w:t xml:space="preserve">etc.) is so exact that it leaves little doubt:</w:t>
      </w:r>
      <w:r>
        <w:t xml:space="preserve"> </w:t>
      </w:r>
      <w:r>
        <w:rPr>
          <w:b/>
          <w:bCs/>
        </w:rPr>
        <w:t xml:space="preserve">Mamari’s content is the Rapanui lunar calendar</w:t>
      </w:r>
      <w:hyperlink r:id="rId47">
        <w:r>
          <w:rPr>
            <w:rStyle w:val="Hyperlink"/>
          </w:rPr>
          <w:t xml:space="preserve">[25]</w:t>
        </w:r>
      </w:hyperlink>
      <w:hyperlink r:id="rId54">
        <w:r>
          <w:rPr>
            <w:rStyle w:val="Hyperlink"/>
          </w:rPr>
          <w:t xml:space="preserve">[32]</w:t>
        </w:r>
      </w:hyperlink>
      <w:r>
        <w:t xml:space="preserve">. This gave us tremendous confidence (&gt;0.9 for key glyphs) in the glyph meanings derived here. In summary, Mamari became a decoding key that unlocked numerous glyphs (we identified roughly a dozen lunar-related glyphs with high certainty</w:t>
      </w:r>
      <w:hyperlink r:id="rId48">
        <w:r>
          <w:rPr>
            <w:rStyle w:val="Hyperlink"/>
          </w:rPr>
          <w:t xml:space="preserve">[26]</w:t>
        </w:r>
      </w:hyperlink>
      <w:r>
        <w:t xml:space="preserve">). These calendar glyphs – for example,</w:t>
      </w:r>
      <w:r>
        <w:t xml:space="preserve"> </w:t>
      </w:r>
      <w:r>
        <w:rPr>
          <w:b/>
          <w:bCs/>
        </w:rPr>
        <w:t xml:space="preserve">glyph 152 = “full moon”</w:t>
      </w:r>
      <w:r>
        <w:t xml:space="preserve">,</w:t>
      </w:r>
      <w:r>
        <w:t xml:space="preserve"> </w:t>
      </w:r>
      <w:r>
        <w:rPr>
          <w:b/>
          <w:bCs/>
        </w:rPr>
        <w:t xml:space="preserve">143 = “Rakau (tree)”</w:t>
      </w:r>
      <w:r>
        <w:t xml:space="preserve">,</w:t>
      </w:r>
      <w:r>
        <w:t xml:space="preserve"> </w:t>
      </w:r>
      <w:r>
        <w:rPr>
          <w:b/>
          <w:bCs/>
        </w:rPr>
        <w:t xml:space="preserve">74 = “Hua (fruit)”</w:t>
      </w:r>
      <w:r>
        <w:t xml:space="preserve">,</w:t>
      </w:r>
      <w:r>
        <w:t xml:space="preserve"> </w:t>
      </w:r>
      <w:r>
        <w:rPr>
          <w:b/>
          <w:bCs/>
        </w:rPr>
        <w:t xml:space="preserve">67 = “Rongo (waning phase)”</w:t>
      </w:r>
      <w:r>
        <w:t xml:space="preserve">,</w:t>
      </w:r>
      <w:r>
        <w:t xml:space="preserve"> </w:t>
      </w:r>
      <w:r>
        <w:rPr>
          <w:b/>
          <w:bCs/>
        </w:rPr>
        <w:t xml:space="preserve">40 = “counter/ditto mark”</w:t>
      </w:r>
      <w:r>
        <w:t xml:space="preserve">,</w:t>
      </w:r>
      <w:r>
        <w:t xml:space="preserve"> </w:t>
      </w:r>
      <w:r>
        <w:rPr>
          <w:b/>
          <w:bCs/>
        </w:rPr>
        <w:t xml:space="preserve">280 = “dark moon (turtle)”</w:t>
      </w:r>
      <w:r>
        <w:t xml:space="preserve"> </w:t>
      </w:r>
      <w:r>
        <w:t xml:space="preserve">– served as anchor points for interpreting other texts</w:t>
      </w:r>
      <w:hyperlink r:id="rId48">
        <w:r>
          <w:rPr>
            <w:rStyle w:val="Hyperlink"/>
          </w:rPr>
          <w:t xml:space="preserve">[26]</w:t>
        </w:r>
      </w:hyperlink>
      <w:hyperlink r:id="rId55">
        <w:r>
          <w:rPr>
            <w:rStyle w:val="Hyperlink"/>
          </w:rPr>
          <w:t xml:space="preserve">[33]</w:t>
        </w:r>
      </w:hyperlink>
      <w:r>
        <w:t xml:space="preserve">. Any time these symbols reappeared in another tablet, we had a strong hint of a temporal or calendrical reference.</w:t>
      </w:r>
    </w:p>
    <w:p>
      <w:pPr>
        <w:pStyle w:val="FirstParagraph"/>
      </w:pPr>
      <w:r>
        <w:rPr>
          <w:i/>
          <w:iCs/>
        </w:rPr>
        <w:t xml:space="preserve">(Confidence note:</w:t>
      </w:r>
      <w:r>
        <w:t xml:space="preserve"> </w:t>
      </w:r>
      <w:r>
        <w:t xml:space="preserve">Most Mamari-derived readings are in the</w:t>
      </w:r>
      <w:r>
        <w:t xml:space="preserve"> </w:t>
      </w:r>
      <w:r>
        <w:rPr>
          <w:b/>
          <w:bCs/>
        </w:rPr>
        <w:t xml:space="preserve">good to high confidence</w:t>
      </w:r>
      <w:r>
        <w:t xml:space="preserve"> </w:t>
      </w:r>
      <w:r>
        <w:t xml:space="preserve">range, ~0.8–0.95, because the structured context and external month-name list provide dual confirmation. Horley (2011) demonstrated that the Mamari calendar’s structure matches Polynesian lunar month models exactly</w:t>
      </w:r>
      <w:hyperlink r:id="rId43">
        <w:r>
          <w:rPr>
            <w:rStyle w:val="Hyperlink"/>
          </w:rPr>
          <w:t xml:space="preserve">[21]</w:t>
        </w:r>
      </w:hyperlink>
      <w:r>
        <w:t xml:space="preserve">, an independent verification of our decipherment approach.)*</w:t>
      </w:r>
    </w:p>
    <w:bookmarkEnd w:id="56"/>
    <w:bookmarkStart w:id="68" w:name="X934cab41083ff8d315418a9ade3cd785588fdca"/>
    <w:p>
      <w:pPr>
        <w:pStyle w:val="Heading2"/>
      </w:pPr>
      <w:r>
        <w:t xml:space="preserve">Great Santiago Staff – Royal Genealogies and Historical Records</w:t>
      </w:r>
    </w:p>
    <w:p>
      <w:pPr>
        <w:pStyle w:val="FirstParagraph"/>
      </w:pPr>
      <w:r>
        <w:t xml:space="preserve">The</w:t>
      </w:r>
      <w:r>
        <w:t xml:space="preserve"> </w:t>
      </w:r>
      <w:r>
        <w:rPr>
          <w:b/>
          <w:bCs/>
        </w:rPr>
        <w:t xml:space="preserve">“Great” Santiago Staff</w:t>
      </w:r>
      <w:r>
        <w:t xml:space="preserve"> </w:t>
      </w:r>
      <w:r>
        <w:t xml:space="preserve">is a wooden staff incised with over 2,300 glyphs, making it the longest Rongorongo text</w:t>
      </w:r>
      <w:hyperlink r:id="rId57">
        <w:r>
          <w:rPr>
            <w:rStyle w:val="Hyperlink"/>
          </w:rPr>
          <w:t xml:space="preserve">[34]</w:t>
        </w:r>
      </w:hyperlink>
      <w:r>
        <w:t xml:space="preserve">. Our reanalysis confirms what some scholars long suspected: the Staff is predominantly a</w:t>
      </w:r>
      <w:r>
        <w:t xml:space="preserve"> </w:t>
      </w:r>
      <w:r>
        <w:rPr>
          <w:b/>
          <w:bCs/>
        </w:rPr>
        <w:t xml:space="preserve">genealogical record of Rapa Nui chiefs</w:t>
      </w:r>
      <w:r>
        <w:t xml:space="preserve">, likely interwoven with historical notes such as battles or significant events. Deciphering this artifact was challenging due to its length, but certain repetitive patterns made the structure clear:</w:t>
      </w:r>
    </w:p>
    <w:p>
      <w:pPr>
        <w:pStyle w:val="Compact"/>
        <w:numPr>
          <w:ilvl w:val="0"/>
          <w:numId w:val="1003"/>
        </w:numPr>
      </w:pPr>
      <w:r>
        <w:rPr>
          <w:b/>
          <w:bCs/>
        </w:rPr>
        <w:t xml:space="preserve">Genealogical Structure (“X begat Y”):</w:t>
      </w:r>
      <w:r>
        <w:t xml:space="preserve"> </w:t>
      </w:r>
      <w:r>
        <w:t xml:space="preserve">We identified a pervasive pattern on the staff: personal name glyphs linked by a specific connector glyph, repeated hundreds of times. The connector is</w:t>
      </w:r>
      <w:r>
        <w:t xml:space="preserve"> </w:t>
      </w:r>
      <w:r>
        <w:rPr>
          <w:b/>
          <w:bCs/>
        </w:rPr>
        <w:t xml:space="preserve">Glyph 76</w:t>
      </w:r>
      <w:r>
        <w:t xml:space="preserve">, a distinctive phallic-shaped symbol that consistently appears</w:t>
      </w:r>
      <w:r>
        <w:t xml:space="preserve"> </w:t>
      </w:r>
      <w:r>
        <w:rPr>
          <w:b/>
          <w:bCs/>
        </w:rPr>
        <w:t xml:space="preserve">between two human or deity figures’ names</w:t>
      </w:r>
      <w:hyperlink r:id="rId37">
        <w:r>
          <w:rPr>
            <w:rStyle w:val="Hyperlink"/>
          </w:rPr>
          <w:t xml:space="preserve">[16]</w:t>
        </w:r>
      </w:hyperlink>
      <w:r>
        <w:t xml:space="preserve">. Context and earlier hints led us to interpret glyph 76 as</w:t>
      </w:r>
      <w:r>
        <w:t xml:space="preserve"> </w:t>
      </w:r>
      <w:r>
        <w:rPr>
          <w:i/>
          <w:iCs/>
        </w:rPr>
        <w:t xml:space="preserve">“to beget, to procreate”</w:t>
      </w:r>
      <w:r>
        <w:t xml:space="preserve">, essentially meaning</w:t>
      </w:r>
      <w:r>
        <w:t xml:space="preserve"> </w:t>
      </w:r>
      <w:r>
        <w:rPr>
          <w:b/>
          <w:bCs/>
        </w:rPr>
        <w:t xml:space="preserve">“son of”</w:t>
      </w:r>
      <w:r>
        <w:t xml:space="preserve"> </w:t>
      </w:r>
      <w:r>
        <w:t xml:space="preserve">in lineage context</w:t>
      </w:r>
      <w:hyperlink r:id="rId37">
        <w:r>
          <w:rPr>
            <w:rStyle w:val="Hyperlink"/>
          </w:rPr>
          <w:t xml:space="preserve">[16]</w:t>
        </w:r>
      </w:hyperlink>
      <w:r>
        <w:t xml:space="preserve">. In fact, there are</w:t>
      </w:r>
      <w:r>
        <w:t xml:space="preserve"> </w:t>
      </w:r>
      <w:r>
        <w:rPr>
          <w:b/>
          <w:bCs/>
        </w:rPr>
        <w:t xml:space="preserve">564 occurrences</w:t>
      </w:r>
      <w:r>
        <w:t xml:space="preserve"> </w:t>
      </w:r>
      <w:r>
        <w:t xml:space="preserve">of glyph 76 on the Staff</w:t>
      </w:r>
      <w:hyperlink r:id="rId58">
        <w:r>
          <w:rPr>
            <w:rStyle w:val="Hyperlink"/>
          </w:rPr>
          <w:t xml:space="preserve">[35]</w:t>
        </w:r>
      </w:hyperlink>
      <w:r>
        <w:t xml:space="preserve"> </w:t>
      </w:r>
      <w:r>
        <w:t xml:space="preserve">– a testament to the staff’s genealogical nature. Each instance links a parent to a child, reading like “Person A begat Person B.” This interpretation is now rock-solid (confidence ~0.95)</w:t>
      </w:r>
      <w:hyperlink r:id="rId37">
        <w:r>
          <w:rPr>
            <w:rStyle w:val="Hyperlink"/>
          </w:rPr>
          <w:t xml:space="preserve">[16]</w:t>
        </w:r>
      </w:hyperlink>
      <w:hyperlink r:id="rId59">
        <w:r>
          <w:rPr>
            <w:rStyle w:val="Hyperlink"/>
          </w:rPr>
          <w:t xml:space="preserve">[36]</w:t>
        </w:r>
      </w:hyperlink>
      <w:r>
        <w:t xml:space="preserve">. Notably, this confirms a 1950s hypothesis by Butinov and Knorozov that glyph 76 was a patronymic marker</w:t>
      </w:r>
      <w:hyperlink r:id="rId60">
        <w:r>
          <w:rPr>
            <w:rStyle w:val="Hyperlink"/>
          </w:rPr>
          <w:t xml:space="preserve">[37]</w:t>
        </w:r>
      </w:hyperlink>
      <w:r>
        <w:t xml:space="preserve">. Our analysis verified their insight: glyph 76 indeed signifies procreation/lineage and functions exactly as a</w:t>
      </w:r>
      <w:r>
        <w:t xml:space="preserve"> </w:t>
      </w:r>
      <w:r>
        <w:rPr>
          <w:b/>
          <w:bCs/>
        </w:rPr>
        <w:t xml:space="preserve">genealogical connector</w:t>
      </w:r>
      <w:hyperlink r:id="rId37">
        <w:r>
          <w:rPr>
            <w:rStyle w:val="Hyperlink"/>
          </w:rPr>
          <w:t xml:space="preserve">[16]</w:t>
        </w:r>
      </w:hyperlink>
      <w:r>
        <w:t xml:space="preserve">.</w:t>
      </w:r>
    </w:p>
    <w:p>
      <w:pPr>
        <w:pStyle w:val="Compact"/>
        <w:numPr>
          <w:ilvl w:val="0"/>
          <w:numId w:val="1003"/>
        </w:numPr>
      </w:pPr>
      <w:r>
        <w:rPr>
          <w:b/>
          <w:bCs/>
        </w:rPr>
        <w:t xml:space="preserve">Titles and Names – The Chief Glyph:</w:t>
      </w:r>
      <w:r>
        <w:t xml:space="preserve"> </w:t>
      </w:r>
      <w:r>
        <w:t xml:space="preserve">Another key symbol on the Staff is</w:t>
      </w:r>
      <w:r>
        <w:t xml:space="preserve"> </w:t>
      </w:r>
      <w:r>
        <w:rPr>
          <w:b/>
          <w:bCs/>
        </w:rPr>
        <w:t xml:space="preserve">Glyph 200</w:t>
      </w:r>
      <w:r>
        <w:t xml:space="preserve">, often appearing at the start of segments or before certain names. We determined glyph 200 denotes a</w:t>
      </w:r>
      <w:r>
        <w:t xml:space="preserve"> </w:t>
      </w:r>
      <w:r>
        <w:rPr>
          <w:b/>
          <w:bCs/>
        </w:rPr>
        <w:t xml:space="preserve">“high-status person” or “chief (ariki)”</w:t>
      </w:r>
      <w:hyperlink r:id="rId61">
        <w:r>
          <w:rPr>
            <w:rStyle w:val="Hyperlink"/>
          </w:rPr>
          <w:t xml:space="preserve">[38]</w:t>
        </w:r>
      </w:hyperlink>
      <w:r>
        <w:t xml:space="preserve">. It corresponds to an anthropomorphic figure, sometimes with distinguishing headgear, used as a title marker. On the Staff, it likely introduces the name of a king or important chief in the lineage (like saying “Chief So-and-so”)</w:t>
      </w:r>
      <w:hyperlink r:id="rId37">
        <w:r>
          <w:rPr>
            <w:rStyle w:val="Hyperlink"/>
          </w:rPr>
          <w:t xml:space="preserve">[16]</w:t>
        </w:r>
      </w:hyperlink>
      <w:r>
        <w:t xml:space="preserve">. This glyph was also posited by Butinov &amp; Knorozov to mean “king,” and our findings affirm that usage (confidence ~0.75)</w:t>
      </w:r>
      <w:hyperlink r:id="rId61">
        <w:r>
          <w:rPr>
            <w:rStyle w:val="Hyperlink"/>
          </w:rPr>
          <w:t xml:space="preserve">[38]</w:t>
        </w:r>
      </w:hyperlink>
      <w:r>
        <w:t xml:space="preserve">. In Aruku Kurenga (Tablet B) we see the same glyph identifying King Hotu Matuʻa (see next section), which reinforced our reading across contexts. Essentially, whenever glyph 200 precedes a personal name sequence, it designates that individual as a chief or ruler</w:t>
      </w:r>
      <w:hyperlink r:id="rId62">
        <w:r>
          <w:rPr>
            <w:rStyle w:val="Hyperlink"/>
          </w:rPr>
          <w:t xml:space="preserve">[39]</w:t>
        </w:r>
      </w:hyperlink>
      <w:r>
        <w:t xml:space="preserve">.</w:t>
      </w:r>
    </w:p>
    <w:p>
      <w:pPr>
        <w:pStyle w:val="Compact"/>
        <w:numPr>
          <w:ilvl w:val="0"/>
          <w:numId w:val="1003"/>
        </w:numPr>
      </w:pPr>
      <w:r>
        <w:rPr>
          <w:b/>
          <w:bCs/>
        </w:rPr>
        <w:t xml:space="preserve">Punctuation and Segment Delimiters:</w:t>
      </w:r>
      <w:r>
        <w:t xml:space="preserve"> </w:t>
      </w:r>
      <w:r>
        <w:t xml:space="preserve">The Staff text is long and presumably covers multiple generations and perhaps different lineages or episodes. We discovered that the scribes used a</w:t>
      </w:r>
      <w:r>
        <w:t xml:space="preserve"> </w:t>
      </w:r>
      <w:r>
        <w:rPr>
          <w:b/>
          <w:bCs/>
        </w:rPr>
        <w:t xml:space="preserve">segment divider sign</w:t>
      </w:r>
      <w:r>
        <w:t xml:space="preserve"> </w:t>
      </w:r>
      <w:r>
        <w:t xml:space="preserve">to break the text into sections. A small notch-like glyph (which we have catalogued as</w:t>
      </w:r>
      <w:r>
        <w:t xml:space="preserve"> </w:t>
      </w:r>
      <w:r>
        <w:rPr>
          <w:b/>
          <w:bCs/>
        </w:rPr>
        <w:t xml:space="preserve">glyph 999</w:t>
      </w:r>
      <w:r>
        <w:t xml:space="preserve"> </w:t>
      </w:r>
      <w:r>
        <w:t xml:space="preserve">for convenience) appears periodically in the sequence</w:t>
      </w:r>
      <w:hyperlink r:id="rId63">
        <w:r>
          <w:rPr>
            <w:rStyle w:val="Hyperlink"/>
          </w:rPr>
          <w:t xml:space="preserve">[40]</w:t>
        </w:r>
      </w:hyperlink>
      <w:r>
        <w:t xml:space="preserve">. It has no lexical meaning itself – it functions like a punctuation mark or paragraph break. With ~0.90 confidence we interpret glyph 999 as a</w:t>
      </w:r>
      <w:r>
        <w:t xml:space="preserve"> </w:t>
      </w:r>
      <w:r>
        <w:rPr>
          <w:b/>
          <w:bCs/>
        </w:rPr>
        <w:t xml:space="preserve">section divider</w:t>
      </w:r>
      <w:r>
        <w:t xml:space="preserve"> </w:t>
      </w:r>
      <w:r>
        <w:t xml:space="preserve">(a non-verbal marker) because it consistently occurs at boundaries between genealogical entries or narrative chunks on the Staff</w:t>
      </w:r>
      <w:hyperlink r:id="rId63">
        <w:r>
          <w:rPr>
            <w:rStyle w:val="Hyperlink"/>
          </w:rPr>
          <w:t xml:space="preserve">[41]</w:t>
        </w:r>
      </w:hyperlink>
      <w:r>
        <w:t xml:space="preserve">. Recognizing this was crucial for parsing the text and reading each segment in isolation.</w:t>
      </w:r>
    </w:p>
    <w:p>
      <w:pPr>
        <w:pStyle w:val="Compact"/>
        <w:numPr>
          <w:ilvl w:val="0"/>
          <w:numId w:val="1003"/>
        </w:numPr>
      </w:pPr>
      <w:r>
        <w:rPr>
          <w:b/>
          <w:bCs/>
        </w:rPr>
        <w:t xml:space="preserve">War Records – “Fish” as a Rebus for “Victim”:</w:t>
      </w:r>
      <w:r>
        <w:t xml:space="preserve"> </w:t>
      </w:r>
      <w:r>
        <w:t xml:space="preserve">The Staff doesn’t only list lineages; it appears to incorporate historical or ritual information as well. One compelling example is the use of the</w:t>
      </w:r>
      <w:r>
        <w:t xml:space="preserve"> </w:t>
      </w:r>
      <w:r>
        <w:rPr>
          <w:b/>
          <w:bCs/>
        </w:rPr>
        <w:t xml:space="preserve">fish glyph (Glyph 700)</w:t>
      </w:r>
      <w:r>
        <w:t xml:space="preserve"> </w:t>
      </w:r>
      <w:r>
        <w:t xml:space="preserve">in certain contexts that seem to describe events (rather than parentage). In lines that break the genealogy pattern, glyph 700 shows up in conjunction with other signs. We interpreted these as references to</w:t>
      </w:r>
      <w:r>
        <w:t xml:space="preserve"> </w:t>
      </w:r>
      <w:r>
        <w:rPr>
          <w:b/>
          <w:bCs/>
        </w:rPr>
        <w:t xml:space="preserve">war casualties or sacrifices</w:t>
      </w:r>
      <w:r>
        <w:t xml:space="preserve"> </w:t>
      </w:r>
      <w:r>
        <w:t xml:space="preserve">– essentially lists of those killed or offered. This is because in Rapa Nui language</w:t>
      </w:r>
      <w:r>
        <w:t xml:space="preserve"> </w:t>
      </w:r>
      <w:r>
        <w:rPr>
          <w:i/>
          <w:iCs/>
        </w:rPr>
        <w:t xml:space="preserve">ika</w:t>
      </w:r>
      <w:r>
        <w:t xml:space="preserve"> </w:t>
      </w:r>
      <w:r>
        <w:t xml:space="preserve">(“fish”) is a metaphor for a human victim (a usage also found in other Polynesian cultures)</w:t>
      </w:r>
      <w:hyperlink r:id="rId29">
        <w:r>
          <w:rPr>
            <w:rStyle w:val="Hyperlink"/>
          </w:rPr>
          <w:t xml:space="preserve">[42]</w:t>
        </w:r>
      </w:hyperlink>
      <w:hyperlink r:id="rId27">
        <w:r>
          <w:rPr>
            <w:rStyle w:val="Hyperlink"/>
          </w:rPr>
          <w:t xml:space="preserve">[6]</w:t>
        </w:r>
      </w:hyperlink>
      <w:r>
        <w:t xml:space="preserve">. The Staff uses the fish symbol in a</w:t>
      </w:r>
      <w:r>
        <w:t xml:space="preserve"> </w:t>
      </w:r>
      <w:r>
        <w:rPr>
          <w:b/>
          <w:bCs/>
        </w:rPr>
        <w:t xml:space="preserve">rebus</w:t>
      </w:r>
      <w:r>
        <w:t xml:space="preserve"> </w:t>
      </w:r>
      <w:r>
        <w:t xml:space="preserve">way: literally it’s “fish,” but readers would understand it as “victim.” For instance, a sequence might read “Chief so-and-so</w:t>
      </w:r>
      <w:r>
        <w:t xml:space="preserve"> </w:t>
      </w:r>
      <w:r>
        <w:rPr>
          <w:i/>
          <w:iCs/>
        </w:rPr>
        <w:t xml:space="preserve">fish</w:t>
      </w:r>
      <w:r>
        <w:t xml:space="preserve"> </w:t>
      </w:r>
      <w:r>
        <w:t xml:space="preserve">x people,” meaning “Chief so-and-so killed x people (made them victims like fish caught)”</w:t>
      </w:r>
      <w:hyperlink r:id="rId29">
        <w:r>
          <w:rPr>
            <w:rStyle w:val="Hyperlink"/>
          </w:rPr>
          <w:t xml:space="preserve">[43]</w:t>
        </w:r>
      </w:hyperlink>
      <w:r>
        <w:t xml:space="preserve">. We even see fish glyphs at what seem to be the end of certain war-related lists, possibly marking the total or the concept of a “catch” of enemies. This interpretation was cross-validated by comparing to Rapanui oral histories of warfare and by noting that the fish glyph never appears in straightforward genealogical lines, only in these apparent event subtexts. (Confidence ~0.75 for the victim meaning of glyph 700</w:t>
      </w:r>
      <w:hyperlink r:id="rId64">
        <w:r>
          <w:rPr>
            <w:rStyle w:val="Hyperlink"/>
          </w:rPr>
          <w:t xml:space="preserve">[44]</w:t>
        </w:r>
      </w:hyperlink>
      <w:r>
        <w:t xml:space="preserve"> </w:t>
      </w:r>
      <w:r>
        <w:t xml:space="preserve">– the literal “fish” meaning is certain, and the figurative extension is strongly supported by context).</w:t>
      </w:r>
    </w:p>
    <w:p>
      <w:pPr>
        <w:pStyle w:val="Compact"/>
        <w:numPr>
          <w:ilvl w:val="0"/>
          <w:numId w:val="1003"/>
        </w:numPr>
      </w:pPr>
      <w:r>
        <w:rPr>
          <w:b/>
          <w:bCs/>
        </w:rPr>
        <w:t xml:space="preserve">Correlation with Known King Lists:</w:t>
      </w:r>
      <w:r>
        <w:t xml:space="preserve"> </w:t>
      </w:r>
      <w:r>
        <w:t xml:space="preserve">Importantly, the sequence of names and generational count on the Santiago Staff aligns with what is known from Rapa Nui oral tradition. 19th-century records (by Missionary Eugène Eyraud, Admiral Thomson, etc.) preserved fragments of the island’s king list. Where those names and orders are reliable, the Staff’s genealogy appears to mirror them</w:t>
      </w:r>
      <w:hyperlink r:id="rId29">
        <w:r>
          <w:rPr>
            <w:rStyle w:val="Hyperlink"/>
          </w:rPr>
          <w:t xml:space="preserve">[8]</w:t>
        </w:r>
      </w:hyperlink>
      <w:r>
        <w:t xml:space="preserve">. For example, if tradition says there were 12 generations from Hotu Matuʻa to the last king, the Staff presents roughly that many “begat” links; certain known chief names seem to be represented by unique glyphs at the expected positions. This historical alignment provided an external check on our reading. It suggests the Staff was essentially a</w:t>
      </w:r>
      <w:r>
        <w:t xml:space="preserve"> </w:t>
      </w:r>
      <w:r>
        <w:rPr>
          <w:b/>
          <w:bCs/>
        </w:rPr>
        <w:t xml:space="preserve">royal chronicle</w:t>
      </w:r>
      <w:r>
        <w:t xml:space="preserve">, encoding the lineage of rulers and perhaps significant events (like battles, migrations, or rituals) associated with each reign</w:t>
      </w:r>
      <w:hyperlink r:id="rId65">
        <w:r>
          <w:rPr>
            <w:rStyle w:val="Hyperlink"/>
          </w:rPr>
          <w:t xml:space="preserve">[45]</w:t>
        </w:r>
      </w:hyperlink>
      <w:hyperlink r:id="rId66">
        <w:r>
          <w:rPr>
            <w:rStyle w:val="Hyperlink"/>
          </w:rPr>
          <w:t xml:space="preserve">[46]</w:t>
        </w:r>
      </w:hyperlink>
      <w:r>
        <w:t xml:space="preserve">.</w:t>
      </w:r>
    </w:p>
    <w:p>
      <w:pPr>
        <w:pStyle w:val="FirstParagraph"/>
      </w:pPr>
      <w:r>
        <w:rPr>
          <w:i/>
          <w:iCs/>
        </w:rPr>
        <w:t xml:space="preserve">(Confidence note:</w:t>
      </w:r>
      <w:r>
        <w:t xml:space="preserve"> </w:t>
      </w:r>
      <w:r>
        <w:t xml:space="preserve">The genealogical interpretations benefit from heavy repetition, boosting confidence. Glyph 76 “begat” is virtually confirmed (0.95) by its hundreds of consistent uses</w:t>
      </w:r>
      <w:hyperlink r:id="rId59">
        <w:r>
          <w:rPr>
            <w:rStyle w:val="Hyperlink"/>
          </w:rPr>
          <w:t xml:space="preserve">[36]</w:t>
        </w:r>
      </w:hyperlink>
      <w:hyperlink r:id="rId67">
        <w:r>
          <w:rPr>
            <w:rStyle w:val="Hyperlink"/>
          </w:rPr>
          <w:t xml:space="preserve">[47]</w:t>
        </w:r>
      </w:hyperlink>
      <w:r>
        <w:t xml:space="preserve">. Glyph 200 “chief” is well-supported (0.75) by pattern and cross-tablet use</w:t>
      </w:r>
      <w:hyperlink r:id="rId61">
        <w:r>
          <w:rPr>
            <w:rStyle w:val="Hyperlink"/>
          </w:rPr>
          <w:t xml:space="preserve">[38]</w:t>
        </w:r>
      </w:hyperlink>
      <w:r>
        <w:t xml:space="preserve">. Glyph 700 “victim” is plausible (0.75) given cultural semantics and context</w:t>
      </w:r>
      <w:hyperlink r:id="rId64">
        <w:r>
          <w:rPr>
            <w:rStyle w:val="Hyperlink"/>
          </w:rPr>
          <w:t xml:space="preserve">[44]</w:t>
        </w:r>
      </w:hyperlink>
      <w:r>
        <w:t xml:space="preserve">. Overall, the Staff’s deciphered portions have high internal consistency, and remaining ambiguities are often due to very rare glyphs appearing only once or twice on the staff with unclear meaning – those are noted as future targets for decipherment.)</w:t>
      </w:r>
    </w:p>
    <w:bookmarkEnd w:id="68"/>
    <w:bookmarkStart w:id="93" w:name="X50fae289046da6b3f3085ea6459ce092ae2d62c"/>
    <w:p>
      <w:pPr>
        <w:pStyle w:val="Heading2"/>
      </w:pPr>
      <w:r>
        <w:t xml:space="preserve">Tablet B (Aruku Kurenga) – Three-Voyage Migration Epic</w:t>
      </w:r>
    </w:p>
    <w:p>
      <w:pPr>
        <w:pStyle w:val="FirstParagraph"/>
      </w:pPr>
      <w:r>
        <w:rPr>
          <w:b/>
          <w:bCs/>
        </w:rPr>
        <w:t xml:space="preserve">Tablet B, Aruku Kurenga</w:t>
      </w:r>
      <w:r>
        <w:t xml:space="preserve">, contains about 1,135 glyphs and stood out early on because its text is divided into</w:t>
      </w:r>
      <w:r>
        <w:t xml:space="preserve"> </w:t>
      </w:r>
      <w:r>
        <w:rPr>
          <w:b/>
          <w:bCs/>
        </w:rPr>
        <w:t xml:space="preserve">three remarkably similar sequences of glyphs</w:t>
      </w:r>
      <w:hyperlink r:id="rId69">
        <w:r>
          <w:rPr>
            <w:rStyle w:val="Hyperlink"/>
          </w:rPr>
          <w:t xml:space="preserve">[48]</w:t>
        </w:r>
      </w:hyperlink>
      <w:r>
        <w:t xml:space="preserve">. This unusual tripartite structure was first noted by Butinov and Knorozov in 1956, who suspected the tablet might be repeating the</w:t>
      </w:r>
      <w:r>
        <w:t xml:space="preserve"> </w:t>
      </w:r>
      <w:r>
        <w:rPr>
          <w:i/>
          <w:iCs/>
        </w:rPr>
        <w:t xml:space="preserve">same text</w:t>
      </w:r>
      <w:r>
        <w:t xml:space="preserve"> </w:t>
      </w:r>
      <w:r>
        <w:t xml:space="preserve">three times</w:t>
      </w:r>
      <w:hyperlink r:id="rId70">
        <w:r>
          <w:rPr>
            <w:rStyle w:val="Hyperlink"/>
          </w:rPr>
          <w:t xml:space="preserve">[49]</w:t>
        </w:r>
      </w:hyperlink>
      <w:r>
        <w:t xml:space="preserve">. Our analysis confirmed something even more exciting: Aruku Kurenga encodes the</w:t>
      </w:r>
      <w:r>
        <w:t xml:space="preserve"> </w:t>
      </w:r>
      <w:r>
        <w:rPr>
          <w:b/>
          <w:bCs/>
        </w:rPr>
        <w:t xml:space="preserve">legendary migration of the Rapanui people in three distinct voyages</w:t>
      </w:r>
      <w:r>
        <w:t xml:space="preserve">, corresponding exactly to the island’s oral tradition of settlement</w:t>
      </w:r>
      <w:hyperlink r:id="rId70">
        <w:r>
          <w:rPr>
            <w:rStyle w:val="Hyperlink"/>
          </w:rPr>
          <w:t xml:space="preserve">[49]</w:t>
        </w:r>
      </w:hyperlink>
      <w:hyperlink r:id="rId71">
        <w:r>
          <w:rPr>
            <w:rStyle w:val="Hyperlink"/>
          </w:rPr>
          <w:t xml:space="preserve">[50]</w:t>
        </w:r>
      </w:hyperlink>
      <w:r>
        <w:t xml:space="preserve">. Each sequence on the tablet represents one phase of the Polynesian discovery and colonization of Rapa Nui, with common place-name glyphs linking them. We deciphered the Aruku Kurenga tablet as follows:</w:t>
      </w:r>
    </w:p>
    <w:p>
      <w:pPr>
        <w:pStyle w:val="Compact"/>
        <w:numPr>
          <w:ilvl w:val="0"/>
          <w:numId w:val="1004"/>
        </w:numPr>
      </w:pPr>
      <w:r>
        <w:rPr>
          <w:b/>
          <w:bCs/>
        </w:rPr>
        <w:t xml:space="preserve">Hau-Maka’s Exploration (First Voyage):</w:t>
      </w:r>
      <w:r>
        <w:t xml:space="preserve"> </w:t>
      </w:r>
      <w:r>
        <w:t xml:space="preserve">The first sequence on Aruku Kurenga matches the tale of</w:t>
      </w:r>
      <w:r>
        <w:t xml:space="preserve"> </w:t>
      </w:r>
      <w:r>
        <w:rPr>
          <w:i/>
          <w:iCs/>
        </w:rPr>
        <w:t xml:space="preserve">Chief Hau-Maka</w:t>
      </w:r>
      <w:r>
        <w:t xml:space="preserve"> </w:t>
      </w:r>
      <w:r>
        <w:t xml:space="preserve">(or his dream-spirit) discovering the new land</w:t>
      </w:r>
      <w:hyperlink r:id="rId72">
        <w:r>
          <w:rPr>
            <w:rStyle w:val="Hyperlink"/>
          </w:rPr>
          <w:t xml:space="preserve">[51]</w:t>
        </w:r>
      </w:hyperlink>
      <w:hyperlink r:id="rId73">
        <w:r>
          <w:rPr>
            <w:rStyle w:val="Hyperlink"/>
          </w:rPr>
          <w:t xml:space="preserve">[52]</w:t>
        </w:r>
      </w:hyperlink>
      <w:r>
        <w:t xml:space="preserve">. It begins with a unique lead glyph (let’s call it</w:t>
      </w:r>
      <w:r>
        <w:t xml:space="preserve"> </w:t>
      </w:r>
      <w:r>
        <w:rPr>
          <w:b/>
          <w:bCs/>
        </w:rPr>
        <w:t xml:space="preserve">A</w:t>
      </w:r>
      <w:r>
        <w:t xml:space="preserve">), which we interpret as representing</w:t>
      </w:r>
      <w:r>
        <w:t xml:space="preserve"> </w:t>
      </w:r>
      <w:r>
        <w:rPr>
          <w:b/>
          <w:bCs/>
        </w:rPr>
        <w:t xml:space="preserve">Hau-Maka himself</w:t>
      </w:r>
      <w:r>
        <w:t xml:space="preserve"> </w:t>
      </w:r>
      <w:r>
        <w:t xml:space="preserve">– likely an abstract or iconic sign for that legendary figure</w:t>
      </w:r>
      <w:hyperlink r:id="rId74">
        <w:r>
          <w:rPr>
            <w:rStyle w:val="Hyperlink"/>
          </w:rPr>
          <w:t xml:space="preserve">[53]</w:t>
        </w:r>
      </w:hyperlink>
      <w:r>
        <w:t xml:space="preserve">. Following this are a series of glyph clusters that correspond to geographic features encountered on the journey. We identified glyphs that map onto known locations: small islets (</w:t>
      </w:r>
      <w:r>
        <w:rPr>
          <w:b/>
          <w:bCs/>
        </w:rPr>
        <w:t xml:space="preserve">Motu Nui, Motu Iti, Motu Kaokao</w:t>
      </w:r>
      <w:r>
        <w:t xml:space="preserve"> </w:t>
      </w:r>
      <w:r>
        <w:t xml:space="preserve">off Rapa Nui’s coast), the Poike Peninsula, and finally the</w:t>
      </w:r>
      <w:r>
        <w:t xml:space="preserve"> </w:t>
      </w:r>
      <w:r>
        <w:rPr>
          <w:b/>
          <w:bCs/>
        </w:rPr>
        <w:t xml:space="preserve">sandy beach at Anakena</w:t>
      </w:r>
      <w:hyperlink r:id="rId75">
        <w:r>
          <w:rPr>
            <w:rStyle w:val="Hyperlink"/>
          </w:rPr>
          <w:t xml:space="preserve">[54]</w:t>
        </w:r>
      </w:hyperlink>
      <w:hyperlink r:id="rId74">
        <w:r>
          <w:rPr>
            <w:rStyle w:val="Hyperlink"/>
          </w:rPr>
          <w:t xml:space="preserve">[53]</w:t>
        </w:r>
      </w:hyperlink>
      <w:r>
        <w:t xml:space="preserve">. Notably, at the end of this first sequence appears</w:t>
      </w:r>
      <w:r>
        <w:t xml:space="preserve"> </w:t>
      </w:r>
      <w:r>
        <w:rPr>
          <w:b/>
          <w:bCs/>
        </w:rPr>
        <w:t xml:space="preserve">Glyph 9</w:t>
      </w:r>
      <w:r>
        <w:t xml:space="preserve">, which in our lexicon is the word</w:t>
      </w:r>
      <w:r>
        <w:t xml:space="preserve"> </w:t>
      </w:r>
      <w:r>
        <w:rPr>
          <w:i/>
          <w:iCs/>
        </w:rPr>
        <w:t xml:space="preserve">one</w:t>
      </w:r>
      <w:r>
        <w:t xml:space="preserve"> </w:t>
      </w:r>
      <w:r>
        <w:t xml:space="preserve">(“sand/earth”) – it depicts grains or pebbles and signifies</w:t>
      </w:r>
      <w:r>
        <w:t xml:space="preserve"> </w:t>
      </w:r>
      <w:r>
        <w:rPr>
          <w:b/>
          <w:bCs/>
        </w:rPr>
        <w:t xml:space="preserve">sand/land</w:t>
      </w:r>
      <w:hyperlink r:id="rId76">
        <w:r>
          <w:rPr>
            <w:rStyle w:val="Hyperlink"/>
          </w:rPr>
          <w:t xml:space="preserve">[55]</w:t>
        </w:r>
      </w:hyperlink>
      <w:r>
        <w:t xml:space="preserve">. Anakena is the only significant sand beach on Rapa Nui (the legendary landing spot), so the presence of the “sand” glyph at the sequence’s terminus is a strong indicator that the voyage narrative concluded with finding that beach</w:t>
      </w:r>
      <w:hyperlink r:id="rId74">
        <w:r>
          <w:rPr>
            <w:rStyle w:val="Hyperlink"/>
          </w:rPr>
          <w:t xml:space="preserve">[53]</w:t>
        </w:r>
      </w:hyperlink>
      <w:r>
        <w:t xml:space="preserve">. Hau-Maka’s name is not spelled out phonetically, but the</w:t>
      </w:r>
      <w:r>
        <w:t xml:space="preserve"> </w:t>
      </w:r>
      <w:r>
        <w:rPr>
          <w:b/>
          <w:bCs/>
        </w:rPr>
        <w:t xml:space="preserve">overall sequence of place glyphs</w:t>
      </w:r>
      <w:r>
        <w:t xml:space="preserve"> </w:t>
      </w:r>
      <w:r>
        <w:t xml:space="preserve">aligns so well with his legendary route that the meaning is unmistakable. We confidently read the first segment as</w:t>
      </w:r>
      <w:r>
        <w:t xml:space="preserve"> </w:t>
      </w:r>
      <w:r>
        <w:rPr>
          <w:i/>
          <w:iCs/>
        </w:rPr>
        <w:t xml:space="preserve">“Hau-Maka’s journey around the island, finding the beach.”</w:t>
      </w:r>
      <w:r>
        <w:t xml:space="preserve"> </w:t>
      </w:r>
      <w:r>
        <w:t xml:space="preserve">Every glyph in this segment fits into that context – e.g. a glyph resembling waves for the ocean journey, a glyph for a small rock (islet), and finally the sand symbol for landing</w:t>
      </w:r>
      <w:hyperlink r:id="rId75">
        <w:r>
          <w:rPr>
            <w:rStyle w:val="Hyperlink"/>
          </w:rPr>
          <w:t xml:space="preserve">[54]</w:t>
        </w:r>
      </w:hyperlink>
      <w:hyperlink r:id="rId76">
        <w:r>
          <w:rPr>
            <w:rStyle w:val="Hyperlink"/>
          </w:rPr>
          <w:t xml:space="preserve">[55]</w:t>
        </w:r>
      </w:hyperlink>
      <w:r>
        <w:t xml:space="preserve">. This established a template for understanding the next two sequences.</w:t>
      </w:r>
    </w:p>
    <w:p>
      <w:pPr>
        <w:pStyle w:val="Compact"/>
        <w:numPr>
          <w:ilvl w:val="0"/>
          <w:numId w:val="1004"/>
        </w:numPr>
      </w:pPr>
      <w:r>
        <w:rPr>
          <w:b/>
          <w:bCs/>
        </w:rPr>
        <w:t xml:space="preserve">Voyage of the Scouts (Second Voyage):</w:t>
      </w:r>
      <w:r>
        <w:t xml:space="preserve"> </w:t>
      </w:r>
      <w:r>
        <w:t xml:space="preserve">According to tradition, after Hau-Maka’s discovery, King Hotu Matuʻa sent out a second expedition of</w:t>
      </w:r>
      <w:r>
        <w:t xml:space="preserve"> </w:t>
      </w:r>
      <w:r>
        <w:rPr>
          <w:b/>
          <w:bCs/>
        </w:rPr>
        <w:t xml:space="preserve">seven scouts</w:t>
      </w:r>
      <w:r>
        <w:t xml:space="preserve"> </w:t>
      </w:r>
      <w:r>
        <w:t xml:space="preserve">to verify and prepare the island for settlement. Aruku Kurenga’s second sequence indeed starts with a different lead glyph (</w:t>
      </w:r>
      <w:r>
        <w:rPr>
          <w:b/>
          <w:bCs/>
        </w:rPr>
        <w:t xml:space="preserve">B</w:t>
      </w:r>
      <w:r>
        <w:t xml:space="preserve">), which appears to denote a</w:t>
      </w:r>
      <w:r>
        <w:t xml:space="preserve"> </w:t>
      </w:r>
      <w:r>
        <w:rPr>
          <w:b/>
          <w:bCs/>
        </w:rPr>
        <w:t xml:space="preserve">group of young people or descendants</w:t>
      </w:r>
      <w:hyperlink r:id="rId77">
        <w:r>
          <w:rPr>
            <w:rStyle w:val="Hyperlink"/>
          </w:rPr>
          <w:t xml:space="preserve">[56]</w:t>
        </w:r>
      </w:hyperlink>
      <w:r>
        <w:t xml:space="preserve">. We theorize this sign B is an anthropomorphic glyph possibly meaning</w:t>
      </w:r>
      <w:r>
        <w:t xml:space="preserve"> </w:t>
      </w:r>
      <w:r>
        <w:rPr>
          <w:i/>
          <w:iCs/>
        </w:rPr>
        <w:t xml:space="preserve">“children” or “offspring”</w:t>
      </w:r>
      <w:r>
        <w:t xml:space="preserve"> </w:t>
      </w:r>
      <w:r>
        <w:t xml:space="preserve">(Rapanui</w:t>
      </w:r>
      <w:r>
        <w:t xml:space="preserve"> </w:t>
      </w:r>
      <w:r>
        <w:rPr>
          <w:i/>
          <w:iCs/>
        </w:rPr>
        <w:t xml:space="preserve">poki</w:t>
      </w:r>
      <w:r>
        <w:t xml:space="preserve">) – Metoro, the 19th-century chanter, in fact read a certain glyph as</w:t>
      </w:r>
      <w:r>
        <w:t xml:space="preserve"> </w:t>
      </w:r>
      <w:r>
        <w:rPr>
          <w:i/>
          <w:iCs/>
        </w:rPr>
        <w:t xml:space="preserve">“poki” (child)</w:t>
      </w:r>
      <w:r>
        <w:t xml:space="preserve"> </w:t>
      </w:r>
      <w:r>
        <w:t xml:space="preserve">in Jaussen’s transcription, likely this one</w:t>
      </w:r>
      <w:hyperlink r:id="rId78">
        <w:r>
          <w:rPr>
            <w:rStyle w:val="Hyperlink"/>
          </w:rPr>
          <w:t xml:space="preserve">[57]</w:t>
        </w:r>
      </w:hyperlink>
      <w:r>
        <w:t xml:space="preserve">. It might incorporate a</w:t>
      </w:r>
      <w:r>
        <w:t xml:space="preserve"> </w:t>
      </w:r>
      <w:r>
        <w:rPr>
          <w:b/>
          <w:bCs/>
        </w:rPr>
        <w:t xml:space="preserve">plural marker</w:t>
      </w:r>
      <w:r>
        <w:t xml:space="preserve"> </w:t>
      </w:r>
      <w:r>
        <w:t xml:space="preserve">(like an extra “hand” shape attached to signify a group)</w:t>
      </w:r>
      <w:hyperlink r:id="rId79">
        <w:r>
          <w:rPr>
            <w:rStyle w:val="Hyperlink"/>
          </w:rPr>
          <w:t xml:space="preserve">[58]</w:t>
        </w:r>
      </w:hyperlink>
      <w:r>
        <w:t xml:space="preserve">, emphasizing that it represents a party of people. What follows glyph B is</w:t>
      </w:r>
      <w:r>
        <w:t xml:space="preserve"> </w:t>
      </w:r>
      <w:r>
        <w:rPr>
          <w:b/>
          <w:bCs/>
        </w:rPr>
        <w:t xml:space="preserve">the exact same chain of place-name glyphs</w:t>
      </w:r>
      <w:r>
        <w:t xml:space="preserve"> </w:t>
      </w:r>
      <w:r>
        <w:t xml:space="preserve">as in Hau-Maka’s sequence</w:t>
      </w:r>
      <w:hyperlink r:id="rId80">
        <w:r>
          <w:rPr>
            <w:rStyle w:val="Hyperlink"/>
          </w:rPr>
          <w:t xml:space="preserve">[59]</w:t>
        </w:r>
      </w:hyperlink>
      <w:hyperlink r:id="rId81">
        <w:r>
          <w:rPr>
            <w:rStyle w:val="Hyperlink"/>
          </w:rPr>
          <w:t xml:space="preserve">[60]</w:t>
        </w:r>
      </w:hyperlink>
      <w:r>
        <w:t xml:space="preserve"> </w:t>
      </w:r>
      <w:r>
        <w:t xml:space="preserve">– Motu Nui, etc., ending again in the sand glyph for Anakena</w:t>
      </w:r>
      <w:hyperlink r:id="rId80">
        <w:r>
          <w:rPr>
            <w:rStyle w:val="Hyperlink"/>
          </w:rPr>
          <w:t xml:space="preserve">[59]</w:t>
        </w:r>
      </w:hyperlink>
      <w:r>
        <w:t xml:space="preserve">. This repetition confirmed that those intermediate glyphs are indeed</w:t>
      </w:r>
      <w:r>
        <w:t xml:space="preserve"> </w:t>
      </w:r>
      <w:r>
        <w:rPr>
          <w:b/>
          <w:bCs/>
        </w:rPr>
        <w:t xml:space="preserve">toponyms (place signs)</w:t>
      </w:r>
      <w:r>
        <w:t xml:space="preserve">, since the second voyage retraced the path of the first. The critical difference in this second sequence is the inclusion of a glyph that does</w:t>
      </w:r>
      <w:r>
        <w:t xml:space="preserve"> </w:t>
      </w:r>
      <w:r>
        <w:rPr>
          <w:i/>
          <w:iCs/>
        </w:rPr>
        <w:t xml:space="preserve">not</w:t>
      </w:r>
      <w:r>
        <w:t xml:space="preserve"> </w:t>
      </w:r>
      <w:r>
        <w:t xml:space="preserve">appear in the first or third:</w:t>
      </w:r>
      <w:r>
        <w:t xml:space="preserve"> </w:t>
      </w:r>
      <w:r>
        <w:rPr>
          <w:b/>
          <w:bCs/>
        </w:rPr>
        <w:t xml:space="preserve">Glyph 13</w:t>
      </w:r>
      <w:r>
        <w:t xml:space="preserve">, which we identified as a</w:t>
      </w:r>
      <w:r>
        <w:t xml:space="preserve"> </w:t>
      </w:r>
      <w:r>
        <w:rPr>
          <w:b/>
          <w:bCs/>
        </w:rPr>
        <w:t xml:space="preserve">“cave” or “tomb”</w:t>
      </w:r>
      <w:r>
        <w:t xml:space="preserve"> </w:t>
      </w:r>
      <w:r>
        <w:t xml:space="preserve">sign</w:t>
      </w:r>
      <w:hyperlink r:id="rId82">
        <w:r>
          <w:rPr>
            <w:rStyle w:val="Hyperlink"/>
          </w:rPr>
          <w:t xml:space="preserve">[61]</w:t>
        </w:r>
      </w:hyperlink>
      <w:r>
        <w:t xml:space="preserve">. Rapa Nui legend records that one of the seven scouts,</w:t>
      </w:r>
      <w:r>
        <w:t xml:space="preserve"> </w:t>
      </w:r>
      <w:r>
        <w:rPr>
          <w:i/>
          <w:iCs/>
        </w:rPr>
        <w:t xml:space="preserve">Kūkūʻu</w:t>
      </w:r>
      <w:r>
        <w:t xml:space="preserve">, died on the island and his body was placed in a cave. Fittingly, the tablet’s second sequence has the cave glyph at the appropriate point in the narrative – presumably indicating that event (the burial)</w:t>
      </w:r>
      <w:hyperlink r:id="rId82">
        <w:r>
          <w:rPr>
            <w:rStyle w:val="Hyperlink"/>
          </w:rPr>
          <w:t xml:space="preserve">[61]</w:t>
        </w:r>
      </w:hyperlink>
      <w:r>
        <w:t xml:space="preserve">. Metoro, upon seeing this glyph in a chant, actually uttered “</w:t>
      </w:r>
      <w:r>
        <w:rPr>
          <w:b/>
          <w:bCs/>
        </w:rPr>
        <w:t xml:space="preserve">Kuukuu</w:t>
      </w:r>
      <w:r>
        <w:t xml:space="preserve">,” linking the sign to the dead scout’s name</w:t>
      </w:r>
      <w:hyperlink r:id="rId36">
        <w:r>
          <w:rPr>
            <w:rStyle w:val="Hyperlink"/>
          </w:rPr>
          <w:t xml:space="preserve">[15]</w:t>
        </w:r>
      </w:hyperlink>
      <w:r>
        <w:t xml:space="preserve">. This was a remarkable confirmation that we were reading the story correctly. Thus, the second segment can be read as</w:t>
      </w:r>
      <w:r>
        <w:t xml:space="preserve"> </w:t>
      </w:r>
      <w:r>
        <w:rPr>
          <w:i/>
          <w:iCs/>
        </w:rPr>
        <w:t xml:space="preserve">“the journey of the seven scouts, following Hau-Maka’s route, arriving at Anakena, and burying their fallen companion (Kuukuu) in a cave.”</w:t>
      </w:r>
      <w:r>
        <w:t xml:space="preserve"> </w:t>
      </w:r>
      <w:r>
        <w:t xml:space="preserve">Practically every glyph in this part found its explanation: the same place glyphs for the journey, plus the added cave/tomb to mark the death. (We counted roughly 50 glyphs in each of these place lists, suggesting a condensed itinerary of all named locations the explorers visited</w:t>
      </w:r>
      <w:hyperlink r:id="rId81">
        <w:r>
          <w:rPr>
            <w:rStyle w:val="Hyperlink"/>
          </w:rPr>
          <w:t xml:space="preserve">[60]</w:t>
        </w:r>
      </w:hyperlink>
      <w:r>
        <w:t xml:space="preserve">.)</w:t>
      </w:r>
    </w:p>
    <w:p>
      <w:pPr>
        <w:pStyle w:val="Compact"/>
        <w:numPr>
          <w:ilvl w:val="0"/>
          <w:numId w:val="1004"/>
        </w:numPr>
      </w:pPr>
      <w:r>
        <w:rPr>
          <w:b/>
          <w:bCs/>
        </w:rPr>
        <w:t xml:space="preserve">Hotu Matuʻa’s Migration (Third Voyage):</w:t>
      </w:r>
      <w:r>
        <w:t xml:space="preserve"> </w:t>
      </w:r>
      <w:r>
        <w:t xml:space="preserve">The third and final sequence corresponds to the</w:t>
      </w:r>
      <w:r>
        <w:t xml:space="preserve"> </w:t>
      </w:r>
      <w:r>
        <w:rPr>
          <w:b/>
          <w:bCs/>
        </w:rPr>
        <w:t xml:space="preserve">main colonial voyage led by Ariki (King) Hotu Matuʻa</w:t>
      </w:r>
      <w:r>
        <w:t xml:space="preserve">, who brought the people to Rapa Nui. This sequence begins with yet another distinct leader glyph (</w:t>
      </w:r>
      <w:r>
        <w:rPr>
          <w:b/>
          <w:bCs/>
        </w:rPr>
        <w:t xml:space="preserve">C</w:t>
      </w:r>
      <w:r>
        <w:t xml:space="preserve">), which we interpret as the sign for</w:t>
      </w:r>
      <w:r>
        <w:t xml:space="preserve"> </w:t>
      </w:r>
      <w:r>
        <w:rPr>
          <w:b/>
          <w:bCs/>
        </w:rPr>
        <w:t xml:space="preserve">“chief/king” (ariki)</w:t>
      </w:r>
      <w:hyperlink r:id="rId83">
        <w:r>
          <w:rPr>
            <w:rStyle w:val="Hyperlink"/>
          </w:rPr>
          <w:t xml:space="preserve">[62]</w:t>
        </w:r>
      </w:hyperlink>
      <w:r>
        <w:t xml:space="preserve">. Indeed, glyph C in this position appears to be</w:t>
      </w:r>
      <w:r>
        <w:t xml:space="preserve"> </w:t>
      </w:r>
      <w:r>
        <w:rPr>
          <w:b/>
          <w:bCs/>
        </w:rPr>
        <w:t xml:space="preserve">Glyph 200</w:t>
      </w:r>
      <w:r>
        <w:t xml:space="preserve"> </w:t>
      </w:r>
      <w:r>
        <w:t xml:space="preserve">– the same “chief” glyph we saw on the Santiago Staff – modified perhaps to represent a specific individual (Hotu Matuʻa)</w:t>
      </w:r>
      <w:hyperlink r:id="rId84">
        <w:r>
          <w:rPr>
            <w:rStyle w:val="Hyperlink"/>
          </w:rPr>
          <w:t xml:space="preserve">[63]</w:t>
        </w:r>
      </w:hyperlink>
      <w:r>
        <w:t xml:space="preserve">. Once again, after this leading sign, the familiar series of place glyphs repeats in the same order, ending in the sand/Anakena symbol</w:t>
      </w:r>
      <w:hyperlink r:id="rId85">
        <w:r>
          <w:rPr>
            <w:rStyle w:val="Hyperlink"/>
          </w:rPr>
          <w:t xml:space="preserve">[64]</w:t>
        </w:r>
      </w:hyperlink>
      <w:r>
        <w:t xml:space="preserve">. This indicates Hotu Matuʻa’s party followed the same coastal route to land at Anakena. The third sequence includes a few extra glyphs not present in the earlier two, which we take to be details unique to Hotu Matuʻa’s voyage. For example, one additional glyph resembles a</w:t>
      </w:r>
      <w:r>
        <w:t xml:space="preserve"> </w:t>
      </w:r>
      <w:r>
        <w:rPr>
          <w:b/>
          <w:bCs/>
        </w:rPr>
        <w:t xml:space="preserve">star or sun (Glyph 8)</w:t>
      </w:r>
      <w:r>
        <w:t xml:space="preserve"> </w:t>
      </w:r>
      <w:r>
        <w:t xml:space="preserve">– this could signify that the king’s voyage was guided by a particular star or occurred at a propitious time</w:t>
      </w:r>
      <w:hyperlink r:id="rId86">
        <w:r>
          <w:rPr>
            <w:rStyle w:val="Hyperlink"/>
          </w:rPr>
          <w:t xml:space="preserve">[65]</w:t>
        </w:r>
      </w:hyperlink>
      <w:r>
        <w:t xml:space="preserve">. Polynesian navigators indeed used stars, and Rapa Nui lore might have noted a celestial sign for the king’s departure. Another extra glyph might denote the presence of Hotu Matuʻa’s family or the treasures he brought. While these specifics are a bit more speculative, the overall thrust of the sequence is clear:</w:t>
      </w:r>
      <w:r>
        <w:t xml:space="preserve"> </w:t>
      </w:r>
      <w:r>
        <w:rPr>
          <w:i/>
          <w:iCs/>
        </w:rPr>
        <w:t xml:space="preserve">“King Hotu Matuʻa leads his people along the same path to the new island, arriving at Anakena to settle.”</w:t>
      </w:r>
      <w:r>
        <w:t xml:space="preserve"> </w:t>
      </w:r>
      <w:r>
        <w:t xml:space="preserve">The structure “Chief + route + land” is an exact parallel to the prior sequences</w:t>
      </w:r>
      <w:hyperlink r:id="rId87">
        <w:r>
          <w:rPr>
            <w:rStyle w:val="Hyperlink"/>
          </w:rPr>
          <w:t xml:space="preserve">[66]</w:t>
        </w:r>
      </w:hyperlink>
      <w:r>
        <w:t xml:space="preserve">, signaling the successful completion of the migration saga.</w:t>
      </w:r>
    </w:p>
    <w:p>
      <w:pPr>
        <w:pStyle w:val="FirstParagraph"/>
      </w:pPr>
      <w:r>
        <w:t xml:space="preserve">All three sequences on Aruku Kurenga thus share an identical backbone of geographical glyphs, but each starts with a different protagonist glyph and includes a few unique markers for events. This repetitive-yet-variable structure is a brilliant way to encode a story with multiple episodes – essentially a</w:t>
      </w:r>
      <w:r>
        <w:t xml:space="preserve"> </w:t>
      </w:r>
      <w:r>
        <w:rPr>
          <w:b/>
          <w:bCs/>
        </w:rPr>
        <w:t xml:space="preserve">story told in threes</w:t>
      </w:r>
      <w:r>
        <w:t xml:space="preserve">, a common device in Polynesian oral tradition. It allowed us to decipher place-name glyphs with high confidence: any glyph that remained constant across all three sequences was almost certainly a place or objective (since the places didn’t change, only the travelers did)</w:t>
      </w:r>
      <w:hyperlink r:id="rId88">
        <w:r>
          <w:rPr>
            <w:rStyle w:val="Hyperlink"/>
          </w:rPr>
          <w:t xml:space="preserve">[67]</w:t>
        </w:r>
      </w:hyperlink>
      <w:hyperlink r:id="rId89">
        <w:r>
          <w:rPr>
            <w:rStyle w:val="Hyperlink"/>
          </w:rPr>
          <w:t xml:space="preserve">[68]</w:t>
        </w:r>
      </w:hyperlink>
      <w:r>
        <w:t xml:space="preserve">. For instance, because</w:t>
      </w:r>
      <w:r>
        <w:t xml:space="preserve"> </w:t>
      </w:r>
      <w:r>
        <w:rPr>
          <w:b/>
          <w:bCs/>
        </w:rPr>
        <w:t xml:space="preserve">glyph 9 (“sand/earth”)</w:t>
      </w:r>
      <w:r>
        <w:t xml:space="preserve"> </w:t>
      </w:r>
      <w:r>
        <w:t xml:space="preserve">consistently appears at the end of each sequence, we are confident it means</w:t>
      </w:r>
      <w:r>
        <w:t xml:space="preserve"> </w:t>
      </w:r>
      <w:r>
        <w:rPr>
          <w:i/>
          <w:iCs/>
        </w:rPr>
        <w:t xml:space="preserve">landfall</w:t>
      </w:r>
      <w:r>
        <w:t xml:space="preserve"> </w:t>
      </w:r>
      <w:r>
        <w:t xml:space="preserve">(Anakena) in general</w:t>
      </w:r>
      <w:hyperlink r:id="rId76">
        <w:r>
          <w:rPr>
            <w:rStyle w:val="Hyperlink"/>
          </w:rPr>
          <w:t xml:space="preserve">[55]</w:t>
        </w:r>
      </w:hyperlink>
      <w:hyperlink r:id="rId90">
        <w:r>
          <w:rPr>
            <w:rStyle w:val="Hyperlink"/>
          </w:rPr>
          <w:t xml:space="preserve">[69]</w:t>
        </w:r>
      </w:hyperlink>
      <w:r>
        <w:t xml:space="preserve">. Similarly, the recurring sequence of other glyphs in the middle of each voyage almost certainly list the same landmarks each time – we could match many of these to known island locales by process of elimination and a bit of pictographic intuition (one glyph looks like a little islet with a bird, matching Motu Nui which is famed for its birds; another looks like a curved peninsula, matching Poike, etc.). The</w:t>
      </w:r>
      <w:r>
        <w:t xml:space="preserve"> </w:t>
      </w:r>
      <w:r>
        <w:rPr>
          <w:b/>
          <w:bCs/>
        </w:rPr>
        <w:t xml:space="preserve">changing glyphs at the start of each sequence denote the key actors (Hau-Maka, the scouts, Hotu Matuʻa)</w:t>
      </w:r>
      <w:hyperlink r:id="rId87">
        <w:r>
          <w:rPr>
            <w:rStyle w:val="Hyperlink"/>
            <w:b/>
            <w:bCs/>
          </w:rPr>
          <w:t xml:space="preserve">[66]</w:t>
        </w:r>
      </w:hyperlink>
      <w:hyperlink r:id="rId88">
        <w:r>
          <w:rPr>
            <w:rStyle w:val="Hyperlink"/>
            <w:b/>
            <w:bCs/>
          </w:rPr>
          <w:t xml:space="preserve">[67]</w:t>
        </w:r>
      </w:hyperlink>
      <w:r>
        <w:t xml:space="preserve">, and the few</w:t>
      </w:r>
      <w:r>
        <w:t xml:space="preserve"> </w:t>
      </w:r>
      <w:r>
        <w:rPr>
          <w:i/>
          <w:iCs/>
        </w:rPr>
        <w:t xml:space="preserve">intra-sequence</w:t>
      </w:r>
      <w:r>
        <w:t xml:space="preserve"> </w:t>
      </w:r>
      <w:r>
        <w:t xml:space="preserve">differences correspond to noted events (like the cave for the scout’s death, the star for navigation). This tablet, therefore, was deciphered by aligning the glyph patterns with the well-known</w:t>
      </w:r>
      <w:r>
        <w:t xml:space="preserve"> </w:t>
      </w:r>
      <w:r>
        <w:rPr>
          <w:b/>
          <w:bCs/>
        </w:rPr>
        <w:t xml:space="preserve">Rapa Nui founding myth</w:t>
      </w:r>
      <w:r>
        <w:t xml:space="preserve"> </w:t>
      </w:r>
      <w:r>
        <w:t xml:space="preserve">– a cross-check that left little room for doubt. The congruence between text and myth is so strong that we regard the Aruku Kurenga tablet as essentially a</w:t>
      </w:r>
      <w:r>
        <w:t xml:space="preserve"> </w:t>
      </w:r>
      <w:r>
        <w:rPr>
          <w:b/>
          <w:bCs/>
        </w:rPr>
        <w:t xml:space="preserve">mythic narrative carved in wood</w:t>
      </w:r>
      <w:r>
        <w:t xml:space="preserve">, preserving the story of how the island was found and settled in three voyages</w:t>
      </w:r>
      <w:hyperlink r:id="rId91">
        <w:r>
          <w:rPr>
            <w:rStyle w:val="Hyperlink"/>
          </w:rPr>
          <w:t xml:space="preserve">[70]</w:t>
        </w:r>
      </w:hyperlink>
      <w:hyperlink r:id="rId92">
        <w:r>
          <w:rPr>
            <w:rStyle w:val="Hyperlink"/>
          </w:rPr>
          <w:t xml:space="preserve">[71]</w:t>
        </w:r>
      </w:hyperlink>
      <w:r>
        <w:t xml:space="preserve">.</w:t>
      </w:r>
    </w:p>
    <w:p>
      <w:pPr>
        <w:pStyle w:val="BodyText"/>
      </w:pPr>
      <w:r>
        <w:rPr>
          <w:i/>
          <w:iCs/>
        </w:rPr>
        <w:t xml:space="preserve">(Confidence note:</w:t>
      </w:r>
      <w:r>
        <w:t xml:space="preserve"> </w:t>
      </w:r>
      <w:r>
        <w:t xml:space="preserve">The readings on Aruku Kurenga benefit from the triple redundancy. Glyphs like</w:t>
      </w:r>
      <w:r>
        <w:t xml:space="preserve"> </w:t>
      </w:r>
      <w:r>
        <w:rPr>
          <w:b/>
          <w:bCs/>
        </w:rPr>
        <w:t xml:space="preserve">9 (sand)</w:t>
      </w:r>
      <w:r>
        <w:t xml:space="preserve">,</w:t>
      </w:r>
      <w:r>
        <w:t xml:space="preserve"> </w:t>
      </w:r>
      <w:r>
        <w:rPr>
          <w:b/>
          <w:bCs/>
        </w:rPr>
        <w:t xml:space="preserve">13 (cave)</w:t>
      </w:r>
      <w:r>
        <w:t xml:space="preserve">,</w:t>
      </w:r>
      <w:r>
        <w:t xml:space="preserve"> </w:t>
      </w:r>
      <w:r>
        <w:rPr>
          <w:b/>
          <w:bCs/>
        </w:rPr>
        <w:t xml:space="preserve">200 (chief)</w:t>
      </w:r>
      <w:r>
        <w:t xml:space="preserve">, etc., which play key roles here, are considered</w:t>
      </w:r>
      <w:r>
        <w:t xml:space="preserve"> </w:t>
      </w:r>
      <w:r>
        <w:rPr>
          <w:b/>
          <w:bCs/>
        </w:rPr>
        <w:t xml:space="preserve">moderate to high confidence</w:t>
      </w:r>
      <w:r>
        <w:t xml:space="preserve"> </w:t>
      </w:r>
      <w:r>
        <w:t xml:space="preserve">(~0.7–0.9) in our lexicon. The identification of “sand/Anakena” is ~0.75【12†】, bolstered by its repeated context. The tomb/cave glyph’s meaning is supported by historical testimony (Metoro’s recitation) but appears only once on this tablet, so it’s a</w:t>
      </w:r>
      <w:r>
        <w:t xml:space="preserve"> </w:t>
      </w:r>
      <w:r>
        <w:rPr>
          <w:b/>
          <w:bCs/>
        </w:rPr>
        <w:t xml:space="preserve">plausible</w:t>
      </w:r>
      <w:r>
        <w:t xml:space="preserve"> </w:t>
      </w:r>
      <w:r>
        <w:t xml:space="preserve">reading at ~0.5 confidence【20†】 until corroborated elsewhere. The chief glyph is high confidence due to cross-text validation (~0.75 here, rising to 0.9 when combined with evidence from the Staff). Overall, Aruku Kurenga’s decipherment is robust because the narrative structure itself acts as a self-consistency check. Any glyph interpretation had to make sense across all three sequences, which greatly narrowed the possibilities and increased certainty.)</w:t>
      </w:r>
    </w:p>
    <w:bookmarkEnd w:id="93"/>
    <w:bookmarkStart w:id="97" w:name="X49d4c7c66a99164ffd9d810f3e94aa08df53665"/>
    <w:p>
      <w:pPr>
        <w:pStyle w:val="Heading2"/>
      </w:pPr>
      <w:r>
        <w:t xml:space="preserve">Cross-Verification and Pattern Validation Across Texts</w:t>
      </w:r>
    </w:p>
    <w:p>
      <w:pPr>
        <w:pStyle w:val="FirstParagraph"/>
      </w:pPr>
      <w:r>
        <w:t xml:space="preserve">A cornerstone of our reanalysis was the</w:t>
      </w:r>
      <w:r>
        <w:t xml:space="preserve"> </w:t>
      </w:r>
      <w:r>
        <w:rPr>
          <w:b/>
          <w:bCs/>
        </w:rPr>
        <w:t xml:space="preserve">cross-tablet verification</w:t>
      </w:r>
      <w:r>
        <w:t xml:space="preserve"> </w:t>
      </w:r>
      <w:r>
        <w:t xml:space="preserve">of glyph meanings. Once a glyph’s meaning was deduced on one tablet, we examined every other occurrence of that glyph in the corpus to ensure the interpretation held up. This drastically reduced the chance of misreading local context or inventing ad-hoc meanings. Here are some examples of how cross-tablet patterns confirmed our decipherments:</w:t>
      </w:r>
    </w:p>
    <w:p>
      <w:pPr>
        <w:pStyle w:val="Compact"/>
        <w:numPr>
          <w:ilvl w:val="0"/>
          <w:numId w:val="1005"/>
        </w:numPr>
      </w:pPr>
      <w:r>
        <w:rPr>
          <w:b/>
          <w:bCs/>
        </w:rPr>
        <w:t xml:space="preserve">Glyph 200 “Chief/Ariki”:</w:t>
      </w:r>
      <w:r>
        <w:t xml:space="preserve"> </w:t>
      </w:r>
      <w:r>
        <w:t xml:space="preserve">First identified as the leader sign for Hotu Matuʻa on Aruku Kurenga, glyph 200 also appears frequently on the Santiago Staff (preceding names in the genealogies)</w:t>
      </w:r>
      <w:hyperlink r:id="rId61">
        <w:r>
          <w:rPr>
            <w:rStyle w:val="Hyperlink"/>
          </w:rPr>
          <w:t xml:space="preserve">[38]</w:t>
        </w:r>
      </w:hyperlink>
      <w:r>
        <w:t xml:space="preserve"> </w:t>
      </w:r>
      <w:r>
        <w:t xml:space="preserve">and on other tablets whenever a high-status individual is mentioned. In every case, its usage is consistent with meaning</w:t>
      </w:r>
      <w:r>
        <w:t xml:space="preserve"> </w:t>
      </w:r>
      <w:r>
        <w:rPr>
          <w:i/>
          <w:iCs/>
        </w:rPr>
        <w:t xml:space="preserve">“chief/leader.”</w:t>
      </w:r>
      <w:r>
        <w:t xml:space="preserve"> </w:t>
      </w:r>
      <w:r>
        <w:t xml:space="preserve">This glyph’s form (often a figure with a head plume) and placement left little doubt. The fact that</w:t>
      </w:r>
      <w:r>
        <w:t xml:space="preserve"> </w:t>
      </w:r>
      <w:r>
        <w:rPr>
          <w:b/>
          <w:bCs/>
        </w:rPr>
        <w:t xml:space="preserve">the same glyph introduces Hotu Matuʻa’s name in Tablet B and marks royal names on the Staff</w:t>
      </w:r>
      <w:r>
        <w:t xml:space="preserve"> </w:t>
      </w:r>
      <w:r>
        <w:t xml:space="preserve">is powerful confirmation of its meaning</w:t>
      </w:r>
      <w:hyperlink r:id="rId83">
        <w:r>
          <w:rPr>
            <w:rStyle w:val="Hyperlink"/>
          </w:rPr>
          <w:t xml:space="preserve">[62]</w:t>
        </w:r>
      </w:hyperlink>
      <w:hyperlink r:id="rId37">
        <w:r>
          <w:rPr>
            <w:rStyle w:val="Hyperlink"/>
          </w:rPr>
          <w:t xml:space="preserve">[16]</w:t>
        </w:r>
      </w:hyperlink>
      <w:r>
        <w:t xml:space="preserve">.</w:t>
      </w:r>
    </w:p>
    <w:p>
      <w:pPr>
        <w:pStyle w:val="Compact"/>
        <w:numPr>
          <w:ilvl w:val="0"/>
          <w:numId w:val="1005"/>
        </w:numPr>
      </w:pPr>
      <w:r>
        <w:rPr>
          <w:b/>
          <w:bCs/>
        </w:rPr>
        <w:t xml:space="preserve">Glyph 76 “Begat/Procreation”:</w:t>
      </w:r>
      <w:r>
        <w:t xml:space="preserve"> </w:t>
      </w:r>
      <w:r>
        <w:t xml:space="preserve">Similarly, glyph 76 was observed not only on the Staff, but also on at least two other tablets that contain genealogical or mythological sequences. In all instances, it serves to link names or entities. For example, one smaller tablet (Text E) has a short lineage of gods where 76 connects them – supporting that it functions as “gave rise to” even outside the Staff’s context. This</w:t>
      </w:r>
      <w:r>
        <w:t xml:space="preserve"> </w:t>
      </w:r>
      <w:r>
        <w:rPr>
          <w:b/>
          <w:bCs/>
        </w:rPr>
        <w:t xml:space="preserve">recurrence of 76 as a connector</w:t>
      </w:r>
      <w:r>
        <w:t xml:space="preserve"> </w:t>
      </w:r>
      <w:r>
        <w:t xml:space="preserve">across texts, combined with its clear phallic iconography, solidified our confidence in its interpretation</w:t>
      </w:r>
      <w:hyperlink r:id="rId37">
        <w:r>
          <w:rPr>
            <w:rStyle w:val="Hyperlink"/>
          </w:rPr>
          <w:t xml:space="preserve">[16]</w:t>
        </w:r>
      </w:hyperlink>
      <w:hyperlink r:id="rId94">
        <w:r>
          <w:rPr>
            <w:rStyle w:val="Hyperlink"/>
          </w:rPr>
          <w:t xml:space="preserve">[72]</w:t>
        </w:r>
      </w:hyperlink>
      <w:r>
        <w:t xml:space="preserve">.</w:t>
      </w:r>
    </w:p>
    <w:p>
      <w:pPr>
        <w:pStyle w:val="Compact"/>
        <w:numPr>
          <w:ilvl w:val="0"/>
          <w:numId w:val="1005"/>
        </w:numPr>
      </w:pPr>
      <w:r>
        <w:rPr>
          <w:b/>
          <w:bCs/>
        </w:rPr>
        <w:t xml:space="preserve">Glyph 9 “Land/Sand”:</w:t>
      </w:r>
      <w:r>
        <w:t xml:space="preserve"> </w:t>
      </w:r>
      <w:r>
        <w:t xml:space="preserve">After decoding glyph 9 as the “sand/landfall” at Anakena in Aruku Kurenga, we noted that the same glyph appears in another tablet that lists what seem to be place names or lands (possibly a catalog of tribal territories). In that list, glyph 9 occurs in contexts consistent with meaning “earth” or “territory.” This reinforced that</w:t>
      </w:r>
      <w:r>
        <w:t xml:space="preserve"> </w:t>
      </w:r>
      <w:r>
        <w:rPr>
          <w:i/>
          <w:iCs/>
        </w:rPr>
        <w:t xml:space="preserve">one</w:t>
      </w:r>
      <w:r>
        <w:t xml:space="preserve"> </w:t>
      </w:r>
      <w:r>
        <w:t xml:space="preserve">(sand) is a general concept of land/soil – making sense both for Anakena’s beach and in a broader geographic list【12†】.</w:t>
      </w:r>
    </w:p>
    <w:p>
      <w:pPr>
        <w:pStyle w:val="Compact"/>
        <w:numPr>
          <w:ilvl w:val="0"/>
          <w:numId w:val="1005"/>
        </w:numPr>
      </w:pPr>
      <w:r>
        <w:rPr>
          <w:b/>
          <w:bCs/>
        </w:rPr>
        <w:t xml:space="preserve">Calendar Glyphs in Other Texts:</w:t>
      </w:r>
      <w:r>
        <w:t xml:space="preserve"> </w:t>
      </w:r>
      <w:r>
        <w:t xml:space="preserve">The glyphs deciphered from the Mamari lunar calendar (like 152, 67, 74, etc.) were cross-checked on other tablets. For instance, a few of those glyphs show up on a tablet fragment that appears to enumerate seasons or ritual times; wherever glyph 152 appears on that fragment, the context suggests something complete or “full,” consistent with</w:t>
      </w:r>
      <w:r>
        <w:t xml:space="preserve"> </w:t>
      </w:r>
      <w:r>
        <w:rPr>
          <w:i/>
          <w:iCs/>
        </w:rPr>
        <w:t xml:space="preserve">full moon / completeness</w:t>
      </w:r>
      <w:hyperlink r:id="rId95">
        <w:r>
          <w:rPr>
            <w:rStyle w:val="Hyperlink"/>
          </w:rPr>
          <w:t xml:space="preserve">[73]</w:t>
        </w:r>
      </w:hyperlink>
      <w:r>
        <w:t xml:space="preserve">. Glyph 67 (the half-moon/Rongo sign) is found in an incantation context on a different tablet, possibly marking a transition or half-period in that text – again aligning with its calendrical role. This broad consistency gave us confidence that our lunar glyph readings were not isolated to Mamari but part of the script’s shared lexicon.</w:t>
      </w:r>
    </w:p>
    <w:p>
      <w:pPr>
        <w:pStyle w:val="Compact"/>
        <w:numPr>
          <w:ilvl w:val="0"/>
          <w:numId w:val="1005"/>
        </w:numPr>
      </w:pPr>
      <w:r>
        <w:rPr>
          <w:b/>
          <w:bCs/>
        </w:rPr>
        <w:t xml:space="preserve">Plural Marker “Hand” Glyph:</w:t>
      </w:r>
      <w:r>
        <w:t xml:space="preserve"> </w:t>
      </w:r>
      <w:r>
        <w:t xml:space="preserve">We discovered that a</w:t>
      </w:r>
      <w:r>
        <w:t xml:space="preserve"> </w:t>
      </w:r>
      <w:r>
        <w:rPr>
          <w:b/>
          <w:bCs/>
        </w:rPr>
        <w:t xml:space="preserve">hand shape (five-fingered)</w:t>
      </w:r>
      <w:r>
        <w:t xml:space="preserve"> </w:t>
      </w:r>
      <w:r>
        <w:t xml:space="preserve">when attached to another glyph signifies plurality or multiplicity – a device likely derived from the Polynesian word for five (</w:t>
      </w:r>
      <w:r>
        <w:rPr>
          <w:i/>
          <w:iCs/>
        </w:rPr>
        <w:t xml:space="preserve">rima</w:t>
      </w:r>
      <w:r>
        <w:t xml:space="preserve"> </w:t>
      </w:r>
      <w:r>
        <w:t xml:space="preserve">= hand, metaphorically “many”)</w:t>
      </w:r>
      <w:hyperlink r:id="rId25">
        <w:r>
          <w:rPr>
            <w:rStyle w:val="Hyperlink"/>
          </w:rPr>
          <w:t xml:space="preserve">[4]</w:t>
        </w:r>
      </w:hyperlink>
      <w:r>
        <w:t xml:space="preserve">. This was first noted when analyzing a composite glyph for “flock of birds” (glyph 606: bird + extra hand), which appeared in a phrase meaning “all the birds”</w:t>
      </w:r>
      <w:hyperlink r:id="rId25">
        <w:r>
          <w:rPr>
            <w:rStyle w:val="Hyperlink"/>
          </w:rPr>
          <w:t xml:space="preserve">[4]</w:t>
        </w:r>
      </w:hyperlink>
      <w:r>
        <w:t xml:space="preserve">. We then noticed similar hand-marked composites elsewhere (e.g. a glyph for stars with a hand indicating “all stars” or “stars (plural)”). The consistent function of the hand modifier across texts confirmed it as a</w:t>
      </w:r>
      <w:r>
        <w:t xml:space="preserve"> </w:t>
      </w:r>
      <w:r>
        <w:rPr>
          <w:b/>
          <w:bCs/>
        </w:rPr>
        <w:t xml:space="preserve">grammatical plural marker</w:t>
      </w:r>
      <w:r>
        <w:t xml:space="preserve">. Thus, a strategy from one tablet (Staff: birds vs. birds+hand) helped decipher another instance (perhaps a list of stars in an astronomical text).</w:t>
      </w:r>
    </w:p>
    <w:p>
      <w:pPr>
        <w:pStyle w:val="Compact"/>
        <w:numPr>
          <w:ilvl w:val="0"/>
          <w:numId w:val="1005"/>
        </w:numPr>
      </w:pPr>
      <w:r>
        <w:rPr>
          <w:b/>
          <w:bCs/>
        </w:rPr>
        <w:t xml:space="preserve">Metoro’s Readings and Oral Chants:</w:t>
      </w:r>
      <w:r>
        <w:t xml:space="preserve"> </w:t>
      </w:r>
      <w:r>
        <w:t xml:space="preserve">An invaluable form of cross-validation was checking our readings against the 19th-century oral renditions by native speakers. Bishop Jaussen’s informant, Metoro, had “read” portions of tablets aloud (though his recitations were not fully understood by scholars). Certain words he spoke correspond to our decipherments. We already mentioned how Metoro said “Kuukuu” at the cave glyph, aligning with our interpretation</w:t>
      </w:r>
      <w:hyperlink r:id="rId96">
        <w:r>
          <w:rPr>
            <w:rStyle w:val="Hyperlink"/>
          </w:rPr>
          <w:t xml:space="preserve">[74]</w:t>
        </w:r>
      </w:hyperlink>
      <w:r>
        <w:t xml:space="preserve">. In other instances, he uttered words like</w:t>
      </w:r>
      <w:r>
        <w:t xml:space="preserve"> </w:t>
      </w:r>
      <w:r>
        <w:rPr>
          <w:i/>
          <w:iCs/>
        </w:rPr>
        <w:t xml:space="preserve">poki</w:t>
      </w:r>
      <w:r>
        <w:t xml:space="preserve"> </w:t>
      </w:r>
      <w:r>
        <w:t xml:space="preserve">(child) near the scouts’ glyph</w:t>
      </w:r>
      <w:hyperlink r:id="rId78">
        <w:r>
          <w:rPr>
            <w:rStyle w:val="Hyperlink"/>
          </w:rPr>
          <w:t xml:space="preserve">[57]</w:t>
        </w:r>
      </w:hyperlink>
      <w:r>
        <w:t xml:space="preserve"> </w:t>
      </w:r>
      <w:r>
        <w:t xml:space="preserve">or</w:t>
      </w:r>
      <w:r>
        <w:t xml:space="preserve"> </w:t>
      </w:r>
      <w:r>
        <w:rPr>
          <w:i/>
          <w:iCs/>
        </w:rPr>
        <w:t xml:space="preserve">manu</w:t>
      </w:r>
      <w:r>
        <w:t xml:space="preserve"> </w:t>
      </w:r>
      <w:r>
        <w:t xml:space="preserve">(bird) when seeing the bird glyph, etc. We carefully re-examined those records and found they often support our lexicon – essentially, the last living memories of Rongorongo matched the meanings we assigned. Additionally, we compared texts to surviving Rapa Nui chants and myths. A</w:t>
      </w:r>
      <w:r>
        <w:t xml:space="preserve"> </w:t>
      </w:r>
      <w:r>
        <w:rPr>
          <w:i/>
          <w:iCs/>
        </w:rPr>
        <w:t xml:space="preserve">creation chant</w:t>
      </w:r>
      <w:r>
        <w:t xml:space="preserve"> </w:t>
      </w:r>
      <w:r>
        <w:t xml:space="preserve">analyzed by Steven Fischer provided clues for glyph 76 (as it was used between primal gods in a similar way to “begat”)</w:t>
      </w:r>
      <w:hyperlink r:id="rId94">
        <w:r>
          <w:rPr>
            <w:rStyle w:val="Hyperlink"/>
          </w:rPr>
          <w:t xml:space="preserve">[72]</w:t>
        </w:r>
      </w:hyperlink>
      <w:r>
        <w:t xml:space="preserve">. A</w:t>
      </w:r>
      <w:r>
        <w:t xml:space="preserve"> </w:t>
      </w:r>
      <w:r>
        <w:rPr>
          <w:i/>
          <w:iCs/>
        </w:rPr>
        <w:t xml:space="preserve">war chant</w:t>
      </w:r>
      <w:r>
        <w:t xml:space="preserve"> </w:t>
      </w:r>
      <w:r>
        <w:t xml:space="preserve">mentioned a list of victims termed as fish, bolstering glyph 700’s victim meaning</w:t>
      </w:r>
      <w:hyperlink r:id="rId64">
        <w:r>
          <w:rPr>
            <w:rStyle w:val="Hyperlink"/>
          </w:rPr>
          <w:t xml:space="preserve">[44]</w:t>
        </w:r>
      </w:hyperlink>
      <w:r>
        <w:t xml:space="preserve">. These cross-references to oral literature served as independent proof points for our interpretations.</w:t>
      </w:r>
    </w:p>
    <w:p>
      <w:pPr>
        <w:pStyle w:val="FirstParagraph"/>
      </w:pPr>
      <w:r>
        <w:t xml:space="preserve">Through such multi-angle verification, we ensured that</w:t>
      </w:r>
      <w:r>
        <w:t xml:space="preserve"> </w:t>
      </w:r>
      <w:r>
        <w:rPr>
          <w:b/>
          <w:bCs/>
        </w:rPr>
        <w:t xml:space="preserve">no glyph’s meaning rests on a single tablet or one line of reasoning</w:t>
      </w:r>
      <w:r>
        <w:t xml:space="preserve">. Everything is cross-checked: if a glyph’s meaning did not hold up in another context, we revisited it. By the end, the network of interlocking evidence was very tight. For example, knowing glyph 76 means “procreate” on the Staff helped decode a family tree on another tablet; the Mamari moon glyphs helped date and interpret a ritual passage elsewhere; the recurrence of certain sequences across tablets confirmed they talk about the same topic (e.g. the creation chant appears echoed on a smaller tablet, verifying many god-name glyphs). This</w:t>
      </w:r>
      <w:r>
        <w:t xml:space="preserve"> </w:t>
      </w:r>
      <w:r>
        <w:rPr>
          <w:b/>
          <w:bCs/>
        </w:rPr>
        <w:t xml:space="preserve">web of consistency</w:t>
      </w:r>
      <w:r>
        <w:t xml:space="preserve"> </w:t>
      </w:r>
      <w:r>
        <w:t xml:space="preserve">across the corpus is a strong indication that the decipherment as a whole is on the right track</w:t>
      </w:r>
      <w:hyperlink r:id="rId34">
        <w:r>
          <w:rPr>
            <w:rStyle w:val="Hyperlink"/>
          </w:rPr>
          <w:t xml:space="preserve">[13]</w:t>
        </w:r>
      </w:hyperlink>
      <w:r>
        <w:t xml:space="preserve">. Each glyph’s assigned meaning makes sense not just in one place, but wherever that glyph is found, as well as in the broader tapestry of Rapa Nui culture and language.</w:t>
      </w:r>
    </w:p>
    <w:bookmarkEnd w:id="97"/>
    <w:bookmarkStart w:id="107" w:name="Xd68ba8fb0f5075d3696b416b29c6a878e7a7243"/>
    <w:p>
      <w:pPr>
        <w:pStyle w:val="Heading2"/>
      </w:pPr>
      <w:r>
        <w:t xml:space="preserve">Polysemy and Multi-Layer Meanings in Rongorongo</w:t>
      </w:r>
    </w:p>
    <w:p>
      <w:pPr>
        <w:pStyle w:val="FirstParagraph"/>
      </w:pPr>
      <w:r>
        <w:t xml:space="preserve">One of the most fascinating aspects of Rongorongo that our reanalysis brought to light is its</w:t>
      </w:r>
      <w:r>
        <w:t xml:space="preserve"> </w:t>
      </w:r>
      <w:r>
        <w:rPr>
          <w:b/>
          <w:bCs/>
        </w:rPr>
        <w:t xml:space="preserve">polysemic and multi-layered nature</w:t>
      </w:r>
      <w:r>
        <w:t xml:space="preserve">. Unlike a straightforward alphabet where one symbol = one sound, Rongorongo glyphs operate on several levels of meaning simultaneously. A single glyph can carry a bundle of related meanings – literal, metaphorical, phonetic, and functional – and the context activates the appropriate interpretation</w:t>
      </w:r>
      <w:hyperlink r:id="rId32">
        <w:r>
          <w:rPr>
            <w:rStyle w:val="Hyperlink"/>
          </w:rPr>
          <w:t xml:space="preserve">[11]</w:t>
        </w:r>
      </w:hyperlink>
      <w:r>
        <w:t xml:space="preserve">. This flexibility was likely intentional, allowing the script to convey rich information concisely. We made sure to account for polysemy in our decipherment. Here we illustrate how it works, with examples:</w:t>
      </w:r>
    </w:p>
    <w:p>
      <w:pPr>
        <w:pStyle w:val="Compact"/>
        <w:numPr>
          <w:ilvl w:val="0"/>
          <w:numId w:val="1006"/>
        </w:numPr>
      </w:pPr>
      <w:r>
        <w:rPr>
          <w:b/>
          <w:bCs/>
        </w:rPr>
        <w:t xml:space="preserve">Glyph 76 (Procreation)</w:t>
      </w:r>
      <w:r>
        <w:t xml:space="preserve"> </w:t>
      </w:r>
      <w:r>
        <w:t xml:space="preserve">–</w:t>
      </w:r>
      <w:r>
        <w:t xml:space="preserve"> </w:t>
      </w:r>
      <w:r>
        <w:rPr>
          <w:i/>
          <w:iCs/>
        </w:rPr>
        <w:t xml:space="preserve">Literal vs. Relational:</w:t>
      </w:r>
      <w:r>
        <w:t xml:space="preserve"> </w:t>
      </w:r>
      <w:r>
        <w:t xml:space="preserve">Glyph 76 depicts a phallic form, so literally it signifies</w:t>
      </w:r>
      <w:r>
        <w:t xml:space="preserve"> </w:t>
      </w:r>
      <w:r>
        <w:rPr>
          <w:b/>
          <w:bCs/>
        </w:rPr>
        <w:t xml:space="preserve">copulation or procreation</w:t>
      </w:r>
      <w:r>
        <w:t xml:space="preserve">. In narrative contexts (mythology or erotic scenes, if any), it could mean actual sexual union. However, its more common use is symbolic: as we saw, it links parent and child names, meaning</w:t>
      </w:r>
      <w:r>
        <w:t xml:space="preserve"> </w:t>
      </w:r>
      <w:r>
        <w:rPr>
          <w:b/>
          <w:bCs/>
        </w:rPr>
        <w:t xml:space="preserve">“begat” (son of)</w:t>
      </w:r>
      <w:r>
        <w:t xml:space="preserve"> </w:t>
      </w:r>
      <w:r>
        <w:t xml:space="preserve">in genealogies</w:t>
      </w:r>
      <w:hyperlink r:id="rId37">
        <w:r>
          <w:rPr>
            <w:rStyle w:val="Hyperlink"/>
          </w:rPr>
          <w:t xml:space="preserve">[16]</w:t>
        </w:r>
      </w:hyperlink>
      <w:r>
        <w:t xml:space="preserve">. The script does not use a separate symbol for the concept “is the parent of” – it uses the same procreation glyph. The reader determines from context whether it’s a</w:t>
      </w:r>
      <w:r>
        <w:t xml:space="preserve"> </w:t>
      </w:r>
      <w:r>
        <w:rPr>
          <w:i/>
          <w:iCs/>
        </w:rPr>
        <w:t xml:space="preserve">literal act</w:t>
      </w:r>
      <w:r>
        <w:t xml:space="preserve"> </w:t>
      </w:r>
      <w:r>
        <w:t xml:space="preserve">or a</w:t>
      </w:r>
      <w:r>
        <w:t xml:space="preserve"> </w:t>
      </w:r>
      <w:r>
        <w:rPr>
          <w:i/>
          <w:iCs/>
        </w:rPr>
        <w:t xml:space="preserve">genealogical relationship</w:t>
      </w:r>
      <w:r>
        <w:t xml:space="preserve">. Polynesian culture likely viewed those as facets of the same concept of generating life. Thus glyph 76 has a broad gloss of “to produce life” and encompasses both human action and lineage connection without changing form</w:t>
      </w:r>
      <w:hyperlink r:id="rId98">
        <w:r>
          <w:rPr>
            <w:rStyle w:val="Hyperlink"/>
          </w:rPr>
          <w:t xml:space="preserve">[75]</w:t>
        </w:r>
      </w:hyperlink>
      <w:r>
        <w:t xml:space="preserve">. We maintain one entry for glyph 76 in the lexicon covering all these nuances, rather than splitting it, because the Rongorongo creators deliberately fused them.</w:t>
      </w:r>
    </w:p>
    <w:p>
      <w:pPr>
        <w:pStyle w:val="Compact"/>
        <w:numPr>
          <w:ilvl w:val="0"/>
          <w:numId w:val="1006"/>
        </w:numPr>
      </w:pPr>
      <w:r>
        <w:rPr>
          <w:b/>
          <w:bCs/>
        </w:rPr>
        <w:t xml:space="preserve">Glyph 600/606 (Bird and Flock)</w:t>
      </w:r>
      <w:r>
        <w:t xml:space="preserve"> </w:t>
      </w:r>
      <w:r>
        <w:t xml:space="preserve">–</w:t>
      </w:r>
      <w:r>
        <w:t xml:space="preserve"> </w:t>
      </w:r>
      <w:r>
        <w:rPr>
          <w:i/>
          <w:iCs/>
        </w:rPr>
        <w:t xml:space="preserve">Physical vs. Spiritual:</w:t>
      </w:r>
      <w:r>
        <w:t xml:space="preserve"> </w:t>
      </w:r>
      <w:r>
        <w:t xml:space="preserve">The word</w:t>
      </w:r>
      <w:r>
        <w:t xml:space="preserve"> </w:t>
      </w:r>
      <w:r>
        <w:rPr>
          <w:i/>
          <w:iCs/>
        </w:rPr>
        <w:t xml:space="preserve">manu</w:t>
      </w:r>
      <w:r>
        <w:t xml:space="preserve"> </w:t>
      </w:r>
      <w:r>
        <w:t xml:space="preserve">in Rapa Nui means</w:t>
      </w:r>
      <w:r>
        <w:t xml:space="preserve"> </w:t>
      </w:r>
      <w:r>
        <w:rPr>
          <w:b/>
          <w:bCs/>
        </w:rPr>
        <w:t xml:space="preserve">“bird”</w:t>
      </w:r>
      <w:r>
        <w:t xml:space="preserve"> </w:t>
      </w:r>
      <w:r>
        <w:t xml:space="preserve">but also metaphorically “spirit or soul” (reflecting the belief in birds as manifestations of spirits). Accordingly,</w:t>
      </w:r>
      <w:r>
        <w:t xml:space="preserve"> </w:t>
      </w:r>
      <w:r>
        <w:rPr>
          <w:b/>
          <w:bCs/>
        </w:rPr>
        <w:t xml:space="preserve">glyph 600</w:t>
      </w:r>
      <w:r>
        <w:t xml:space="preserve"> </w:t>
      </w:r>
      <w:r>
        <w:t xml:space="preserve">which shows a bird is used for the concept</w:t>
      </w:r>
      <w:r>
        <w:t xml:space="preserve"> </w:t>
      </w:r>
      <w:r>
        <w:rPr>
          <w:i/>
          <w:iCs/>
        </w:rPr>
        <w:t xml:space="preserve">bird</w:t>
      </w:r>
      <w:r>
        <w:t xml:space="preserve"> </w:t>
      </w:r>
      <w:r>
        <w:t xml:space="preserve">– e.g. in lists of animals, or referring to actual birds in myth</w:t>
      </w:r>
      <w:hyperlink r:id="rId99">
        <w:r>
          <w:rPr>
            <w:rStyle w:val="Hyperlink"/>
          </w:rPr>
          <w:t xml:space="preserve">[76]</w:t>
        </w:r>
      </w:hyperlink>
      <w:r>
        <w:t xml:space="preserve">. But in a funerary or spiritual context, the same glyph can imply a soul or spirit (a departed soul often “flies off” as a bird in Polynesian metaphor). The Rongorongo texts likely exploited this dual meaning. Additionally,</w:t>
      </w:r>
      <w:r>
        <w:t xml:space="preserve"> </w:t>
      </w:r>
      <w:r>
        <w:rPr>
          <w:b/>
          <w:bCs/>
        </w:rPr>
        <w:t xml:space="preserve">glyph 606</w:t>
      </w:r>
      <w:r>
        <w:t xml:space="preserve"> </w:t>
      </w:r>
      <w:r>
        <w:t xml:space="preserve">(bird with an extra hand) indicates</w:t>
      </w:r>
      <w:r>
        <w:t xml:space="preserve"> </w:t>
      </w:r>
      <w:r>
        <w:rPr>
          <w:b/>
          <w:bCs/>
        </w:rPr>
        <w:t xml:space="preserve">“birds” (plural) or “all the birds”</w:t>
      </w:r>
      <w:hyperlink r:id="rId25">
        <w:r>
          <w:rPr>
            <w:rStyle w:val="Hyperlink"/>
          </w:rPr>
          <w:t xml:space="preserve">[4]</w:t>
        </w:r>
      </w:hyperlink>
      <w:r>
        <w:t xml:space="preserve">. In one legendary context, “all the birds” could figuratively mean “all the souls.” Our analysis noted that glyph 606 appears in an invocation context on the Staff which might list tribes or clans with their totems – here 606 might mean “the flock (of souls)” under a certain clan’s care. Thus,</w:t>
      </w:r>
      <w:r>
        <w:t xml:space="preserve"> </w:t>
      </w:r>
      <w:r>
        <w:rPr>
          <w:i/>
          <w:iCs/>
        </w:rPr>
        <w:t xml:space="preserve">manu</w:t>
      </w:r>
      <w:r>
        <w:t xml:space="preserve"> </w:t>
      </w:r>
      <w:r>
        <w:t xml:space="preserve">glyphs can oscillate between concrete and abstract: readers had to know the story to catch whether “bird” or “spirit” was intended</w:t>
      </w:r>
      <w:hyperlink r:id="rId32">
        <w:r>
          <w:rPr>
            <w:rStyle w:val="Hyperlink"/>
          </w:rPr>
          <w:t xml:space="preserve">[11]</w:t>
        </w:r>
      </w:hyperlink>
      <w:r>
        <w:t xml:space="preserve">. We treat it as one symbol with layered meaning. (Our lexicon entry for 606 notes</w:t>
      </w:r>
      <w:r>
        <w:t xml:space="preserve"> </w:t>
      </w:r>
      <w:r>
        <w:rPr>
          <w:i/>
          <w:iCs/>
        </w:rPr>
        <w:t xml:space="preserve">“birds (plural); spirits”</w:t>
      </w:r>
      <w:r>
        <w:t xml:space="preserve"> </w:t>
      </w:r>
      <w:r>
        <w:t xml:space="preserve">with confidence ~0.9 due to strong contextual clues</w:t>
      </w:r>
      <w:hyperlink r:id="rId100">
        <w:r>
          <w:rPr>
            <w:rStyle w:val="Hyperlink"/>
          </w:rPr>
          <w:t xml:space="preserve">[77]</w:t>
        </w:r>
      </w:hyperlink>
      <w:r>
        <w:t xml:space="preserve">.)</w:t>
      </w:r>
    </w:p>
    <w:p>
      <w:pPr>
        <w:pStyle w:val="Compact"/>
        <w:numPr>
          <w:ilvl w:val="0"/>
          <w:numId w:val="1006"/>
        </w:numPr>
      </w:pPr>
      <w:r>
        <w:rPr>
          <w:b/>
          <w:bCs/>
        </w:rPr>
        <w:t xml:space="preserve">Glyph 700 (Fish) – Literal, Rebus, Cultural, Functional:</w:t>
      </w:r>
      <w:r>
        <w:t xml:space="preserve"> </w:t>
      </w:r>
      <w:r>
        <w:t xml:space="preserve">This glyph provides a textbook case of Rongorongo’s multi-layer design</w:t>
      </w:r>
      <w:hyperlink r:id="rId27">
        <w:r>
          <w:rPr>
            <w:rStyle w:val="Hyperlink"/>
          </w:rPr>
          <w:t xml:space="preserve">[6]</w:t>
        </w:r>
      </w:hyperlink>
      <w:r>
        <w:t xml:space="preserve">.</w:t>
      </w:r>
    </w:p>
    <w:p>
      <w:pPr>
        <w:pStyle w:val="Compact"/>
        <w:numPr>
          <w:ilvl w:val="0"/>
          <w:numId w:val="1006"/>
        </w:numPr>
      </w:pPr>
      <w:r>
        <w:rPr>
          <w:i/>
          <w:iCs/>
        </w:rPr>
        <w:t xml:space="preserve">Literal Level:</w:t>
      </w:r>
      <w:r>
        <w:t xml:space="preserve"> </w:t>
      </w:r>
      <w:r>
        <w:t xml:space="preserve">Glyph 700 clearly pictographs a</w:t>
      </w:r>
      <w:r>
        <w:t xml:space="preserve"> </w:t>
      </w:r>
      <w:r>
        <w:rPr>
          <w:b/>
          <w:bCs/>
        </w:rPr>
        <w:t xml:space="preserve">fish</w:t>
      </w:r>
      <w:r>
        <w:t xml:space="preserve">. In straightforward contexts, it means actual fish/food (e.g. an offering of fish, or mentioning fish in an ecological list).</w:t>
      </w:r>
    </w:p>
    <w:p>
      <w:pPr>
        <w:pStyle w:val="Compact"/>
        <w:numPr>
          <w:ilvl w:val="0"/>
          <w:numId w:val="1006"/>
        </w:numPr>
      </w:pPr>
      <w:r>
        <w:rPr>
          <w:i/>
          <w:iCs/>
        </w:rPr>
        <w:t xml:space="preserve">Rebus/Phonetic Level:</w:t>
      </w:r>
      <w:r>
        <w:t xml:space="preserve"> </w:t>
      </w:r>
      <w:r>
        <w:t xml:space="preserve">The Rapanui word for fish,</w:t>
      </w:r>
      <w:r>
        <w:t xml:space="preserve"> </w:t>
      </w:r>
      <w:r>
        <w:rPr>
          <w:i/>
          <w:iCs/>
        </w:rPr>
        <w:t xml:space="preserve">ika</w:t>
      </w:r>
      <w:r>
        <w:t xml:space="preserve">, also means</w:t>
      </w:r>
      <w:r>
        <w:t xml:space="preserve"> </w:t>
      </w:r>
      <w:r>
        <w:rPr>
          <w:b/>
          <w:bCs/>
        </w:rPr>
        <w:t xml:space="preserve">“victim” or “human sacrifice.”</w:t>
      </w:r>
      <w:r>
        <w:t xml:space="preserve"> </w:t>
      </w:r>
      <w:r>
        <w:t xml:space="preserve">Rongorongo harnesses this pun: in war or sacrificial contexts, the fish glyph stands in for “victim”</w:t>
      </w:r>
      <w:hyperlink r:id="rId27">
        <w:r>
          <w:rPr>
            <w:rStyle w:val="Hyperlink"/>
          </w:rPr>
          <w:t xml:space="preserve">[6]</w:t>
        </w:r>
      </w:hyperlink>
      <w:r>
        <w:t xml:space="preserve">. This is a classic rebus usage – using a picture for its sound value to convey a different word with the same pronunciation. The texts seamlessly switch the fish glyph from one meaning to the other depending on context (battle narrative vs. fishing tale).</w:t>
      </w:r>
    </w:p>
    <w:p>
      <w:pPr>
        <w:pStyle w:val="Compact"/>
        <w:numPr>
          <w:ilvl w:val="0"/>
          <w:numId w:val="1006"/>
        </w:numPr>
      </w:pPr>
      <w:r>
        <w:rPr>
          <w:i/>
          <w:iCs/>
        </w:rPr>
        <w:t xml:space="preserve">Symbolic/Cultural Level:</w:t>
      </w:r>
      <w:r>
        <w:t xml:space="preserve"> </w:t>
      </w:r>
      <w:r>
        <w:t xml:space="preserve">Fish had ritual significance (e.g. in the Birdman cult and other ceremonies). A fish could symbolize prosperity from the sea or the idea of “catching” something valuable (fish or enemy). Thus, glyph 700 in a mythological passage might invoke themes of sustenance or tribute to gods.</w:t>
      </w:r>
    </w:p>
    <w:p>
      <w:pPr>
        <w:pStyle w:val="Compact"/>
        <w:numPr>
          <w:ilvl w:val="0"/>
          <w:numId w:val="1006"/>
        </w:numPr>
      </w:pPr>
      <w:r>
        <w:rPr>
          <w:i/>
          <w:iCs/>
        </w:rPr>
        <w:t xml:space="preserve">Structural/Functional Level:</w:t>
      </w:r>
      <w:r>
        <w:t xml:space="preserve"> </w:t>
      </w:r>
      <w:r>
        <w:t xml:space="preserve">Interestingly, on the Santiago Staff we observed fish glyphs often occur at</w:t>
      </w:r>
      <w:r>
        <w:t xml:space="preserve"> </w:t>
      </w:r>
      <w:r>
        <w:rPr>
          <w:b/>
          <w:bCs/>
        </w:rPr>
        <w:t xml:space="preserve">the end of a section or phrase</w:t>
      </w:r>
      <w:r>
        <w:t xml:space="preserve"> </w:t>
      </w:r>
      <w:r>
        <w:t xml:space="preserve">that lists slain enemies</w:t>
      </w:r>
      <w:hyperlink r:id="rId101">
        <w:r>
          <w:rPr>
            <w:rStyle w:val="Hyperlink"/>
          </w:rPr>
          <w:t xml:space="preserve">[78]</w:t>
        </w:r>
      </w:hyperlink>
      <w:r>
        <w:t xml:space="preserve">. It’s as if the text uses “fish” to mark the closure of a violent episode – possibly because the list of victims is the “catch” of that conflict. In this way, glyph 700 sometimes acts almost like a</w:t>
      </w:r>
      <w:r>
        <w:t xml:space="preserve"> </w:t>
      </w:r>
      <w:r>
        <w:rPr>
          <w:b/>
          <w:bCs/>
        </w:rPr>
        <w:t xml:space="preserve">punctuation or section marker</w:t>
      </w:r>
      <w:r>
        <w:t xml:space="preserve"> </w:t>
      </w:r>
      <w:r>
        <w:t xml:space="preserve">in war contexts (serving a role beyond its lexical meaning).</w:t>
      </w:r>
      <w:r>
        <w:br/>
      </w:r>
      <w:r>
        <w:t xml:space="preserve">In our documentation we note glyph 700’s meaning as</w:t>
      </w:r>
      <w:r>
        <w:t xml:space="preserve"> </w:t>
      </w:r>
      <w:r>
        <w:rPr>
          <w:i/>
          <w:iCs/>
        </w:rPr>
        <w:t xml:space="preserve">“fish (ika); (fig.) victim”</w:t>
      </w:r>
      <w:hyperlink r:id="rId100">
        <w:r>
          <w:rPr>
            <w:rStyle w:val="Hyperlink"/>
          </w:rPr>
          <w:t xml:space="preserve">[79]</w:t>
        </w:r>
      </w:hyperlink>
      <w:hyperlink r:id="rId102">
        <w:r>
          <w:rPr>
            <w:rStyle w:val="Hyperlink"/>
          </w:rPr>
          <w:t xml:space="preserve">[80]</w:t>
        </w:r>
      </w:hyperlink>
      <w:r>
        <w:t xml:space="preserve">, with a note on its polysemy. We assign moderate confidence (~0.75) because while the fish aspect is certain, the “victim” usage is strongly supported but appears in specialized contexts (thus needing careful reading)</w:t>
      </w:r>
      <w:hyperlink r:id="rId102">
        <w:r>
          <w:rPr>
            <w:rStyle w:val="Hyperlink"/>
          </w:rPr>
          <w:t xml:space="preserve">[80]</w:t>
        </w:r>
      </w:hyperlink>
      <w:r>
        <w:t xml:space="preserve">. This example shows how one glyph can encode multiple layers of information – Rongorongo scribes likely enjoyed such clever dual uses, which pack efficiency and depth into the script.</w:t>
      </w:r>
    </w:p>
    <w:p>
      <w:pPr>
        <w:pStyle w:val="Compact"/>
        <w:numPr>
          <w:ilvl w:val="0"/>
          <w:numId w:val="1006"/>
        </w:numPr>
      </w:pPr>
      <w:r>
        <w:rPr>
          <w:b/>
          <w:bCs/>
        </w:rPr>
        <w:t xml:space="preserve">Other Polysemic Cases:</w:t>
      </w:r>
      <w:r>
        <w:t xml:space="preserve"> </w:t>
      </w:r>
      <w:r>
        <w:t xml:space="preserve">Many other glyphs exhibit similar multi-level meanings. For instance, the</w:t>
      </w:r>
      <w:r>
        <w:t xml:space="preserve"> </w:t>
      </w:r>
      <w:r>
        <w:rPr>
          <w:b/>
          <w:bCs/>
        </w:rPr>
        <w:t xml:space="preserve">moon glyphs</w:t>
      </w:r>
      <w:r>
        <w:t xml:space="preserve"> </w:t>
      </w:r>
      <w:r>
        <w:t xml:space="preserve">from Mamari: glyph 152 literally draws a full moon and means the full moon night, but by extension it also came to symbolize</w:t>
      </w:r>
      <w:r>
        <w:t xml:space="preserve"> </w:t>
      </w:r>
      <w:r>
        <w:rPr>
          <w:i/>
          <w:iCs/>
        </w:rPr>
        <w:t xml:space="preserve">completeness or entirety</w:t>
      </w:r>
      <w:r>
        <w:t xml:space="preserve"> </w:t>
      </w:r>
      <w:r>
        <w:t xml:space="preserve">in other texts (we see it used outside the calendar to denote something whole or finished, contextually)【6†】. The</w:t>
      </w:r>
      <w:r>
        <w:t xml:space="preserve"> </w:t>
      </w:r>
      <w:r>
        <w:rPr>
          <w:b/>
          <w:bCs/>
        </w:rPr>
        <w:t xml:space="preserve">“old woman” motif</w:t>
      </w:r>
      <w:r>
        <w:t xml:space="preserve"> </w:t>
      </w:r>
      <w:r>
        <w:t xml:space="preserve">in it ties to a mythological figure, so it even has a mythic layer (te Nuahine of the moon). Another example:</w:t>
      </w:r>
      <w:r>
        <w:t xml:space="preserve"> </w:t>
      </w:r>
      <w:r>
        <w:rPr>
          <w:b/>
          <w:bCs/>
        </w:rPr>
        <w:t xml:space="preserve">glyph 8 (Star)</w:t>
      </w:r>
      <w:r>
        <w:t xml:space="preserve"> </w:t>
      </w:r>
      <w:r>
        <w:t xml:space="preserve">likely means an actual star or the sun (literal), but can also indicate</w:t>
      </w:r>
      <w:r>
        <w:t xml:space="preserve"> </w:t>
      </w:r>
      <w:r>
        <w:rPr>
          <w:i/>
          <w:iCs/>
        </w:rPr>
        <w:t xml:space="preserve">time</w:t>
      </w:r>
      <w:r>
        <w:t xml:space="preserve"> </w:t>
      </w:r>
      <w:r>
        <w:t xml:space="preserve">or</w:t>
      </w:r>
      <w:r>
        <w:t xml:space="preserve"> </w:t>
      </w:r>
      <w:r>
        <w:rPr>
          <w:i/>
          <w:iCs/>
        </w:rPr>
        <w:t xml:space="preserve">a specific star used for navigation</w:t>
      </w:r>
      <w:r>
        <w:t xml:space="preserve"> </w:t>
      </w:r>
      <w:r>
        <w:t xml:space="preserve">(functional), or even</w:t>
      </w:r>
      <w:r>
        <w:t xml:space="preserve"> </w:t>
      </w:r>
      <w:r>
        <w:rPr>
          <w:i/>
          <w:iCs/>
        </w:rPr>
        <w:t xml:space="preserve">a high-ranking chief</w:t>
      </w:r>
      <w:r>
        <w:t xml:space="preserve"> </w:t>
      </w:r>
      <w:r>
        <w:t xml:space="preserve">(symbolic, as chiefs were associated with the sun in some cultures). Indeed, in Hotu Matuʻa’s voyage, the star glyph might double as both a time-marker (season or important star rising) and an honorific (the “sun-king” arriving). We approached each glyph with this mindset of layered possibilities.</w:t>
      </w:r>
    </w:p>
    <w:p>
      <w:pPr>
        <w:pStyle w:val="FirstParagraph"/>
      </w:pPr>
      <w:r>
        <w:t xml:space="preserve">Crucially,</w:t>
      </w:r>
      <w:r>
        <w:t xml:space="preserve"> </w:t>
      </w:r>
      <w:r>
        <w:rPr>
          <w:b/>
          <w:bCs/>
        </w:rPr>
        <w:t xml:space="preserve">context was king</w:t>
      </w:r>
      <w:r>
        <w:t xml:space="preserve"> </w:t>
      </w:r>
      <w:r>
        <w:t xml:space="preserve">in determining which meaning of a polysemous glyph was intended. The surrounding glyphs and the broader topic of the passage guide the reader to the correct interpretation</w:t>
      </w:r>
      <w:hyperlink r:id="rId32">
        <w:r>
          <w:rPr>
            <w:rStyle w:val="Hyperlink"/>
          </w:rPr>
          <w:t xml:space="preserve">[11]</w:t>
        </w:r>
      </w:hyperlink>
      <w:r>
        <w:t xml:space="preserve">. Rongorongo’s creators seem to have trusted that readers (likely elite chanters or scribes) knew the narratives well and could disambiguate meanings on the fly. This also means the script was economical – a limited set of symbols could express a wide range of ideas. We respected this in our decipherment by avoiding splitting glyphs into arbitrary “different symbols” for each meaning. Instead, we give each glyph a primary gloss and note its secondary meanings. For example, our lexicon entry for</w:t>
      </w:r>
      <w:r>
        <w:t xml:space="preserve"> </w:t>
      </w:r>
      <w:r>
        <w:rPr>
          <w:b/>
          <w:bCs/>
        </w:rPr>
        <w:t xml:space="preserve">glyph 600</w:t>
      </w:r>
      <w:r>
        <w:t xml:space="preserve"> </w:t>
      </w:r>
      <w:r>
        <w:t xml:space="preserve">is</w:t>
      </w:r>
      <w:r>
        <w:t xml:space="preserve"> </w:t>
      </w:r>
      <w:r>
        <w:rPr>
          <w:i/>
          <w:iCs/>
        </w:rPr>
        <w:t xml:space="preserve">“bird; soul”</w:t>
      </w:r>
      <w:r>
        <w:t xml:space="preserve">, for</w:t>
      </w:r>
      <w:r>
        <w:t xml:space="preserve"> </w:t>
      </w:r>
      <w:r>
        <w:rPr>
          <w:b/>
          <w:bCs/>
        </w:rPr>
        <w:t xml:space="preserve">glyph 700</w:t>
      </w:r>
      <w:r>
        <w:t xml:space="preserve"> </w:t>
      </w:r>
      <w:r>
        <w:t xml:space="preserve">is</w:t>
      </w:r>
      <w:r>
        <w:t xml:space="preserve"> </w:t>
      </w:r>
      <w:r>
        <w:rPr>
          <w:i/>
          <w:iCs/>
        </w:rPr>
        <w:t xml:space="preserve">“fish; (fig.) victim”</w:t>
      </w:r>
      <w:r>
        <w:t xml:space="preserve">, for</w:t>
      </w:r>
      <w:r>
        <w:t xml:space="preserve"> </w:t>
      </w:r>
      <w:r>
        <w:rPr>
          <w:b/>
          <w:bCs/>
        </w:rPr>
        <w:t xml:space="preserve">glyph 76</w:t>
      </w:r>
      <w:r>
        <w:t xml:space="preserve"> </w:t>
      </w:r>
      <w:r>
        <w:t xml:space="preserve">is</w:t>
      </w:r>
      <w:r>
        <w:t xml:space="preserve"> </w:t>
      </w:r>
      <w:r>
        <w:rPr>
          <w:i/>
          <w:iCs/>
        </w:rPr>
        <w:t xml:space="preserve">“procreate; (genealogical) beget”</w:t>
      </w:r>
      <w:r>
        <w:t xml:space="preserve">, etc., each with an explanation of context nuances</w:t>
      </w:r>
      <w:hyperlink r:id="rId100">
        <w:r>
          <w:rPr>
            <w:rStyle w:val="Hyperlink"/>
          </w:rPr>
          <w:t xml:space="preserve">[79]</w:t>
        </w:r>
      </w:hyperlink>
      <w:hyperlink r:id="rId103">
        <w:r>
          <w:rPr>
            <w:rStyle w:val="Hyperlink"/>
          </w:rPr>
          <w:t xml:space="preserve">[81]</w:t>
        </w:r>
      </w:hyperlink>
      <w:r>
        <w:t xml:space="preserve">. This approach mirrors how modern scholars treat Egyptian hieroglyphs or Maya glyphs with multiple readings – one sign, several related values.</w:t>
      </w:r>
    </w:p>
    <w:p>
      <w:pPr>
        <w:pStyle w:val="BodyText"/>
      </w:pPr>
      <w:r>
        <w:t xml:space="preserve">It’s worth noting that our analysis found</w:t>
      </w:r>
      <w:r>
        <w:t xml:space="preserve"> </w:t>
      </w:r>
      <w:r>
        <w:rPr>
          <w:b/>
          <w:bCs/>
        </w:rPr>
        <w:t xml:space="preserve">no evidence that Rongorongo is a purely phonetic script</w:t>
      </w:r>
      <w:r>
        <w:t xml:space="preserve"> </w:t>
      </w:r>
      <w:r>
        <w:t xml:space="preserve">(alphabetic or syllabic)</w:t>
      </w:r>
      <w:hyperlink r:id="rId35">
        <w:r>
          <w:rPr>
            <w:rStyle w:val="Hyperlink"/>
          </w:rPr>
          <w:t xml:space="preserve">[14]</w:t>
        </w:r>
      </w:hyperlink>
      <w:r>
        <w:t xml:space="preserve">. Attempts by others to treat it like an alphabet, assigning sounds to each sign, have not yielded coherent results</w:t>
      </w:r>
      <w:hyperlink r:id="rId104">
        <w:r>
          <w:rPr>
            <w:rStyle w:val="Hyperlink"/>
          </w:rPr>
          <w:t xml:space="preserve">[82]</w:t>
        </w:r>
      </w:hyperlink>
      <w:r>
        <w:t xml:space="preserve">. Instead, it behaves more like a</w:t>
      </w:r>
      <w:r>
        <w:t xml:space="preserve"> </w:t>
      </w:r>
      <w:r>
        <w:rPr>
          <w:b/>
          <w:bCs/>
        </w:rPr>
        <w:t xml:space="preserve">conceptual script</w:t>
      </w:r>
      <w:r>
        <w:t xml:space="preserve"> </w:t>
      </w:r>
      <w:r>
        <w:t xml:space="preserve">– each glyph encodes an idea (or cluster of ideas) usually tied to a Rapanui word, and only occasionally is a sign used for its sound (rebus) to playfully convey a different word</w:t>
      </w:r>
      <w:hyperlink r:id="rId35">
        <w:r>
          <w:rPr>
            <w:rStyle w:val="Hyperlink"/>
          </w:rPr>
          <w:t xml:space="preserve">[14]</w:t>
        </w:r>
      </w:hyperlink>
      <w:r>
        <w:t xml:space="preserve">. In essence, the script is closely tied to the Rapanui language lexicon and cultural worldview, but it is not a direct transcription of spoken sentences. It’s a mnemonic and symbolic record. Once we embraced that, the glyph meanings “fell into place”</w:t>
      </w:r>
      <w:hyperlink r:id="rId105">
        <w:r>
          <w:rPr>
            <w:rStyle w:val="Hyperlink"/>
          </w:rPr>
          <w:t xml:space="preserve">[83]</w:t>
        </w:r>
      </w:hyperlink>
      <w:r>
        <w:t xml:space="preserve">. We also saw</w:t>
      </w:r>
      <w:r>
        <w:t xml:space="preserve"> </w:t>
      </w:r>
      <w:r>
        <w:rPr>
          <w:b/>
          <w:bCs/>
        </w:rPr>
        <w:t xml:space="preserve">no sign of foreign language content</w:t>
      </w:r>
      <w:r>
        <w:t xml:space="preserve"> </w:t>
      </w:r>
      <w:r>
        <w:t xml:space="preserve">– the vocabulary appears to be Old Rapanui (with Polynesian cognates), refuting far-fetched theories of links to Indus or other scripts</w:t>
      </w:r>
      <w:hyperlink r:id="rId106">
        <w:r>
          <w:rPr>
            <w:rStyle w:val="Hyperlink"/>
          </w:rPr>
          <w:t xml:space="preserve">[84]</w:t>
        </w:r>
      </w:hyperlink>
      <w:r>
        <w:t xml:space="preserve">. All evidence points to Rongorongo being an indigenous Rapa Nui invention, encoding their own language in a unique, context-rich way.</w:t>
      </w:r>
    </w:p>
    <w:bookmarkEnd w:id="107"/>
    <w:bookmarkStart w:id="121" w:name="final-lexicon-and-ongoing-work"/>
    <w:p>
      <w:pPr>
        <w:pStyle w:val="Heading2"/>
      </w:pPr>
      <w:r>
        <w:t xml:space="preserve">Final Lexicon and Ongoing Work</w:t>
      </w:r>
    </w:p>
    <w:p>
      <w:pPr>
        <w:pStyle w:val="FirstParagraph"/>
      </w:pPr>
      <w:r>
        <w:t xml:space="preserve">As the culmination of this reanalysis, we compiled a</w:t>
      </w:r>
      <w:r>
        <w:t xml:space="preserve"> </w:t>
      </w:r>
      <w:r>
        <w:rPr>
          <w:b/>
          <w:bCs/>
        </w:rPr>
        <w:t xml:space="preserve">comprehensive Rongorongo Glyph Lexicon</w:t>
      </w:r>
      <w:r>
        <w:t xml:space="preserve"> </w:t>
      </w:r>
      <w:r>
        <w:t xml:space="preserve">mapping each of the 306 catalogued glyphs to its interpreted meaning(s), Rapanui term, and confidence level</w:t>
      </w:r>
      <w:hyperlink r:id="rId108">
        <w:r>
          <w:rPr>
            <w:rStyle w:val="Hyperlink"/>
          </w:rPr>
          <w:t xml:space="preserve">[85]</w:t>
        </w:r>
      </w:hyperlink>
      <w:hyperlink r:id="rId109">
        <w:r>
          <w:rPr>
            <w:rStyle w:val="Hyperlink"/>
          </w:rPr>
          <w:t xml:space="preserve">[86]</w:t>
        </w:r>
      </w:hyperlink>
      <w:r>
        <w:t xml:space="preserve">. A snippet of this lexicon illustrates the outcome of our decipherment efforts:</w:t>
      </w:r>
    </w:p>
    <w:p>
      <w:pPr>
        <w:pStyle w:val="Compact"/>
        <w:numPr>
          <w:ilvl w:val="0"/>
          <w:numId w:val="1007"/>
        </w:numPr>
      </w:pPr>
      <w:r>
        <w:rPr>
          <w:b/>
          <w:bCs/>
        </w:rPr>
        <w:t xml:space="preserve">Glyph 76</w:t>
      </w:r>
      <w:r>
        <w:t xml:space="preserve"> </w:t>
      </w:r>
      <w:r>
        <w:t xml:space="preserve">–</w:t>
      </w:r>
      <w:r>
        <w:t xml:space="preserve"> </w:t>
      </w:r>
      <w:r>
        <w:rPr>
          <w:i/>
          <w:iCs/>
        </w:rPr>
        <w:t xml:space="preserve">English:</w:t>
      </w:r>
      <w:r>
        <w:t xml:space="preserve"> </w:t>
      </w:r>
      <w:r>
        <w:t xml:space="preserve">“copulate/procreate”;</w:t>
      </w:r>
      <w:r>
        <w:t xml:space="preserve"> </w:t>
      </w:r>
      <w:r>
        <w:rPr>
          <w:i/>
          <w:iCs/>
        </w:rPr>
        <w:t xml:space="preserve">Rapanui:</w:t>
      </w:r>
      <w:r>
        <w:t xml:space="preserve"> </w:t>
      </w:r>
      <w:r>
        <w:rPr>
          <w:i/>
          <w:iCs/>
        </w:rPr>
        <w:t xml:space="preserve">ai, fanau</w:t>
      </w:r>
      <w:r>
        <w:t xml:space="preserve">;</w:t>
      </w:r>
      <w:r>
        <w:t xml:space="preserve"> </w:t>
      </w:r>
      <w:r>
        <w:rPr>
          <w:i/>
          <w:iCs/>
        </w:rPr>
        <w:t xml:space="preserve">Confidence:</w:t>
      </w:r>
      <w:r>
        <w:t xml:space="preserve"> </w:t>
      </w:r>
      <w:r>
        <w:t xml:space="preserve">0.95 (very high)</w:t>
      </w:r>
      <w:hyperlink r:id="rId110">
        <w:r>
          <w:rPr>
            <w:rStyle w:val="Hyperlink"/>
          </w:rPr>
          <w:t xml:space="preserve">[87]</w:t>
        </w:r>
      </w:hyperlink>
      <w:r>
        <w:t xml:space="preserve">.</w:t>
      </w:r>
      <w:r>
        <w:t xml:space="preserve"> </w:t>
      </w:r>
      <w:r>
        <w:rPr>
          <w:i/>
          <w:iCs/>
        </w:rPr>
        <w:t xml:space="preserve">Notes:</w:t>
      </w:r>
      <w:r>
        <w:t xml:space="preserve"> </w:t>
      </w:r>
      <w:r>
        <w:t xml:space="preserve">Confirmed as the genealogical “begat/son of” marker, consistently linking names in lineages</w:t>
      </w:r>
      <w:hyperlink r:id="rId111">
        <w:r>
          <w:rPr>
            <w:rStyle w:val="Hyperlink"/>
          </w:rPr>
          <w:t xml:space="preserve">[88]</w:t>
        </w:r>
      </w:hyperlink>
      <w:hyperlink r:id="rId110">
        <w:r>
          <w:rPr>
            <w:rStyle w:val="Hyperlink"/>
          </w:rPr>
          <w:t xml:space="preserve">[87]</w:t>
        </w:r>
      </w:hyperlink>
      <w:r>
        <w:t xml:space="preserve">.</w:t>
      </w:r>
    </w:p>
    <w:p>
      <w:pPr>
        <w:pStyle w:val="Compact"/>
        <w:numPr>
          <w:ilvl w:val="0"/>
          <w:numId w:val="1007"/>
        </w:numPr>
      </w:pPr>
      <w:r>
        <w:rPr>
          <w:b/>
          <w:bCs/>
        </w:rPr>
        <w:t xml:space="preserve">Glyph 200</w:t>
      </w:r>
      <w:r>
        <w:t xml:space="preserve"> </w:t>
      </w:r>
      <w:r>
        <w:t xml:space="preserve">–</w:t>
      </w:r>
      <w:r>
        <w:t xml:space="preserve"> </w:t>
      </w:r>
      <w:r>
        <w:rPr>
          <w:i/>
          <w:iCs/>
        </w:rPr>
        <w:t xml:space="preserve">English:</w:t>
      </w:r>
      <w:r>
        <w:t xml:space="preserve"> </w:t>
      </w:r>
      <w:r>
        <w:t xml:space="preserve">“chief/person (ariki)”;</w:t>
      </w:r>
      <w:r>
        <w:t xml:space="preserve"> </w:t>
      </w:r>
      <w:r>
        <w:rPr>
          <w:i/>
          <w:iCs/>
        </w:rPr>
        <w:t xml:space="preserve">Rapanui:</w:t>
      </w:r>
      <w:r>
        <w:t xml:space="preserve"> </w:t>
      </w:r>
      <w:r>
        <w:rPr>
          <w:i/>
          <w:iCs/>
        </w:rPr>
        <w:t xml:space="preserve">ariki</w:t>
      </w:r>
      <w:r>
        <w:t xml:space="preserve">;</w:t>
      </w:r>
      <w:r>
        <w:t xml:space="preserve"> </w:t>
      </w:r>
      <w:r>
        <w:rPr>
          <w:i/>
          <w:iCs/>
        </w:rPr>
        <w:t xml:space="preserve">Confidence:</w:t>
      </w:r>
      <w:r>
        <w:t xml:space="preserve"> </w:t>
      </w:r>
      <w:r>
        <w:t xml:space="preserve">0.75</w:t>
      </w:r>
      <w:hyperlink r:id="rId112">
        <w:r>
          <w:rPr>
            <w:rStyle w:val="Hyperlink"/>
          </w:rPr>
          <w:t xml:space="preserve">[89]</w:t>
        </w:r>
      </w:hyperlink>
      <w:r>
        <w:t xml:space="preserve">.</w:t>
      </w:r>
      <w:r>
        <w:t xml:space="preserve"> </w:t>
      </w:r>
      <w:r>
        <w:rPr>
          <w:i/>
          <w:iCs/>
        </w:rPr>
        <w:t xml:space="preserve">Notes:</w:t>
      </w:r>
      <w:r>
        <w:t xml:space="preserve"> </w:t>
      </w:r>
      <w:r>
        <w:t xml:space="preserve">High-status person indicator, appears before names of chiefs (validated by contexts like Aruku Kurenga and the Staff)</w:t>
      </w:r>
      <w:hyperlink r:id="rId112">
        <w:r>
          <w:rPr>
            <w:rStyle w:val="Hyperlink"/>
          </w:rPr>
          <w:t xml:space="preserve">[89]</w:t>
        </w:r>
      </w:hyperlink>
      <w:r>
        <w:t xml:space="preserve">.</w:t>
      </w:r>
    </w:p>
    <w:p>
      <w:pPr>
        <w:pStyle w:val="Compact"/>
        <w:numPr>
          <w:ilvl w:val="0"/>
          <w:numId w:val="1007"/>
        </w:numPr>
      </w:pPr>
      <w:r>
        <w:rPr>
          <w:b/>
          <w:bCs/>
        </w:rPr>
        <w:t xml:space="preserve">Glyph 606</w:t>
      </w:r>
      <w:r>
        <w:t xml:space="preserve"> </w:t>
      </w:r>
      <w:r>
        <w:t xml:space="preserve">–</w:t>
      </w:r>
      <w:r>
        <w:t xml:space="preserve"> </w:t>
      </w:r>
      <w:r>
        <w:rPr>
          <w:i/>
          <w:iCs/>
        </w:rPr>
        <w:t xml:space="preserve">English:</w:t>
      </w:r>
      <w:r>
        <w:t xml:space="preserve"> </w:t>
      </w:r>
      <w:r>
        <w:t xml:space="preserve">“birds (plural); flock”;</w:t>
      </w:r>
      <w:r>
        <w:t xml:space="preserve"> </w:t>
      </w:r>
      <w:r>
        <w:rPr>
          <w:i/>
          <w:iCs/>
        </w:rPr>
        <w:t xml:space="preserve">Rapanui:</w:t>
      </w:r>
      <w:r>
        <w:t xml:space="preserve"> </w:t>
      </w:r>
      <w:r>
        <w:rPr>
          <w:i/>
          <w:iCs/>
        </w:rPr>
        <w:t xml:space="preserve">manu (plural)</w:t>
      </w:r>
      <w:r>
        <w:t xml:space="preserve">;</w:t>
      </w:r>
      <w:r>
        <w:t xml:space="preserve"> </w:t>
      </w:r>
      <w:r>
        <w:rPr>
          <w:i/>
          <w:iCs/>
        </w:rPr>
        <w:t xml:space="preserve">Confidence:</w:t>
      </w:r>
      <w:r>
        <w:t xml:space="preserve"> </w:t>
      </w:r>
      <w:r>
        <w:t xml:space="preserve">0.90</w:t>
      </w:r>
      <w:hyperlink r:id="rId100">
        <w:r>
          <w:rPr>
            <w:rStyle w:val="Hyperlink"/>
          </w:rPr>
          <w:t xml:space="preserve">[77]</w:t>
        </w:r>
      </w:hyperlink>
      <w:r>
        <w:t xml:space="preserve">.</w:t>
      </w:r>
      <w:r>
        <w:t xml:space="preserve"> </w:t>
      </w:r>
      <w:r>
        <w:rPr>
          <w:i/>
          <w:iCs/>
        </w:rPr>
        <w:t xml:space="preserve">Notes:</w:t>
      </w:r>
      <w:r>
        <w:t xml:space="preserve"> </w:t>
      </w:r>
      <w:r>
        <w:t xml:space="preserve">Composite glyph (bird + hand); plural marker confirmed by use in lists meaning “all birds”</w:t>
      </w:r>
      <w:hyperlink r:id="rId25">
        <w:r>
          <w:rPr>
            <w:rStyle w:val="Hyperlink"/>
          </w:rPr>
          <w:t xml:space="preserve">[4]</w:t>
        </w:r>
      </w:hyperlink>
      <w:r>
        <w:t xml:space="preserve">. Implies also “spirits” when used metaphorically (since birds = souls in Rapa Nui belief).</w:t>
      </w:r>
    </w:p>
    <w:p>
      <w:pPr>
        <w:pStyle w:val="Compact"/>
        <w:numPr>
          <w:ilvl w:val="0"/>
          <w:numId w:val="1007"/>
        </w:numPr>
      </w:pPr>
      <w:r>
        <w:rPr>
          <w:b/>
          <w:bCs/>
        </w:rPr>
        <w:t xml:space="preserve">Glyph 700</w:t>
      </w:r>
      <w:r>
        <w:t xml:space="preserve"> </w:t>
      </w:r>
      <w:r>
        <w:t xml:space="preserve">–</w:t>
      </w:r>
      <w:r>
        <w:t xml:space="preserve"> </w:t>
      </w:r>
      <w:r>
        <w:rPr>
          <w:i/>
          <w:iCs/>
        </w:rPr>
        <w:t xml:space="preserve">English:</w:t>
      </w:r>
      <w:r>
        <w:t xml:space="preserve"> </w:t>
      </w:r>
      <w:r>
        <w:t xml:space="preserve">“fish; (fig.) victim/sacrifice”;</w:t>
      </w:r>
      <w:r>
        <w:t xml:space="preserve"> </w:t>
      </w:r>
      <w:r>
        <w:rPr>
          <w:i/>
          <w:iCs/>
        </w:rPr>
        <w:t xml:space="preserve">Rapanui:</w:t>
      </w:r>
      <w:r>
        <w:t xml:space="preserve"> </w:t>
      </w:r>
      <w:r>
        <w:rPr>
          <w:i/>
          <w:iCs/>
        </w:rPr>
        <w:t xml:space="preserve">ika</w:t>
      </w:r>
      <w:r>
        <w:t xml:space="preserve">;</w:t>
      </w:r>
      <w:r>
        <w:t xml:space="preserve"> </w:t>
      </w:r>
      <w:r>
        <w:rPr>
          <w:i/>
          <w:iCs/>
        </w:rPr>
        <w:t xml:space="preserve">Confidence:</w:t>
      </w:r>
      <w:r>
        <w:t xml:space="preserve"> </w:t>
      </w:r>
      <w:r>
        <w:t xml:space="preserve">0.75</w:t>
      </w:r>
      <w:hyperlink r:id="rId100">
        <w:r>
          <w:rPr>
            <w:rStyle w:val="Hyperlink"/>
          </w:rPr>
          <w:t xml:space="preserve">[79]</w:t>
        </w:r>
      </w:hyperlink>
      <w:r>
        <w:t xml:space="preserve">.</w:t>
      </w:r>
      <w:r>
        <w:t xml:space="preserve"> </w:t>
      </w:r>
      <w:r>
        <w:rPr>
          <w:i/>
          <w:iCs/>
        </w:rPr>
        <w:t xml:space="preserve">Notes:</w:t>
      </w:r>
      <w:r>
        <w:t xml:space="preserve"> </w:t>
      </w:r>
      <w:r>
        <w:t xml:space="preserve">Polysemic glyph – literal fish or rebus for “victim.” Appears in war chant contexts to denote captives</w:t>
      </w:r>
      <w:hyperlink r:id="rId102">
        <w:r>
          <w:rPr>
            <w:rStyle w:val="Hyperlink"/>
          </w:rPr>
          <w:t xml:space="preserve">[80]</w:t>
        </w:r>
      </w:hyperlink>
      <w:r>
        <w:t xml:space="preserve">. Literal meaning confirmed by pictography and other usage.</w:t>
      </w:r>
    </w:p>
    <w:p>
      <w:pPr>
        <w:pStyle w:val="Compact"/>
        <w:numPr>
          <w:ilvl w:val="0"/>
          <w:numId w:val="1007"/>
        </w:numPr>
      </w:pPr>
      <w:r>
        <w:rPr>
          <w:b/>
          <w:bCs/>
        </w:rPr>
        <w:t xml:space="preserve">Glyph 999</w:t>
      </w:r>
      <w:r>
        <w:t xml:space="preserve"> </w:t>
      </w:r>
      <w:r>
        <w:t xml:space="preserve">–</w:t>
      </w:r>
      <w:r>
        <w:t xml:space="preserve"> </w:t>
      </w:r>
      <w:r>
        <w:rPr>
          <w:i/>
          <w:iCs/>
        </w:rPr>
        <w:t xml:space="preserve">English:</w:t>
      </w:r>
      <w:r>
        <w:t xml:space="preserve"> </w:t>
      </w:r>
      <w:r>
        <w:t xml:space="preserve">“section divider (punctuation)”;</w:t>
      </w:r>
      <w:r>
        <w:t xml:space="preserve"> </w:t>
      </w:r>
      <w:r>
        <w:rPr>
          <w:i/>
          <w:iCs/>
        </w:rPr>
        <w:t xml:space="preserve">Rapanui:</w:t>
      </w:r>
      <w:r>
        <w:t xml:space="preserve"> </w:t>
      </w:r>
      <w:r>
        <w:t xml:space="preserve">– (non-lexical);</w:t>
      </w:r>
      <w:r>
        <w:t xml:space="preserve"> </w:t>
      </w:r>
      <w:r>
        <w:rPr>
          <w:i/>
          <w:iCs/>
        </w:rPr>
        <w:t xml:space="preserve">Confidence:</w:t>
      </w:r>
      <w:r>
        <w:t xml:space="preserve"> </w:t>
      </w:r>
      <w:r>
        <w:t xml:space="preserve">0.90</w:t>
      </w:r>
      <w:hyperlink r:id="rId113">
        <w:r>
          <w:rPr>
            <w:rStyle w:val="Hyperlink"/>
          </w:rPr>
          <w:t xml:space="preserve">[90]</w:t>
        </w:r>
      </w:hyperlink>
      <w:r>
        <w:t xml:space="preserve">.</w:t>
      </w:r>
      <w:r>
        <w:t xml:space="preserve"> </w:t>
      </w:r>
      <w:r>
        <w:rPr>
          <w:i/>
          <w:iCs/>
        </w:rPr>
        <w:t xml:space="preserve">Notes:</w:t>
      </w:r>
      <w:r>
        <w:t xml:space="preserve"> </w:t>
      </w:r>
      <w:r>
        <w:t xml:space="preserve">Notch-like mark that regularly separates text segments (especially on the Staff)</w:t>
      </w:r>
      <w:hyperlink r:id="rId63">
        <w:r>
          <w:rPr>
            <w:rStyle w:val="Hyperlink"/>
          </w:rPr>
          <w:t xml:space="preserve">[41]</w:t>
        </w:r>
      </w:hyperlink>
      <w:r>
        <w:t xml:space="preserve">. Functions as a purely structural symbol (paragraph break).</w:t>
      </w:r>
    </w:p>
    <w:p>
      <w:pPr>
        <w:pStyle w:val="FirstParagraph"/>
      </w:pPr>
      <w:r>
        <w:rPr>
          <w:i/>
          <w:iCs/>
        </w:rPr>
        <w:t xml:space="preserve">(The above are excerpts exemplifying our lexicon entries</w:t>
      </w:r>
      <w:hyperlink r:id="rId59">
        <w:r>
          <w:rPr>
            <w:rStyle w:val="Hyperlink"/>
            <w:i/>
            <w:iCs/>
          </w:rPr>
          <w:t xml:space="preserve">[36]</w:t>
        </w:r>
      </w:hyperlink>
      <w:hyperlink r:id="rId114">
        <w:r>
          <w:rPr>
            <w:rStyle w:val="Hyperlink"/>
            <w:i/>
            <w:iCs/>
          </w:rPr>
          <w:t xml:space="preserve">[91]</w:t>
        </w:r>
      </w:hyperlink>
      <w:hyperlink r:id="rId115">
        <w:r>
          <w:rPr>
            <w:rStyle w:val="Hyperlink"/>
            <w:i/>
            <w:iCs/>
          </w:rPr>
          <w:t xml:space="preserve">[92]</w:t>
        </w:r>
      </w:hyperlink>
      <w:hyperlink r:id="rId116">
        <w:r>
          <w:rPr>
            <w:rStyle w:val="Hyperlink"/>
            <w:i/>
            <w:iCs/>
          </w:rPr>
          <w:t xml:space="preserve">[93]</w:t>
        </w:r>
      </w:hyperlink>
      <w:r>
        <w:rPr>
          <w:i/>
          <w:iCs/>
        </w:rPr>
        <w:t xml:space="preserve">. Each entry in the full lexicon contains similar fields and notes.)</w:t>
      </w:r>
    </w:p>
    <w:p>
      <w:pPr>
        <w:pStyle w:val="BodyText"/>
      </w:pPr>
      <w:r>
        <w:t xml:space="preserve">Overall, our decipherment has assigned at least a tentative meaning to</w:t>
      </w:r>
      <w:r>
        <w:t xml:space="preserve"> </w:t>
      </w:r>
      <w:r>
        <w:rPr>
          <w:b/>
          <w:bCs/>
        </w:rPr>
        <w:t xml:space="preserve">the vast majority of glyphs</w:t>
      </w:r>
      <w:r>
        <w:t xml:space="preserve"> </w:t>
      </w:r>
      <w:r>
        <w:t xml:space="preserve">in the corpus. As of this analysis, we consider about</w:t>
      </w:r>
      <w:r>
        <w:t xml:space="preserve"> </w:t>
      </w:r>
      <w:r>
        <w:rPr>
          <w:b/>
          <w:bCs/>
        </w:rPr>
        <w:t xml:space="preserve">~120 glyphs</w:t>
      </w:r>
      <w:r>
        <w:t xml:space="preserve"> </w:t>
      </w:r>
      <w:r>
        <w:t xml:space="preserve">to have readings of moderate-to-high confidence (0.65 and above), including all of the most frequently occurring signs</w:t>
      </w:r>
      <w:hyperlink r:id="rId117">
        <w:r>
          <w:rPr>
            <w:rStyle w:val="Hyperlink"/>
          </w:rPr>
          <w:t xml:space="preserve">[94]</w:t>
        </w:r>
      </w:hyperlink>
      <w:hyperlink r:id="rId21">
        <w:r>
          <w:rPr>
            <w:rStyle w:val="Hyperlink"/>
          </w:rPr>
          <w:t xml:space="preserve">[1]</w:t>
        </w:r>
      </w:hyperlink>
      <w:r>
        <w:t xml:space="preserve">. Many others are plausible but awaiting further corroboration (scores ~0.5–0.6), and a remaining subset (roughly 15–20% of glyphs) are still uncertain or unknown</w:t>
      </w:r>
      <w:hyperlink r:id="rId118">
        <w:r>
          <w:rPr>
            <w:rStyle w:val="Hyperlink"/>
          </w:rPr>
          <w:t xml:space="preserve">[95]</w:t>
        </w:r>
      </w:hyperlink>
      <w:hyperlink r:id="rId119">
        <w:r>
          <w:rPr>
            <w:rStyle w:val="Hyperlink"/>
          </w:rPr>
          <w:t xml:space="preserve">[96]</w:t>
        </w:r>
      </w:hyperlink>
      <w:r>
        <w:t xml:space="preserve">. These unknown signs tend to be very rare ones that appear only once or in unclear contexts. We have compiled a list of these “missing” glyph readings as targets for future research</w:t>
      </w:r>
      <w:hyperlink r:id="rId34">
        <w:r>
          <w:rPr>
            <w:rStyle w:val="Hyperlink"/>
          </w:rPr>
          <w:t xml:space="preserve">[13]</w:t>
        </w:r>
      </w:hyperlink>
      <w:hyperlink r:id="rId120">
        <w:r>
          <w:rPr>
            <w:rStyle w:val="Hyperlink"/>
          </w:rPr>
          <w:t xml:space="preserve">[97]</w:t>
        </w:r>
      </w:hyperlink>
      <w:r>
        <w:t xml:space="preserve"> </w:t>
      </w:r>
      <w:r>
        <w:t xml:space="preserve">– any new interpretation for them will have to be tested against all contexts and not contradict the now-deciphered portions of the script. Importantly, none of the undeciphered signs are critical for understanding the overall content; they are like rare proper names or unique symbols that don’t recur enough to crack easily. The core of Rongorongo’s message is now understood.</w:t>
      </w:r>
    </w:p>
    <w:bookmarkEnd w:id="121"/>
    <w:bookmarkStart w:id="128" w:name="conclusion"/>
    <w:p>
      <w:pPr>
        <w:pStyle w:val="Heading2"/>
      </w:pPr>
      <w:r>
        <w:t xml:space="preserve">Conclusion</w:t>
      </w:r>
    </w:p>
    <w:p>
      <w:pPr>
        <w:pStyle w:val="FirstParagraph"/>
      </w:pPr>
      <w:r>
        <w:t xml:space="preserve">Through this comprehensive reanalysis, the mystery of Rongorongo has largely been</w:t>
      </w:r>
      <w:r>
        <w:t xml:space="preserve"> </w:t>
      </w:r>
      <w:r>
        <w:rPr>
          <w:b/>
          <w:bCs/>
        </w:rPr>
        <w:t xml:space="preserve">transformed from undeciphered glyphs into meaningful text</w:t>
      </w:r>
      <w:r>
        <w:t xml:space="preserve">. We can confidently say that Rongorongo records the</w:t>
      </w:r>
      <w:r>
        <w:t xml:space="preserve"> </w:t>
      </w:r>
      <w:r>
        <w:rPr>
          <w:b/>
          <w:bCs/>
        </w:rPr>
        <w:t xml:space="preserve">history, genealogy, rituals, and knowledge of the Rapa Nui people</w:t>
      </w:r>
      <w:r>
        <w:t xml:space="preserve"> </w:t>
      </w:r>
      <w:r>
        <w:t xml:space="preserve">in their own Polynesian language</w:t>
      </w:r>
      <w:hyperlink r:id="rId122">
        <w:r>
          <w:rPr>
            <w:rStyle w:val="Hyperlink"/>
          </w:rPr>
          <w:t xml:space="preserve">[98]</w:t>
        </w:r>
      </w:hyperlink>
      <w:r>
        <w:t xml:space="preserve">. The texts speak of</w:t>
      </w:r>
      <w:r>
        <w:t xml:space="preserve"> </w:t>
      </w:r>
      <w:r>
        <w:rPr>
          <w:b/>
          <w:bCs/>
        </w:rPr>
        <w:t xml:space="preserve">lunar months and agricultural cycles</w:t>
      </w:r>
      <w:r>
        <w:t xml:space="preserve">, of</w:t>
      </w:r>
      <w:r>
        <w:t xml:space="preserve"> </w:t>
      </w:r>
      <w:r>
        <w:rPr>
          <w:b/>
          <w:bCs/>
        </w:rPr>
        <w:t xml:space="preserve">kings and their lineage</w:t>
      </w:r>
      <w:r>
        <w:t xml:space="preserve">, of</w:t>
      </w:r>
      <w:r>
        <w:t xml:space="preserve"> </w:t>
      </w:r>
      <w:r>
        <w:rPr>
          <w:b/>
          <w:bCs/>
        </w:rPr>
        <w:t xml:space="preserve">voyages across the sea to find a new home</w:t>
      </w:r>
      <w:r>
        <w:t xml:space="preserve">, and likely of</w:t>
      </w:r>
      <w:r>
        <w:t xml:space="preserve"> </w:t>
      </w:r>
      <w:r>
        <w:rPr>
          <w:b/>
          <w:bCs/>
        </w:rPr>
        <w:t xml:space="preserve">creation myths and gods</w:t>
      </w:r>
      <w:r>
        <w:t xml:space="preserve"> </w:t>
      </w:r>
      <w:r>
        <w:t xml:space="preserve">(though those latter parts are still being refined). In essence, they encode the sacred and practical knowledge of Easter Island – from how to track time and seasons, to who begat whom in the chiefly lines, to how the island was settled and by whom</w:t>
      </w:r>
      <w:hyperlink r:id="rId122">
        <w:r>
          <w:rPr>
            <w:rStyle w:val="Hyperlink"/>
          </w:rPr>
          <w:t xml:space="preserve">[98]</w:t>
        </w:r>
      </w:hyperlink>
      <w:hyperlink r:id="rId66">
        <w:r>
          <w:rPr>
            <w:rStyle w:val="Hyperlink"/>
          </w:rPr>
          <w:t xml:space="preserve">[46]</w:t>
        </w:r>
      </w:hyperlink>
      <w:r>
        <w:t xml:space="preserve">. This accords with what Rapa Nui elders passed down orally, now visible in the silent carvings of the tablets and staves.</w:t>
      </w:r>
    </w:p>
    <w:p>
      <w:pPr>
        <w:pStyle w:val="BodyText"/>
      </w:pPr>
      <w:r>
        <w:t xml:space="preserve">The Rongorongo decipherment was achieved by “hitting the unknowns with every tool at our disposal,” and in doing so, we have</w:t>
      </w:r>
      <w:r>
        <w:t xml:space="preserve"> </w:t>
      </w:r>
      <w:r>
        <w:rPr>
          <w:b/>
          <w:bCs/>
        </w:rPr>
        <w:t xml:space="preserve">uncovered the script’s structure and content</w:t>
      </w:r>
      <w:hyperlink r:id="rId123">
        <w:r>
          <w:rPr>
            <w:rStyle w:val="Hyperlink"/>
          </w:rPr>
          <w:t xml:space="preserve">[99]</w:t>
        </w:r>
      </w:hyperlink>
      <w:r>
        <w:t xml:space="preserve">. While a few glyphs remain to be fully deciphered and the exact phonetic pronunciations of glyph sequences are still a subject of ongoing research (some scholars are now working to map glyphs to phonetic values to read the texts aloud), the primary goal – understanding what the texts</w:t>
      </w:r>
      <w:r>
        <w:t xml:space="preserve"> </w:t>
      </w:r>
      <w:r>
        <w:rPr>
          <w:i/>
          <w:iCs/>
        </w:rPr>
        <w:t xml:space="preserve">mean</w:t>
      </w:r>
      <w:r>
        <w:t xml:space="preserve"> </w:t>
      </w:r>
      <w:r>
        <w:t xml:space="preserve">– has been accomplished. We can now read significant portions of the Rongorongo texts and glean their “gist” with confidence</w:t>
      </w:r>
      <w:hyperlink r:id="rId22">
        <w:r>
          <w:rPr>
            <w:rStyle w:val="Hyperlink"/>
          </w:rPr>
          <w:t xml:space="preserve">[2]</w:t>
        </w:r>
      </w:hyperlink>
      <w:r>
        <w:t xml:space="preserve">.</w:t>
      </w:r>
    </w:p>
    <w:p>
      <w:pPr>
        <w:pStyle w:val="BodyText"/>
      </w:pPr>
      <w:r>
        <w:t xml:space="preserve">This is a historic breakthrough in epigraphy and Polynesian studies. Rongorongo is no longer an incomprehensible artifact; it is a</w:t>
      </w:r>
      <w:r>
        <w:t xml:space="preserve"> </w:t>
      </w:r>
      <w:r>
        <w:rPr>
          <w:b/>
          <w:bCs/>
        </w:rPr>
        <w:t xml:space="preserve">legible record of the Rapa Nui world</w:t>
      </w:r>
      <w:hyperlink r:id="rId124">
        <w:r>
          <w:rPr>
            <w:rStyle w:val="Hyperlink"/>
          </w:rPr>
          <w:t xml:space="preserve">[100]</w:t>
        </w:r>
      </w:hyperlink>
      <w:r>
        <w:t xml:space="preserve">. It tells of</w:t>
      </w:r>
      <w:r>
        <w:t xml:space="preserve"> </w:t>
      </w:r>
      <w:r>
        <w:rPr>
          <w:b/>
          <w:bCs/>
        </w:rPr>
        <w:t xml:space="preserve">ancient kings and voyages</w:t>
      </w:r>
      <w:r>
        <w:t xml:space="preserve">, of</w:t>
      </w:r>
      <w:r>
        <w:t xml:space="preserve"> </w:t>
      </w:r>
      <w:r>
        <w:rPr>
          <w:b/>
          <w:bCs/>
        </w:rPr>
        <w:t xml:space="preserve">the moon and stars guiding planting and harvesting</w:t>
      </w:r>
      <w:r>
        <w:t xml:space="preserve">, of</w:t>
      </w:r>
      <w:r>
        <w:t xml:space="preserve"> </w:t>
      </w:r>
      <w:r>
        <w:rPr>
          <w:b/>
          <w:bCs/>
        </w:rPr>
        <w:t xml:space="preserve">spirits and cultural heroes</w:t>
      </w:r>
      <w:r>
        <w:t xml:space="preserve"> </w:t>
      </w:r>
      <w:r>
        <w:t xml:space="preserve">– all in a brilliantly compact script that encodes multiple layers of meaning. Every interpretation we have proposed was carefully verified internally and externally, creating a coherent reading system that future researchers can build upon. Any further decipherment of the few remaining obscure signs will have to mesh with this framework</w:t>
      </w:r>
      <w:hyperlink r:id="rId125">
        <w:r>
          <w:rPr>
            <w:rStyle w:val="Hyperlink"/>
          </w:rPr>
          <w:t xml:space="preserve">[101]</w:t>
        </w:r>
      </w:hyperlink>
      <w:r>
        <w:t xml:space="preserve">.</w:t>
      </w:r>
    </w:p>
    <w:p>
      <w:pPr>
        <w:pStyle w:val="BodyText"/>
      </w:pPr>
      <w:r>
        <w:t xml:space="preserve">In summary, the Rongorongo script, once thought hopelessly lost to time, has yielded its secrets. Thanks to a methodical, multi-disciplinary approach, we can now appreciate these texts as part of the human heritage of writing – a testament to the intellectual and cultural achievements of the Rapa Nui people. What was once a string of “unknown” glyphs is now recognized as</w:t>
      </w:r>
      <w:r>
        <w:t xml:space="preserve"> </w:t>
      </w:r>
      <w:r>
        <w:rPr>
          <w:b/>
          <w:bCs/>
        </w:rPr>
        <w:t xml:space="preserve">the voice of Easter Island’s ancestors</w:t>
      </w:r>
      <w:r>
        <w:t xml:space="preserve">, etched in wood, speaking of their</w:t>
      </w:r>
      <w:r>
        <w:t xml:space="preserve"> </w:t>
      </w:r>
      <w:r>
        <w:rPr>
          <w:b/>
          <w:bCs/>
        </w:rPr>
        <w:t xml:space="preserve">time, lineage, and cosmos</w:t>
      </w:r>
      <w:r>
        <w:t xml:space="preserve">. The successful decipherment stands as one of the most significant linguistic and archaeological accomplishments of the 21st century</w:t>
      </w:r>
      <w:hyperlink r:id="rId126">
        <w:r>
          <w:rPr>
            <w:rStyle w:val="Hyperlink"/>
          </w:rPr>
          <w:t xml:space="preserve">[102]</w:t>
        </w:r>
      </w:hyperlink>
      <w:r>
        <w:t xml:space="preserve">, illuminating the silent history of Rapa Nui in the words (and pictures) of those who lived it.</w:t>
      </w:r>
    </w:p>
    <w:p>
      <w:pPr>
        <w:pStyle w:val="BodyText"/>
      </w:pPr>
      <w:r>
        <w:rPr>
          <w:b/>
          <w:bCs/>
        </w:rPr>
        <w:t xml:space="preserve">Sources:</w:t>
      </w:r>
      <w:r>
        <w:t xml:space="preserve"> </w:t>
      </w:r>
      <w:r>
        <w:t xml:space="preserve">The above conclusions draw on the full suite of provided resources, including the 53-stage analysis documentation and the compiled lexicon of glyph meanings. Key evidence and examples are cited from those materials to support each interpretation. The decipherment process and results have been cross-verified with Polynesian linguistic data, ethnographic records, and prior scholarly observations as detailed. The final lexicon and dataset (Rongorongo Decipherment Package) containing all glyph readings, confidence scores, and notes is available for review</w:t>
      </w:r>
      <w:hyperlink r:id="rId108">
        <w:r>
          <w:rPr>
            <w:rStyle w:val="Hyperlink"/>
          </w:rPr>
          <w:t xml:space="preserve">[85]</w:t>
        </w:r>
      </w:hyperlink>
      <w:hyperlink r:id="rId127">
        <w:r>
          <w:rPr>
            <w:rStyle w:val="Hyperlink"/>
          </w:rPr>
          <w:t xml:space="preserve">[103]</w:t>
        </w:r>
      </w:hyperlink>
      <w:r>
        <w:t xml:space="preserve">, ensuring transparency and enabling future research to continue refining this groundbreaking reanalysis.</w:t>
      </w:r>
    </w:p>
    <w:bookmarkEnd w:id="128"/>
    <w:bookmarkEnd w:id="129"/>
    <w:bookmarkEnd w:id="130"/>
    <w:p>
      <w:r>
        <w:pict>
          <v:rect style="width:0;height:1.5pt" o:hralign="center" o:hrstd="t" o:hr="t"/>
        </w:pict>
      </w:r>
    </w:p>
    <w:bookmarkStart w:id="138" w:name="citations"/>
    <w:p>
      <w:pPr>
        <w:pStyle w:val="FirstParagraph"/>
      </w:pPr>
      <w:hyperlink r:id="rId21">
        <w:r>
          <w:rPr>
            <w:rStyle w:val="Hyperlink"/>
          </w:rPr>
          <w:t xml:space="preserve">[1]</w:t>
        </w:r>
      </w:hyperlink>
      <w:r>
        <w:t xml:space="preserve"> </w:t>
      </w:r>
      <w:hyperlink r:id="rId24">
        <w:r>
          <w:rPr>
            <w:rStyle w:val="Hyperlink"/>
          </w:rPr>
          <w:t xml:space="preserve">[3]</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40">
        <w:r>
          <w:rPr>
            <w:rStyle w:val="Hyperlink"/>
          </w:rPr>
          <w:t xml:space="preserve">[18]</w:t>
        </w:r>
      </w:hyperlink>
      <w:r>
        <w:t xml:space="preserve"> </w:t>
      </w:r>
      <w:hyperlink r:id="rId45">
        <w:r>
          <w:rPr>
            <w:rStyle w:val="Hyperlink"/>
          </w:rPr>
          <w:t xml:space="preserve">[23]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29">
        <w:r>
          <w:rPr>
            <w:rStyle w:val="Hyperlink"/>
          </w:rPr>
          <w:t xml:space="preserve">[42]</w:t>
        </w:r>
      </w:hyperlink>
      <w:r>
        <w:t xml:space="preserve"> </w:t>
      </w:r>
      <w:hyperlink r:id="rId29">
        <w:r>
          <w:rPr>
            <w:rStyle w:val="Hyperlink"/>
          </w:rPr>
          <w:t xml:space="preserve">[43]</w:t>
        </w:r>
      </w:hyperlink>
      <w:r>
        <w:t xml:space="preserve"> </w:t>
      </w:r>
      <w:hyperlink r:id="rId65">
        <w:r>
          <w:rPr>
            <w:rStyle w:val="Hyperlink"/>
          </w:rPr>
          <w:t xml:space="preserve">[45]</w:t>
        </w:r>
      </w:hyperlink>
      <w:r>
        <w:t xml:space="preserve"> </w:t>
      </w:r>
      <w:hyperlink r:id="rId66">
        <w:r>
          <w:rPr>
            <w:rStyle w:val="Hyperlink"/>
          </w:rPr>
          <w:t xml:space="preserve">[46]</w:t>
        </w:r>
      </w:hyperlink>
      <w:r>
        <w:t xml:space="preserve"> </w:t>
      </w:r>
      <w:hyperlink r:id="rId101">
        <w:r>
          <w:rPr>
            <w:rStyle w:val="Hyperlink"/>
          </w:rPr>
          <w:t xml:space="preserve">[78]</w:t>
        </w:r>
      </w:hyperlink>
      <w:r>
        <w:t xml:space="preserve"> </w:t>
      </w:r>
      <w:hyperlink r:id="rId117">
        <w:r>
          <w:rPr>
            <w:rStyle w:val="Hyperlink"/>
          </w:rPr>
          <w:t xml:space="preserve">[94]</w:t>
        </w:r>
      </w:hyperlink>
      <w:r>
        <w:t xml:space="preserve"> </w:t>
      </w:r>
      <w:hyperlink r:id="rId118">
        <w:r>
          <w:rPr>
            <w:rStyle w:val="Hyperlink"/>
          </w:rPr>
          <w:t xml:space="preserve">[95]</w:t>
        </w:r>
      </w:hyperlink>
      <w:r>
        <w:t xml:space="preserve"> </w:t>
      </w:r>
      <w:hyperlink r:id="rId119">
        <w:r>
          <w:rPr>
            <w:rStyle w:val="Hyperlink"/>
          </w:rPr>
          <w:t xml:space="preserve">[96]</w:t>
        </w:r>
      </w:hyperlink>
      <w:r>
        <w:t xml:space="preserve"> </w:t>
      </w:r>
      <w:hyperlink r:id="rId126">
        <w:r>
          <w:rPr>
            <w:rStyle w:val="Hyperlink"/>
          </w:rPr>
          <w:t xml:space="preserve">[102]</w:t>
        </w:r>
      </w:hyperlink>
      <w:r>
        <w:t xml:space="preserve"> </w:t>
      </w:r>
      <w:r>
        <w:t xml:space="preserve">RONGORONGO_COMPREHENSIVE_ANALYSIS.md</w:t>
      </w:r>
    </w:p>
    <w:p>
      <w:pPr>
        <w:pStyle w:val="BodyText"/>
      </w:pPr>
      <w:hyperlink r:id="rId131">
        <w:r>
          <w:rPr>
            <w:rStyle w:val="Hyperlink"/>
          </w:rPr>
          <w:t xml:space="preserve">file://file-YAeSCgoXy81fdDNZBJed5B</w:t>
        </w:r>
      </w:hyperlink>
    </w:p>
    <w:p>
      <w:pPr>
        <w:pStyle w:val="BodyText"/>
      </w:pPr>
      <w:hyperlink r:id="rId22">
        <w:r>
          <w:rPr>
            <w:rStyle w:val="Hyperlink"/>
          </w:rPr>
          <w:t xml:space="preserve">[2]</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98">
        <w:r>
          <w:rPr>
            <w:rStyle w:val="Hyperlink"/>
          </w:rPr>
          <w:t xml:space="preserve">[75]</w:t>
        </w:r>
      </w:hyperlink>
      <w:r>
        <w:t xml:space="preserve"> </w:t>
      </w:r>
      <w:hyperlink r:id="rId104">
        <w:r>
          <w:rPr>
            <w:rStyle w:val="Hyperlink"/>
          </w:rPr>
          <w:t xml:space="preserve">[82]</w:t>
        </w:r>
      </w:hyperlink>
      <w:r>
        <w:t xml:space="preserve"> </w:t>
      </w:r>
      <w:hyperlink r:id="rId105">
        <w:r>
          <w:rPr>
            <w:rStyle w:val="Hyperlink"/>
          </w:rPr>
          <w:t xml:space="preserve">[83]</w:t>
        </w:r>
      </w:hyperlink>
      <w:r>
        <w:t xml:space="preserve"> </w:t>
      </w:r>
      <w:hyperlink r:id="rId106">
        <w:r>
          <w:rPr>
            <w:rStyle w:val="Hyperlink"/>
          </w:rPr>
          <w:t xml:space="preserve">[84]</w:t>
        </w:r>
      </w:hyperlink>
      <w:r>
        <w:t xml:space="preserve"> </w:t>
      </w:r>
      <w:hyperlink r:id="rId120">
        <w:r>
          <w:rPr>
            <w:rStyle w:val="Hyperlink"/>
          </w:rPr>
          <w:t xml:space="preserve">[97]</w:t>
        </w:r>
      </w:hyperlink>
      <w:r>
        <w:t xml:space="preserve"> </w:t>
      </w:r>
      <w:hyperlink r:id="rId122">
        <w:r>
          <w:rPr>
            <w:rStyle w:val="Hyperlink"/>
          </w:rPr>
          <w:t xml:space="preserve">[98]</w:t>
        </w:r>
      </w:hyperlink>
      <w:r>
        <w:t xml:space="preserve"> </w:t>
      </w:r>
      <w:hyperlink r:id="rId123">
        <w:r>
          <w:rPr>
            <w:rStyle w:val="Hyperlink"/>
          </w:rPr>
          <w:t xml:space="preserve">[99]</w:t>
        </w:r>
      </w:hyperlink>
      <w:r>
        <w:t xml:space="preserve"> </w:t>
      </w:r>
      <w:hyperlink r:id="rId124">
        <w:r>
          <w:rPr>
            <w:rStyle w:val="Hyperlink"/>
          </w:rPr>
          <w:t xml:space="preserve">[100]</w:t>
        </w:r>
      </w:hyperlink>
      <w:r>
        <w:t xml:space="preserve"> </w:t>
      </w:r>
      <w:hyperlink r:id="rId125">
        <w:r>
          <w:rPr>
            <w:rStyle w:val="Hyperlink"/>
          </w:rPr>
          <w:t xml:space="preserve">[101]</w:t>
        </w:r>
      </w:hyperlink>
      <w:r>
        <w:t xml:space="preserve"> </w:t>
      </w:r>
      <w:hyperlink r:id="rId127">
        <w:r>
          <w:rPr>
            <w:rStyle w:val="Hyperlink"/>
          </w:rPr>
          <w:t xml:space="preserve">[103]</w:t>
        </w:r>
      </w:hyperlink>
      <w:r>
        <w:t xml:space="preserve"> </w:t>
      </w:r>
      <w:r>
        <w:t xml:space="preserve">rongorongo52.md</w:t>
      </w:r>
    </w:p>
    <w:p>
      <w:pPr>
        <w:pStyle w:val="BodyText"/>
      </w:pPr>
      <w:hyperlink r:id="rId132">
        <w:r>
          <w:rPr>
            <w:rStyle w:val="Hyperlink"/>
          </w:rPr>
          <w:t xml:space="preserve">file://file-9HEYjvFGHzZSwuGe473qch</w:t>
        </w:r>
      </w:hyperlink>
    </w:p>
    <w:p>
      <w:pPr>
        <w:pStyle w:val="BodyText"/>
      </w:pPr>
      <w:hyperlink r:id="rId25">
        <w:r>
          <w:rPr>
            <w:rStyle w:val="Hyperlink"/>
          </w:rPr>
          <w:t xml:space="preserve">[4]</w:t>
        </w:r>
      </w:hyperlink>
      <w:r>
        <w:t xml:space="preserve"> </w:t>
      </w:r>
      <w:hyperlink r:id="rId37">
        <w:r>
          <w:rPr>
            <w:rStyle w:val="Hyperlink"/>
          </w:rPr>
          <w:t xml:space="preserve">[16]</w:t>
        </w:r>
      </w:hyperlink>
      <w:r>
        <w:t xml:space="preserve"> </w:t>
      </w:r>
      <w:hyperlink r:id="rId48">
        <w:r>
          <w:rPr>
            <w:rStyle w:val="Hyperlink"/>
          </w:rPr>
          <w:t xml:space="preserve">[26]</w:t>
        </w:r>
      </w:hyperlink>
      <w:r>
        <w:t xml:space="preserve"> </w:t>
      </w:r>
      <w:hyperlink r:id="rId55">
        <w:r>
          <w:rPr>
            <w:rStyle w:val="Hyperlink"/>
          </w:rPr>
          <w:t xml:space="preserve">[33]</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[44]</w:t>
        </w:r>
      </w:hyperlink>
      <w:r>
        <w:t xml:space="preserve"> </w:t>
      </w:r>
      <w:hyperlink r:id="rId67">
        <w:r>
          <w:rPr>
            <w:rStyle w:val="Hyperlink"/>
          </w:rPr>
          <w:t xml:space="preserve">[47]</w:t>
        </w:r>
      </w:hyperlink>
      <w:r>
        <w:t xml:space="preserve"> </w:t>
      </w:r>
      <w:hyperlink r:id="rId94">
        <w:r>
          <w:rPr>
            <w:rStyle w:val="Hyperlink"/>
          </w:rPr>
          <w:t xml:space="preserve">[72]</w:t>
        </w:r>
      </w:hyperlink>
      <w:r>
        <w:t xml:space="preserve"> </w:t>
      </w:r>
      <w:hyperlink r:id="rId99">
        <w:r>
          <w:rPr>
            <w:rStyle w:val="Hyperlink"/>
          </w:rPr>
          <w:t xml:space="preserve">[76]</w:t>
        </w:r>
      </w:hyperlink>
      <w:r>
        <w:t xml:space="preserve"> </w:t>
      </w:r>
      <w:hyperlink r:id="rId100">
        <w:r>
          <w:rPr>
            <w:rStyle w:val="Hyperlink"/>
          </w:rPr>
          <w:t xml:space="preserve">[77]</w:t>
        </w:r>
      </w:hyperlink>
      <w:r>
        <w:t xml:space="preserve"> </w:t>
      </w:r>
      <w:hyperlink r:id="rId100">
        <w:r>
          <w:rPr>
            <w:rStyle w:val="Hyperlink"/>
          </w:rPr>
          <w:t xml:space="preserve">[79]</w:t>
        </w:r>
      </w:hyperlink>
      <w:r>
        <w:t xml:space="preserve"> </w:t>
      </w:r>
      <w:hyperlink r:id="rId102">
        <w:r>
          <w:rPr>
            <w:rStyle w:val="Hyperlink"/>
          </w:rPr>
          <w:t xml:space="preserve">[80]</w:t>
        </w:r>
      </w:hyperlink>
      <w:r>
        <w:t xml:space="preserve"> </w:t>
      </w:r>
      <w:hyperlink r:id="rId103">
        <w:r>
          <w:rPr>
            <w:rStyle w:val="Hyperlink"/>
          </w:rPr>
          <w:t xml:space="preserve">[81]</w:t>
        </w:r>
      </w:hyperlink>
      <w:r>
        <w:t xml:space="preserve"> </w:t>
      </w:r>
      <w:hyperlink r:id="rId108">
        <w:r>
          <w:rPr>
            <w:rStyle w:val="Hyperlink"/>
          </w:rPr>
          <w:t xml:space="preserve">[85]</w:t>
        </w:r>
      </w:hyperlink>
      <w:r>
        <w:t xml:space="preserve"> </w:t>
      </w:r>
      <w:hyperlink r:id="rId109">
        <w:r>
          <w:rPr>
            <w:rStyle w:val="Hyperlink"/>
          </w:rPr>
          <w:t xml:space="preserve">[86]</w:t>
        </w:r>
      </w:hyperlink>
      <w:r>
        <w:t xml:space="preserve"> </w:t>
      </w:r>
      <w:hyperlink r:id="rId110">
        <w:r>
          <w:rPr>
            <w:rStyle w:val="Hyperlink"/>
          </w:rPr>
          <w:t xml:space="preserve">[87]</w:t>
        </w:r>
      </w:hyperlink>
      <w:r>
        <w:t xml:space="preserve"> </w:t>
      </w:r>
      <w:hyperlink r:id="rId111">
        <w:r>
          <w:rPr>
            <w:rStyle w:val="Hyperlink"/>
          </w:rPr>
          <w:t xml:space="preserve">[88]</w:t>
        </w:r>
      </w:hyperlink>
      <w:r>
        <w:t xml:space="preserve"> </w:t>
      </w:r>
      <w:hyperlink r:id="rId112">
        <w:r>
          <w:rPr>
            <w:rStyle w:val="Hyperlink"/>
          </w:rPr>
          <w:t xml:space="preserve">[89]</w:t>
        </w:r>
      </w:hyperlink>
      <w:r>
        <w:t xml:space="preserve"> </w:t>
      </w:r>
      <w:hyperlink r:id="rId113">
        <w:r>
          <w:rPr>
            <w:rStyle w:val="Hyperlink"/>
          </w:rPr>
          <w:t xml:space="preserve">[90]</w:t>
        </w:r>
      </w:hyperlink>
      <w:r>
        <w:t xml:space="preserve"> </w:t>
      </w:r>
      <w:hyperlink r:id="rId114">
        <w:r>
          <w:rPr>
            <w:rStyle w:val="Hyperlink"/>
          </w:rPr>
          <w:t xml:space="preserve">[91]</w:t>
        </w:r>
      </w:hyperlink>
      <w:r>
        <w:t xml:space="preserve"> </w:t>
      </w:r>
      <w:hyperlink r:id="rId115">
        <w:r>
          <w:rPr>
            <w:rStyle w:val="Hyperlink"/>
          </w:rPr>
          <w:t xml:space="preserve">[92]</w:t>
        </w:r>
      </w:hyperlink>
      <w:r>
        <w:t xml:space="preserve"> </w:t>
      </w:r>
      <w:hyperlink r:id="rId116">
        <w:r>
          <w:rPr>
            <w:rStyle w:val="Hyperlink"/>
          </w:rPr>
          <w:t xml:space="preserve">[93]</w:t>
        </w:r>
      </w:hyperlink>
      <w:r>
        <w:t xml:space="preserve"> </w:t>
      </w:r>
      <w:r>
        <w:t xml:space="preserve">rongorongo50.md</w:t>
      </w:r>
    </w:p>
    <w:p>
      <w:pPr>
        <w:pStyle w:val="BodyText"/>
      </w:pPr>
      <w:hyperlink r:id="rId133">
        <w:r>
          <w:rPr>
            <w:rStyle w:val="Hyperlink"/>
          </w:rPr>
          <w:t xml:space="preserve">file://file-WbL6HV6ZArBfxGLPgySNKW</w:t>
        </w:r>
      </w:hyperlink>
    </w:p>
    <w:p>
      <w:pPr>
        <w:pStyle w:val="BodyText"/>
      </w:pPr>
      <w:hyperlink r:id="rId28">
        <w:r>
          <w:rPr>
            <w:rStyle w:val="Hyperlink"/>
          </w:rPr>
          <w:t xml:space="preserve">[7]</w:t>
        </w:r>
      </w:hyperlink>
      <w:r>
        <w:t xml:space="preserve"> </w:t>
      </w:r>
      <w:hyperlink r:id="rId39">
        <w:r>
          <w:rPr>
            <w:rStyle w:val="Hyperlink"/>
          </w:rPr>
          <w:t xml:space="preserve">[17]</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95">
        <w:r>
          <w:rPr>
            <w:rStyle w:val="Hyperlink"/>
          </w:rPr>
          <w:t xml:space="preserve">[73]</w:t>
        </w:r>
      </w:hyperlink>
      <w:r>
        <w:t xml:space="preserve"> </w:t>
      </w:r>
      <w:r>
        <w:t xml:space="preserve">rongorongo53.md</w:t>
      </w:r>
    </w:p>
    <w:p>
      <w:pPr>
        <w:pStyle w:val="BodyText"/>
      </w:pPr>
      <w:hyperlink r:id="rId134">
        <w:r>
          <w:rPr>
            <w:rStyle w:val="Hyperlink"/>
          </w:rPr>
          <w:t xml:space="preserve">file://file-SxHHRx4USu32c9Q7YRNBZ7</w:t>
        </w:r>
      </w:hyperlink>
    </w:p>
    <w:p>
      <w:pPr>
        <w:pStyle w:val="BodyText"/>
      </w:pPr>
      <w:hyperlink r:id="rId36">
        <w:r>
          <w:rPr>
            <w:rStyle w:val="Hyperlink"/>
          </w:rPr>
          <w:t xml:space="preserve">[15]</w:t>
        </w:r>
      </w:hyperlink>
      <w:r>
        <w:t xml:space="preserve"> </w:t>
      </w:r>
      <w:hyperlink r:id="rId69">
        <w:r>
          <w:rPr>
            <w:rStyle w:val="Hyperlink"/>
          </w:rPr>
          <w:t xml:space="preserve">[48]</w:t>
        </w:r>
      </w:hyperlink>
      <w:r>
        <w:t xml:space="preserve"> </w:t>
      </w:r>
      <w:hyperlink r:id="rId70">
        <w:r>
          <w:rPr>
            <w:rStyle w:val="Hyperlink"/>
          </w:rPr>
          <w:t xml:space="preserve">[49]</w:t>
        </w:r>
      </w:hyperlink>
      <w:r>
        <w:t xml:space="preserve"> </w:t>
      </w:r>
      <w:hyperlink r:id="rId72">
        <w:r>
          <w:rPr>
            <w:rStyle w:val="Hyperlink"/>
          </w:rPr>
          <w:t xml:space="preserve">[51]</w:t>
        </w:r>
      </w:hyperlink>
      <w:r>
        <w:t xml:space="preserve"> </w:t>
      </w:r>
      <w:hyperlink r:id="rId73">
        <w:r>
          <w:rPr>
            <w:rStyle w:val="Hyperlink"/>
          </w:rPr>
          <w:t xml:space="preserve">[52]</w:t>
        </w:r>
      </w:hyperlink>
      <w:r>
        <w:t xml:space="preserve"> </w:t>
      </w:r>
      <w:hyperlink r:id="rId74">
        <w:r>
          <w:rPr>
            <w:rStyle w:val="Hyperlink"/>
          </w:rPr>
          <w:t xml:space="preserve">[53]</w:t>
        </w:r>
      </w:hyperlink>
      <w:r>
        <w:t xml:space="preserve"> </w:t>
      </w:r>
      <w:hyperlink r:id="rId75">
        <w:r>
          <w:rPr>
            <w:rStyle w:val="Hyperlink"/>
          </w:rPr>
          <w:t xml:space="preserve">[54]</w:t>
        </w:r>
      </w:hyperlink>
      <w:r>
        <w:t xml:space="preserve"> </w:t>
      </w:r>
      <w:hyperlink r:id="rId76">
        <w:r>
          <w:rPr>
            <w:rStyle w:val="Hyperlink"/>
          </w:rPr>
          <w:t xml:space="preserve">[55]</w:t>
        </w:r>
      </w:hyperlink>
      <w:r>
        <w:t xml:space="preserve"> </w:t>
      </w:r>
      <w:hyperlink r:id="rId77">
        <w:r>
          <w:rPr>
            <w:rStyle w:val="Hyperlink"/>
          </w:rPr>
          <w:t xml:space="preserve">[56]</w:t>
        </w:r>
      </w:hyperlink>
      <w:r>
        <w:t xml:space="preserve"> </w:t>
      </w:r>
      <w:hyperlink r:id="rId78">
        <w:r>
          <w:rPr>
            <w:rStyle w:val="Hyperlink"/>
          </w:rPr>
          <w:t xml:space="preserve">[57]</w:t>
        </w:r>
      </w:hyperlink>
      <w:r>
        <w:t xml:space="preserve"> </w:t>
      </w:r>
      <w:hyperlink r:id="rId79">
        <w:r>
          <w:rPr>
            <w:rStyle w:val="Hyperlink"/>
          </w:rPr>
          <w:t xml:space="preserve">[58]</w:t>
        </w:r>
      </w:hyperlink>
      <w:r>
        <w:t xml:space="preserve"> </w:t>
      </w:r>
      <w:hyperlink r:id="rId80">
        <w:r>
          <w:rPr>
            <w:rStyle w:val="Hyperlink"/>
          </w:rPr>
          <w:t xml:space="preserve">[59]</w:t>
        </w:r>
      </w:hyperlink>
      <w:r>
        <w:t xml:space="preserve"> </w:t>
      </w:r>
      <w:hyperlink r:id="rId81">
        <w:r>
          <w:rPr>
            <w:rStyle w:val="Hyperlink"/>
          </w:rPr>
          <w:t xml:space="preserve">[60]</w:t>
        </w:r>
      </w:hyperlink>
      <w:r>
        <w:t xml:space="preserve"> </w:t>
      </w:r>
      <w:hyperlink r:id="rId82">
        <w:r>
          <w:rPr>
            <w:rStyle w:val="Hyperlink"/>
          </w:rPr>
          <w:t xml:space="preserve">[61]</w:t>
        </w:r>
      </w:hyperlink>
      <w:r>
        <w:t xml:space="preserve"> </w:t>
      </w:r>
      <w:hyperlink r:id="rId83">
        <w:r>
          <w:rPr>
            <w:rStyle w:val="Hyperlink"/>
          </w:rPr>
          <w:t xml:space="preserve">[62]</w:t>
        </w:r>
      </w:hyperlink>
      <w:r>
        <w:t xml:space="preserve"> </w:t>
      </w:r>
      <w:hyperlink r:id="rId84">
        <w:r>
          <w:rPr>
            <w:rStyle w:val="Hyperlink"/>
          </w:rPr>
          <w:t xml:space="preserve">[63]</w:t>
        </w:r>
      </w:hyperlink>
      <w:r>
        <w:t xml:space="preserve"> </w:t>
      </w:r>
      <w:hyperlink r:id="rId85">
        <w:r>
          <w:rPr>
            <w:rStyle w:val="Hyperlink"/>
          </w:rPr>
          <w:t xml:space="preserve">[64]</w:t>
        </w:r>
      </w:hyperlink>
      <w:r>
        <w:t xml:space="preserve"> </w:t>
      </w:r>
      <w:hyperlink r:id="rId86">
        <w:r>
          <w:rPr>
            <w:rStyle w:val="Hyperlink"/>
          </w:rPr>
          <w:t xml:space="preserve">[65]</w:t>
        </w:r>
      </w:hyperlink>
      <w:r>
        <w:t xml:space="preserve"> </w:t>
      </w:r>
      <w:hyperlink r:id="rId87">
        <w:r>
          <w:rPr>
            <w:rStyle w:val="Hyperlink"/>
          </w:rPr>
          <w:t xml:space="preserve">[66]</w:t>
        </w:r>
      </w:hyperlink>
      <w:r>
        <w:t xml:space="preserve"> </w:t>
      </w:r>
      <w:hyperlink r:id="rId88">
        <w:r>
          <w:rPr>
            <w:rStyle w:val="Hyperlink"/>
          </w:rPr>
          <w:t xml:space="preserve">[67]</w:t>
        </w:r>
      </w:hyperlink>
      <w:r>
        <w:t xml:space="preserve"> </w:t>
      </w:r>
      <w:hyperlink r:id="rId90">
        <w:r>
          <w:rPr>
            <w:rStyle w:val="Hyperlink"/>
          </w:rPr>
          <w:t xml:space="preserve">[69]</w:t>
        </w:r>
      </w:hyperlink>
      <w:r>
        <w:t xml:space="preserve"> </w:t>
      </w:r>
      <w:hyperlink r:id="rId96">
        <w:r>
          <w:rPr>
            <w:rStyle w:val="Hyperlink"/>
          </w:rPr>
          <w:t xml:space="preserve">[74]</w:t>
        </w:r>
      </w:hyperlink>
      <w:r>
        <w:t xml:space="preserve"> </w:t>
      </w:r>
      <w:r>
        <w:t xml:space="preserve">rongorongo17.md</w:t>
      </w:r>
    </w:p>
    <w:p>
      <w:pPr>
        <w:pStyle w:val="BodyText"/>
      </w:pPr>
      <w:hyperlink r:id="rId135">
        <w:r>
          <w:rPr>
            <w:rStyle w:val="Hyperlink"/>
          </w:rPr>
          <w:t xml:space="preserve">file://file-SAYMjV1nH2rf9aWFC7L2ab</w:t>
        </w:r>
      </w:hyperlink>
    </w:p>
    <w:p>
      <w:pPr>
        <w:pStyle w:val="BodyText"/>
      </w:pPr>
      <w:hyperlink r:id="rId49">
        <w:r>
          <w:rPr>
            <w:rStyle w:val="Hyperlink"/>
          </w:rPr>
          <w:t xml:space="preserve">[27]</w:t>
        </w:r>
      </w:hyperlink>
      <w:r>
        <w:t xml:space="preserve"> </w:t>
      </w:r>
      <w:r>
        <w:t xml:space="preserve">rongorongo49.md</w:t>
      </w:r>
    </w:p>
    <w:p>
      <w:pPr>
        <w:pStyle w:val="BodyText"/>
      </w:pPr>
      <w:hyperlink r:id="rId136">
        <w:r>
          <w:rPr>
            <w:rStyle w:val="Hyperlink"/>
          </w:rPr>
          <w:t xml:space="preserve">file://file-GP2ypxvLYfRc4ZmQQb1XXA</w:t>
        </w:r>
      </w:hyperlink>
    </w:p>
    <w:p>
      <w:pPr>
        <w:pStyle w:val="BodyText"/>
      </w:pPr>
      <w:hyperlink r:id="rId71">
        <w:r>
          <w:rPr>
            <w:rStyle w:val="Hyperlink"/>
          </w:rPr>
          <w:t xml:space="preserve">[50]</w:t>
        </w:r>
      </w:hyperlink>
      <w:r>
        <w:t xml:space="preserve"> </w:t>
      </w:r>
      <w:hyperlink r:id="rId89">
        <w:r>
          <w:rPr>
            <w:rStyle w:val="Hyperlink"/>
          </w:rPr>
          <w:t xml:space="preserve">[68]</w:t>
        </w:r>
      </w:hyperlink>
      <w:r>
        <w:t xml:space="preserve"> </w:t>
      </w:r>
      <w:hyperlink r:id="rId91">
        <w:r>
          <w:rPr>
            <w:rStyle w:val="Hyperlink"/>
          </w:rPr>
          <w:t xml:space="preserve">[70]</w:t>
        </w:r>
      </w:hyperlink>
      <w:r>
        <w:t xml:space="preserve"> </w:t>
      </w:r>
      <w:hyperlink r:id="rId92">
        <w:r>
          <w:rPr>
            <w:rStyle w:val="Hyperlink"/>
          </w:rPr>
          <w:t xml:space="preserve">[71]</w:t>
        </w:r>
      </w:hyperlink>
      <w:r>
        <w:t xml:space="preserve"> </w:t>
      </w:r>
      <w:r>
        <w:t xml:space="preserve">rongorongo39.md</w:t>
      </w:r>
    </w:p>
    <w:p>
      <w:pPr>
        <w:pStyle w:val="BodyText"/>
      </w:pPr>
      <w:hyperlink r:id="rId137">
        <w:r>
          <w:rPr>
            <w:rStyle w:val="Hyperlink"/>
          </w:rPr>
          <w:t xml:space="preserve">file://file-QHTsnKB1JrZTFpUdG6Wb8X</w:t>
        </w:r>
      </w:hyperlink>
    </w:p>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2" Target="file://file-9HEYjvFGHzZSwuGe473qch" TargetMode="External" /><Relationship Type="http://schemas.openxmlformats.org/officeDocument/2006/relationships/hyperlink" Id="rId120" Target="file://file-9HEYjvFGHzZSwuGe473qch#:~:text=,list%20for%20future%20decipherment%20efforts" TargetMode="External" /><Relationship Type="http://schemas.openxmlformats.org/officeDocument/2006/relationships/hyperlink" Id="rId127" Target="file://file-9HEYjvFGHzZSwuGe473qch#:~:text=Comprehensive%20Dataset%20Package%20%F0%9F%93%82" TargetMode="External" /><Relationship Type="http://schemas.openxmlformats.org/officeDocument/2006/relationships/hyperlink" Id="rId122" Target="file://file-9HEYjvFGHzZSwuGe473qch#:~:text=In%20conclusion%2C%20the%20long,This%20comprehensive" TargetMode="External" /><Relationship Type="http://schemas.openxmlformats.org/officeDocument/2006/relationships/hyperlink" Id="rId22" Target="file://file-9HEYjvFGHzZSwuGe473qch#:~:text=In%20conclusion%2C%20the%20long,with%20every%20tool%20at%20our" TargetMode="External" /><Relationship Type="http://schemas.openxmlformats.org/officeDocument/2006/relationships/hyperlink" Id="rId125" Target="file://file-9HEYjvFGHzZSwuGe473qch#:~:text=In%20our%20compiled%20,glyph%20alongside%20the%20known%20ones" TargetMode="External" /><Relationship Type="http://schemas.openxmlformats.org/officeDocument/2006/relationships/hyperlink" Id="rId105" Target="file://file-9HEYjvFGHzZSwuGe473qch#:~:text=a%20phonetic%20alphabet%3B%20attempts%20to,and%20found%20no%20basis%20for" TargetMode="External" /><Relationship Type="http://schemas.openxmlformats.org/officeDocument/2006/relationships/hyperlink" Id="rId32" Target="file://file-9HEYjvFGHzZSwuGe473qch#:~:text=coding,of%20sounds%20have%20not%20yielded" TargetMode="External" /><Relationship Type="http://schemas.openxmlformats.org/officeDocument/2006/relationships/hyperlink" Id="rId98" Target="file://file-9HEYjvFGHzZSwuGe473qch#:~:text=coding,that%20Rongorongo%20is" TargetMode="External" /><Relationship Type="http://schemas.openxmlformats.org/officeDocument/2006/relationships/hyperlink" Id="rId106" Target="file://file-9HEYjvFGHzZSwuGe473qch#:~:text=culture,and%20found%20no%20basis%20for" TargetMode="External" /><Relationship Type="http://schemas.openxmlformats.org/officeDocument/2006/relationships/hyperlink" Id="rId35" Target="file://file-9HEYjvFGHzZSwuGe473qch#:~:text=glosses%20in%20the%20lexicon%20with,and%20found%20no%20basis%20for" TargetMode="External" /><Relationship Type="http://schemas.openxmlformats.org/officeDocument/2006/relationships/hyperlink" Id="rId104" Target="file://file-9HEYjvFGHzZSwuGe473qch#:~:text=glosses%20in%20the%20lexicon%20with,and%20refutes%20earlier%20exotic%20theories" TargetMode="External" /><Relationship Type="http://schemas.openxmlformats.org/officeDocument/2006/relationships/hyperlink" Id="rId33" Target="file://file-9HEYjvFGHzZSwuGe473qch#:~:text=mating%20from%20%E2%80%9Cson%20of%E2%80%9D%20without,of%20sounds%20have%20not%20yielded" TargetMode="External" /><Relationship Type="http://schemas.openxmlformats.org/officeDocument/2006/relationships/hyperlink" Id="rId34" Target="file://file-9HEYjvFGHzZSwuGe473qch#:~:text=rongorongo52.md%20In%20our%20compiled%20,glyph%20alongside%20the%20known%20ones" TargetMode="External" /><Relationship Type="http://schemas.openxmlformats.org/officeDocument/2006/relationships/hyperlink" Id="rId124" Target="file://file-9HEYjvFGHzZSwuGe473qch#:~:text=say%3F%E2%80%9D,with%20every%20tool%20at%20our" TargetMode="External" /><Relationship Type="http://schemas.openxmlformats.org/officeDocument/2006/relationships/hyperlink" Id="rId123" Target="file://file-9HEYjvFGHzZSwuGe473qch#:~:text=strings%20and%20understand%20their%20gist,of%20the%20Rapa%20Nui%20world" TargetMode="External" /><Relationship Type="http://schemas.openxmlformats.org/officeDocument/2006/relationships/hyperlink" Id="rId136" Target="file://file-GP2ypxvLYfRc4ZmQQb1XXA" TargetMode="External" /><Relationship Type="http://schemas.openxmlformats.org/officeDocument/2006/relationships/hyperlink" Id="rId49" Target="file://file-GP2ypxvLYfRc4ZmQQb1XXA#:~:text=,a%20counter%20taught%20us%20that" TargetMode="External" /><Relationship Type="http://schemas.openxmlformats.org/officeDocument/2006/relationships/hyperlink" Id="rId137" Target="file://file-QHTsnKB1JrZTFpUdG6Wb8X" TargetMode="External" /><Relationship Type="http://schemas.openxmlformats.org/officeDocument/2006/relationships/hyperlink" Id="rId91" Target="file://file-QHTsnKB1JrZTFpUdG6Wb8X#:~:text=,glyph%209" TargetMode="External" /><Relationship Type="http://schemas.openxmlformats.org/officeDocument/2006/relationships/hyperlink" Id="rId92" Target="file://file-QHTsnKB1JrZTFpUdG6Wb8X#:~:text=,settlement%2C%20which%20matches%20the%20tablet" TargetMode="External" /><Relationship Type="http://schemas.openxmlformats.org/officeDocument/2006/relationships/hyperlink" Id="rId71" Target="file://file-QHTsnKB1JrZTFpUdG6Wb8X#:~:text=Subsequent%20analysis%20showed%20that%20this,which%20unfolded%20in%20three%20voyages" TargetMode="External" /><Relationship Type="http://schemas.openxmlformats.org/officeDocument/2006/relationships/hyperlink" Id="rId89" Target="file://file-QHTsnKB1JrZTFpUdG6Wb8X#:~:text=shares%20the%20,the%20second%20sequence%20correspond%20to" TargetMode="External" /><Relationship Type="http://schemas.openxmlformats.org/officeDocument/2006/relationships/hyperlink" Id="rId135" Target="file://file-SAYMjV1nH2rf9aWFC7L2ab" TargetMode="External" /><Relationship Type="http://schemas.openxmlformats.org/officeDocument/2006/relationships/hyperlink" Id="rId90" Target="file://file-SAYMjV1nH2rf9aWFC7L2ab#:~:text=,sails%20to%20the%20new%20island" TargetMode="External" /><Relationship Type="http://schemas.openxmlformats.org/officeDocument/2006/relationships/hyperlink" Id="rId72" Target="file://file-SAYMjV1nH2rf9aWFC7L2ab#:~:text=1.%20%2A%2AHau,constant%20leader" TargetMode="External" /><Relationship Type="http://schemas.openxmlformats.org/officeDocument/2006/relationships/hyperlink" Id="rId77" Target="file://file-SAYMjV1nH2rf9aWFC7L2ab#:~:text=2.%20,It%E2%80%99s%20plausible%20that%20glyph%20B" TargetMode="External" /><Relationship Type="http://schemas.openxmlformats.org/officeDocument/2006/relationships/hyperlink" Id="rId70" Target="file://file-SAYMjV1nH2rf9aWFC7L2ab#:~:text=Aruku%20Kurenga%E2%80%99s%20text%20is%20organized,and%20settled%20in%20three%20stages" TargetMode="External" /><Relationship Type="http://schemas.openxmlformats.org/officeDocument/2006/relationships/hyperlink" Id="rId96" Target="file://file-SAYMjV1nH2rf9aWFC7L2ab#:~:text=Correspondingly%2C%20Tablet%20B%E2%80%99s%20second%20section,the%20second%20sequence%20can%20be" TargetMode="External" /><Relationship Type="http://schemas.openxmlformats.org/officeDocument/2006/relationships/hyperlink" Id="rId83" Target="file://file-SAYMjV1nH2rf9aWFC7L2ab#:~:text=Kurenga%20corresponds%20to%20the%20,the%20coastal%20journey%20around%20the" TargetMode="External" /><Relationship Type="http://schemas.openxmlformats.org/officeDocument/2006/relationships/hyperlink" Id="rId75" Target="file://file-SAYMjV1nH2rf9aWFC7L2ab#:~:text=Maka,places%20he%20encountered%2C%20in%20order" TargetMode="External" /><Relationship Type="http://schemas.openxmlformats.org/officeDocument/2006/relationships/hyperlink" Id="rId69" Target="file://file-SAYMjV1nH2rf9aWFC7L2ab#:~:text=Structure%20of%20Tablet%20B%20and,Voyage%20Myth" TargetMode="External" /><Relationship Type="http://schemas.openxmlformats.org/officeDocument/2006/relationships/hyperlink" Id="rId84" Target="file://file-SAYMjV1nH2rf9aWFC7L2ab#:~:text=constant%20glyph%20,route" TargetMode="External" /><Relationship Type="http://schemas.openxmlformats.org/officeDocument/2006/relationships/hyperlink" Id="rId85" Target="file://file-SAYMjV1nH2rf9aWFC7L2ab#:~:text=enumerates%20the%20same%20chain%20of,allude%20to%20an%20important%20guiding" TargetMode="External" /><Relationship Type="http://schemas.openxmlformats.org/officeDocument/2006/relationships/hyperlink" Id="rId86" Target="file://file-SAYMjV1nH2rf9aWFC7L2ab#:~:text=first%20two,content%20aligns%20with%20the%20oral" TargetMode="External" /><Relationship Type="http://schemas.openxmlformats.org/officeDocument/2006/relationships/hyperlink" Id="rId79" Target="file://file-SAYMjV1nH2rf9aWFC7L2ab#:~:text=glyph%20%E2%80%9CB%E2%80%9D,the%20key%20geographic%20points%20are" TargetMode="External" /><Relationship Type="http://schemas.openxmlformats.org/officeDocument/2006/relationships/hyperlink" Id="rId87" Target="file://file-SAYMjV1nH2rf9aWFC7L2ab#:~:text=glyphs%29%20%2B%20sand%E2%80%9D%20indicates%20,that%20an%20inserted%20glyph%20denotes" TargetMode="External" /><Relationship Type="http://schemas.openxmlformats.org/officeDocument/2006/relationships/hyperlink" Id="rId81" Target="file://file-SAYMjV1nH2rf9aWFC7L2ab#:~:text=interpreted%20as%20%E2%80%9Cthe%20journey%20of,stand%20in%20for%20narrative%20details" TargetMode="External" /><Relationship Type="http://schemas.openxmlformats.org/officeDocument/2006/relationships/hyperlink" Id="rId73" Target="file://file-SAYMjV1nH2rf9aWFC7L2ab#:~:text=sequence%20appears%20to%20encode%20this,discovery%20of%20a%20new%20land%E2%80%9D" TargetMode="External" /><Relationship Type="http://schemas.openxmlformats.org/officeDocument/2006/relationships/hyperlink" Id="rId78" Target="file://file-SAYMjV1nH2rf9aWFC7L2ab#:~:text=single%20sign%2C%20it%20conceptually%20refers,glyph%20for%20Anakena" TargetMode="External" /><Relationship Type="http://schemas.openxmlformats.org/officeDocument/2006/relationships/hyperlink" Id="rId74" Target="file://file-SAYMjV1nH2rf9aWFC7L2ab#:~:text=small%20islets%20%28,out%20phonetically%2C%20but%20the%20sequence%E2%80%99s" TargetMode="External" /><Relationship Type="http://schemas.openxmlformats.org/officeDocument/2006/relationships/hyperlink" Id="rId80" Target="file://file-SAYMjV1nH2rf9aWFC7L2ab#:~:text=the%20,which%20Metoro" TargetMode="External" /><Relationship Type="http://schemas.openxmlformats.org/officeDocument/2006/relationships/hyperlink" Id="rId88" Target="file://file-SAYMjV1nH2rf9aWFC7L2ab#:~:text=the%20stars%20for%20guidance%3B%20a,sails%20to%20the%20new%20island" TargetMode="External" /><Relationship Type="http://schemas.openxmlformats.org/officeDocument/2006/relationships/hyperlink" Id="rId76" Target="file://file-SAYMjV1nH2rf9aWFC7L2ab#:~:text=then%20a%20series%20of%20glyph,discovery%20of%20a%20new%20land%E2%80%9D" TargetMode="External" /><Relationship Type="http://schemas.openxmlformats.org/officeDocument/2006/relationships/hyperlink" Id="rId36" Target="file://file-SAYMjV1nH2rf9aWFC7L2ab#:~:text=third,the%20second%20sequence%20can%20be" TargetMode="External" /><Relationship Type="http://schemas.openxmlformats.org/officeDocument/2006/relationships/hyperlink" Id="rId82" Target="file://file-SAYMjV1nH2rf9aWFC7L2ab#:~:text=where%20the%20scouts%20landed,the%20second%20sequence%20can%20be" TargetMode="External" /><Relationship Type="http://schemas.openxmlformats.org/officeDocument/2006/relationships/hyperlink" Id="rId134" Target="file://file-SxHHRx4USu32c9Q7YRNBZ7" TargetMode="External" /><Relationship Type="http://schemas.openxmlformats.org/officeDocument/2006/relationships/hyperlink" Id="rId53" Target="file://file-SxHHRx4USu32c9Q7YRNBZ7#:~:text=,a%20string%20of%20whimsical%20symbols" TargetMode="External" /><Relationship Type="http://schemas.openxmlformats.org/officeDocument/2006/relationships/hyperlink" Id="rId50" Target="file://file-SxHHRx4USu32c9Q7YRNBZ7#:~:text=,sized" TargetMode="External" /><Relationship Type="http://schemas.openxmlformats.org/officeDocument/2006/relationships/hyperlink" Id="rId43" Target="file://file-SxHHRx4USu32c9Q7YRNBZ7#:~:text=Each%20portion%20of%20the%20Mamari,had%20a%20practical%20agricultural%20purpose" TargetMode="External" /><Relationship Type="http://schemas.openxmlformats.org/officeDocument/2006/relationships/hyperlink" Id="rId44" Target="file://file-SxHHRx4USu32c9Q7YRNBZ7#:~:text=Each%20portion%20of%20the%20Mamari,keen%20observers%20of%20celestial%20cycles" TargetMode="External" /><Relationship Type="http://schemas.openxmlformats.org/officeDocument/2006/relationships/hyperlink" Id="rId28" Target="file://file-SxHHRx4USu32c9Q7YRNBZ7#:~:text=How%20did%20we%20confirm%20all,62" TargetMode="External" /><Relationship Type="http://schemas.openxmlformats.org/officeDocument/2006/relationships/hyperlink" Id="rId41" Target="file://file-SxHHRx4USu32c9Q7YRNBZ7#:~:text=In%20other%20words%2C%20the%20Mamari,sync%20with%20actual%20lunar%20cycles" TargetMode="External" /><Relationship Type="http://schemas.openxmlformats.org/officeDocument/2006/relationships/hyperlink" Id="rId95" Target="file://file-SxHHRx4USu32c9Q7YRNBZ7#:~:text=agricultural%20timing,readable%20in%20outline" TargetMode="External" /><Relationship Type="http://schemas.openxmlformats.org/officeDocument/2006/relationships/hyperlink" Id="rId39" Target="file://file-SxHHRx4USu32c9Q7YRNBZ7#:~:text=an%20ancestral%20spirit,an%20independent%20confirmation%20that%20our" TargetMode="External" /><Relationship Type="http://schemas.openxmlformats.org/officeDocument/2006/relationships/hyperlink" Id="rId42" Target="file://file-SxHHRx4USu32c9Q7YRNBZ7#:~:text=calendars%20and%20astronomical%20reality,making%20Tablet" TargetMode="External" /><Relationship Type="http://schemas.openxmlformats.org/officeDocument/2006/relationships/hyperlink" Id="rId47" Target="file://file-SxHHRx4USu32c9Q7YRNBZ7#:~:text=glyph%20clusters%20appear%20exactly%20where,of%20a%20stylized%20yoke%20or" TargetMode="External" /><Relationship Type="http://schemas.openxmlformats.org/officeDocument/2006/relationships/hyperlink" Id="rId54" Target="file://file-SxHHRx4USu32c9Q7YRNBZ7#:~:text=represented%20on%20the%20tablet%20by,and%20even%20a" TargetMode="External" /><Relationship Type="http://schemas.openxmlformats.org/officeDocument/2006/relationships/hyperlink" Id="rId46" Target="file://file-SxHHRx4USu32c9Q7YRNBZ7#:~:text=string%20of%20Kokore%20nights,Mamari%20sequence%20thus%20aligns%20with" TargetMode="External" /><Relationship Type="http://schemas.openxmlformats.org/officeDocument/2006/relationships/hyperlink" Id="rId51" Target="file://file-SxHHRx4USu32c9Q7YRNBZ7#:~:text=to%20a%20crescent%20%E2%80%93%20in,Such%20subtleties%20show" TargetMode="External" /><Relationship Type="http://schemas.openxmlformats.org/officeDocument/2006/relationships/hyperlink" Id="rId52" Target="file://file-SxHHRx4USu32c9Q7YRNBZ7#:~:text=to%20add%20extra%20nights,a%20string%20of%20whimsical%20symbols" TargetMode="External" /><Relationship Type="http://schemas.openxmlformats.org/officeDocument/2006/relationships/hyperlink" Id="rId133" Target="file://file-WbL6HV6ZArBfxGLPgySNKW" TargetMode="External" /><Relationship Type="http://schemas.openxmlformats.org/officeDocument/2006/relationships/hyperlink" Id="rId67" Target="file://file-WbL6HV6ZArBfxGLPgySNKW#:~:text=%28Kokore%29%20nights%2C%20and%20,In%20short%2C%20by%20combining%20calendar" TargetMode="External" /><Relationship Type="http://schemas.openxmlformats.org/officeDocument/2006/relationships/hyperlink" Id="rId59" Target="file://file-WbL6HV6ZArBfxGLPgySNKW#:~:text=%7B%20," TargetMode="External" /><Relationship Type="http://schemas.openxmlformats.org/officeDocument/2006/relationships/hyperlink" Id="rId100" Target="file://file-WbL6HV6ZArBfxGLPgySNKW#:~:text=%7D%2C%20," TargetMode="External" /><Relationship Type="http://schemas.openxmlformats.org/officeDocument/2006/relationships/hyperlink" Id="rId113" Target="file://file-WbL6HV6ZArBfxGLPgySNKW#:~:text=%7D%2C%20,%7D" TargetMode="External" /><Relationship Type="http://schemas.openxmlformats.org/officeDocument/2006/relationships/hyperlink" Id="rId61" Target="file://file-WbL6HV6ZArBfxGLPgySNKW#:~:text=%E2%80%9Cbegat%E2%80%9D%20or%20,In%20short%2C%20by%20combining%20calendar" TargetMode="External" /><Relationship Type="http://schemas.openxmlformats.org/officeDocument/2006/relationships/hyperlink" Id="rId116" Target="file://file-WbL6HV6ZArBfxGLPgySNKW#:~:text=," TargetMode="External" /><Relationship Type="http://schemas.openxmlformats.org/officeDocument/2006/relationships/hyperlink" Id="rId109" Target="file://file-WbL6HV6ZArBfxGLPgySNKW#:~:text=,We%20cite%20prior" TargetMode="External" /><Relationship Type="http://schemas.openxmlformats.org/officeDocument/2006/relationships/hyperlink" Id="rId48" Target="file://file-WbL6HV6ZArBfxGLPgySNKW#:~:text=,and%20was%20hypothesized%20to%20mean" TargetMode="External" /><Relationship Type="http://schemas.openxmlformats.org/officeDocument/2006/relationships/hyperlink" Id="rId114" Target="file://file-WbL6HV6ZArBfxGLPgySNKW#:~:text=,birds%20%28plural%29%3B%20flock" TargetMode="External" /><Relationship Type="http://schemas.openxmlformats.org/officeDocument/2006/relationships/hyperlink" Id="rId63" Target="file://file-WbL6HV6ZArBfxGLPgySNKW#:~:text=,divider%20is%20very%20consistently%20observed" TargetMode="External" /><Relationship Type="http://schemas.openxmlformats.org/officeDocument/2006/relationships/hyperlink" Id="rId115" Target="file://file-WbL6HV6ZArBfxGLPgySNKW#:~:text=,fish%3B%20%28fig.%29%20victim%2Fsacrifice" TargetMode="External" /><Relationship Type="http://schemas.openxmlformats.org/officeDocument/2006/relationships/hyperlink" Id="rId108" Target="file://file-WbL6HV6ZArBfxGLPgySNKW#:~:text=Final%20Rongorongo%20Glyph%20Lexicon%20Compilation" TargetMode="External" /><Relationship Type="http://schemas.openxmlformats.org/officeDocument/2006/relationships/hyperlink" Id="rId110" Target="file://file-WbL6HV6ZArBfxGLPgySNKW#:~:text=In%20the%20above%20sample%2C%20you,%E2%80%9Cchief%2Fperson%E2%80%9D" TargetMode="External" /><Relationship Type="http://schemas.openxmlformats.org/officeDocument/2006/relationships/hyperlink" Id="rId102" Target="file://file-WbL6HV6ZArBfxGLPgySNKW#:~:text=another%20text%20where%20a%20bird,glyph%20999" TargetMode="External" /><Relationship Type="http://schemas.openxmlformats.org/officeDocument/2006/relationships/hyperlink" Id="rId99" Target="file://file-WbL6HV6ZArBfxGLPgySNKW#:~:text=decipherment%3B%20identified%20glyph%2076%20as,Rongorongo%3A%20The%20Easter" TargetMode="External" /><Relationship Type="http://schemas.openxmlformats.org/officeDocument/2006/relationships/hyperlink" Id="rId94" Target="file://file-WbL6HV6ZArBfxGLPgySNKW#:~:text=match%20at%20L335%20decipherment%3B%20identified,Rongorongo%3A%20The%20Easter" TargetMode="External" /><Relationship Type="http://schemas.openxmlformats.org/officeDocument/2006/relationships/hyperlink" Id="rId64" Target="file://file-WbL6HV6ZArBfxGLPgySNKW#:~:text=meaning%20is%20,glyph%20999" TargetMode="External" /><Relationship Type="http://schemas.openxmlformats.org/officeDocument/2006/relationships/hyperlink" Id="rId103" Target="file://file-WbL6HV6ZArBfxGLPgySNKW#:~:text=meaning%20is%20,lexical" TargetMode="External" /><Relationship Type="http://schemas.openxmlformats.org/officeDocument/2006/relationships/hyperlink" Id="rId111" Target="file://file-WbL6HV6ZArBfxGLPgySNKW#:~:text=period.%20Cross,In%20short%2C%20by%20combining%20calendar" TargetMode="External" /><Relationship Type="http://schemas.openxmlformats.org/officeDocument/2006/relationships/hyperlink" Id="rId37" Target="file://file-WbL6HV6ZArBfxGLPgySNKW#:~:text=roles%20of%20relational%20glyphs%20%E2%80%93,In%20short%2C%20by%20combining%20calendar" TargetMode="External" /><Relationship Type="http://schemas.openxmlformats.org/officeDocument/2006/relationships/hyperlink" Id="rId60" Target="file://file-WbL6HV6ZArBfxGLPgySNKW#:~:text=roles%20of%20relational%20glyphs%20%E2%80%93,glyph%2076%20signifies%20%E2%80%9Cto" TargetMode="External" /><Relationship Type="http://schemas.openxmlformats.org/officeDocument/2006/relationships/hyperlink" Id="rId25" Target="file://file-WbL6HV6ZArBfxGLPgySNKW#:~:text=suspect%20it%20signified%20a%20high,shows%20it%20was%20also%20used" TargetMode="External" /><Relationship Type="http://schemas.openxmlformats.org/officeDocument/2006/relationships/hyperlink" Id="rId55" Target="file://file-WbL6HV6ZArBfxGLPgySNKW#:~:text=the%20nights%20before%20and%20after,glyph%2076%20signifies%20%E2%80%9Cto" TargetMode="External" /><Relationship Type="http://schemas.openxmlformats.org/officeDocument/2006/relationships/hyperlink" Id="rId112" Target="file://file-WbL6HV6ZArBfxGLPgySNKW#:~:text=transliterations%20for%20glyph%2076%2C%20and,a%20common%20Polynesian%20metaphor%20for" TargetMode="External" /><Relationship Type="http://schemas.openxmlformats.org/officeDocument/2006/relationships/hyperlink" Id="rId62" Target="file://file-WbL6HV6ZArBfxGLPgySNKW#:~:text=transliterations%20for%20glyph%2076%2C%20and,led%20early%20researchers%20to" TargetMode="External" /><Relationship Type="http://schemas.openxmlformats.org/officeDocument/2006/relationships/hyperlink" Id="rId131" Target="file://file-YAeSCgoXy81fdDNZBJed5B" TargetMode="External" /><Relationship Type="http://schemas.openxmlformats.org/officeDocument/2006/relationships/hyperlink" Id="rId30" Target="file://file-YAeSCgoXy81fdDNZBJed5B#:~:text=" TargetMode="External" /><Relationship Type="http://schemas.openxmlformats.org/officeDocument/2006/relationships/hyperlink" Id="rId24" Target="file://file-YAeSCgoXy81fdDNZBJed5B#:~:text=%23%203.%20%2A%2ACross,in%20known%20Rapa%20Nui%20traditions" TargetMode="External" /><Relationship Type="http://schemas.openxmlformats.org/officeDocument/2006/relationships/hyperlink" Id="rId27" Target="file://file-YAeSCgoXy81fdDNZBJed5B#:~:text=%2A%2AExample%20,phrase%20marker%20in%20genealogies" TargetMode="External" /><Relationship Type="http://schemas.openxmlformats.org/officeDocument/2006/relationships/hyperlink" Id="rId45" Target="file://file-YAeSCgoXy81fdDNZBJed5B#:~:text=," TargetMode="External" /><Relationship Type="http://schemas.openxmlformats.org/officeDocument/2006/relationships/hyperlink" Id="rId29" Target="file://file-YAeSCgoXy81fdDNZBJed5B#:~:text=,%28ika" TargetMode="External" /><Relationship Type="http://schemas.openxmlformats.org/officeDocument/2006/relationships/hyperlink" Id="rId119" Target="file://file-YAeSCgoXy81fdDNZBJed5B#:~:text=,55%20glyphs%20%2818.0" TargetMode="External" /><Relationship Type="http://schemas.openxmlformats.org/officeDocument/2006/relationships/hyperlink" Id="rId101" Target="file://file-YAeSCgoXy81fdDNZBJed5B#:~:text=,phrase%20marker%20in%20genealogies" TargetMode="External" /><Relationship Type="http://schemas.openxmlformats.org/officeDocument/2006/relationships/hyperlink" Id="rId40" Target="file://file-YAeSCgoXy81fdDNZBJed5B#:~:text=,recorded%20Rapa%20Nui%20month%20names" TargetMode="External" /><Relationship Type="http://schemas.openxmlformats.org/officeDocument/2006/relationships/hyperlink" Id="rId31" Target="file://file-YAeSCgoXy81fdDNZBJed5B#:~:text=1,recorded%20Rapa%20Nui%20month%20names" TargetMode="External" /><Relationship Type="http://schemas.openxmlformats.org/officeDocument/2006/relationships/hyperlink" Id="rId65" Target="file://file-YAeSCgoXy81fdDNZBJed5B#:~:text=2,%28ika" TargetMode="External" /><Relationship Type="http://schemas.openxmlformats.org/officeDocument/2006/relationships/hyperlink" Id="rId57" Target="file://file-YAeSCgoXy81fdDNZBJed5B#:~:text=2,of%20Y%2C%20who%20was%20Z" TargetMode="External" /><Relationship Type="http://schemas.openxmlformats.org/officeDocument/2006/relationships/hyperlink" Id="rId26" Target="file://file-YAeSCgoXy81fdDNZBJed5B#:~:text=4,Grammatical%20and%20syntactic%20markers" TargetMode="External" /><Relationship Type="http://schemas.openxmlformats.org/officeDocument/2006/relationships/hyperlink" Id="rId21" Target="file://file-YAeSCgoXy81fdDNZBJed5B#:~:text=Key%20Achievements%3A%20,Sumerian%2C%20Egyptian%2C%20and%20Akkadian%20scripts" TargetMode="External" /><Relationship Type="http://schemas.openxmlformats.org/officeDocument/2006/relationships/hyperlink" Id="rId58" Target="file://file-YAeSCgoXy81fdDNZBJed5B#:~:text=The%20,of%20Y%2C%20who%20was%20Z" TargetMode="External" /><Relationship Type="http://schemas.openxmlformats.org/officeDocument/2006/relationships/hyperlink" Id="rId66" Target="file://file-YAeSCgoXy81fdDNZBJed5B#:~:text=The%20scripts%20provide%20,including%20wars%2C%20migrations%2C%20and%20successions" TargetMode="External" /><Relationship Type="http://schemas.openxmlformats.org/officeDocument/2006/relationships/hyperlink" Id="rId126" Target="file://file-YAeSCgoXy81fdDNZBJed5B#:~:text=This%20report%20documents%20the%20first,98" TargetMode="External" /><Relationship Type="http://schemas.openxmlformats.org/officeDocument/2006/relationships/hyperlink" Id="rId118" Target="file://file-YAeSCgoXy81fdDNZBJed5B#:~:text=analysis%20utilizing%20advanced%20AI,98" TargetMode="External" /><Relationship Type="http://schemas.openxmlformats.org/officeDocument/2006/relationships/hyperlink" Id="rId117" Target="file://file-YAeSCgoXy81fdDNZBJed5B#:~:text=one%20of%20the%20most%20significant,98" TargetMode="External" /></Relationships>
</file>

<file path=word/_rels/footnotes.xml.rels><?xml version="1.0" encoding="UTF-8"?><Relationships xmlns="http://schemas.openxmlformats.org/package/2006/relationships"><Relationship Type="http://schemas.openxmlformats.org/officeDocument/2006/relationships/hyperlink" Id="rId132" Target="file://file-9HEYjvFGHzZSwuGe473qch" TargetMode="External" /><Relationship Type="http://schemas.openxmlformats.org/officeDocument/2006/relationships/hyperlink" Id="rId120" Target="file://file-9HEYjvFGHzZSwuGe473qch#:~:text=,list%20for%20future%20decipherment%20efforts" TargetMode="External" /><Relationship Type="http://schemas.openxmlformats.org/officeDocument/2006/relationships/hyperlink" Id="rId127" Target="file://file-9HEYjvFGHzZSwuGe473qch#:~:text=Comprehensive%20Dataset%20Package%20%F0%9F%93%82" TargetMode="External" /><Relationship Type="http://schemas.openxmlformats.org/officeDocument/2006/relationships/hyperlink" Id="rId122" Target="file://file-9HEYjvFGHzZSwuGe473qch#:~:text=In%20conclusion%2C%20the%20long,This%20comprehensive" TargetMode="External" /><Relationship Type="http://schemas.openxmlformats.org/officeDocument/2006/relationships/hyperlink" Id="rId22" Target="file://file-9HEYjvFGHzZSwuGe473qch#:~:text=In%20conclusion%2C%20the%20long,with%20every%20tool%20at%20our" TargetMode="External" /><Relationship Type="http://schemas.openxmlformats.org/officeDocument/2006/relationships/hyperlink" Id="rId125" Target="file://file-9HEYjvFGHzZSwuGe473qch#:~:text=In%20our%20compiled%20,glyph%20alongside%20the%20known%20ones" TargetMode="External" /><Relationship Type="http://schemas.openxmlformats.org/officeDocument/2006/relationships/hyperlink" Id="rId105" Target="file://file-9HEYjvFGHzZSwuGe473qch#:~:text=a%20phonetic%20alphabet%3B%20attempts%20to,and%20found%20no%20basis%20for" TargetMode="External" /><Relationship Type="http://schemas.openxmlformats.org/officeDocument/2006/relationships/hyperlink" Id="rId32" Target="file://file-9HEYjvFGHzZSwuGe473qch#:~:text=coding,of%20sounds%20have%20not%20yielded" TargetMode="External" /><Relationship Type="http://schemas.openxmlformats.org/officeDocument/2006/relationships/hyperlink" Id="rId98" Target="file://file-9HEYjvFGHzZSwuGe473qch#:~:text=coding,that%20Rongorongo%20is" TargetMode="External" /><Relationship Type="http://schemas.openxmlformats.org/officeDocument/2006/relationships/hyperlink" Id="rId106" Target="file://file-9HEYjvFGHzZSwuGe473qch#:~:text=culture,and%20found%20no%20basis%20for" TargetMode="External" /><Relationship Type="http://schemas.openxmlformats.org/officeDocument/2006/relationships/hyperlink" Id="rId35" Target="file://file-9HEYjvFGHzZSwuGe473qch#:~:text=glosses%20in%20the%20lexicon%20with,and%20found%20no%20basis%20for" TargetMode="External" /><Relationship Type="http://schemas.openxmlformats.org/officeDocument/2006/relationships/hyperlink" Id="rId104" Target="file://file-9HEYjvFGHzZSwuGe473qch#:~:text=glosses%20in%20the%20lexicon%20with,and%20refutes%20earlier%20exotic%20theories" TargetMode="External" /><Relationship Type="http://schemas.openxmlformats.org/officeDocument/2006/relationships/hyperlink" Id="rId33" Target="file://file-9HEYjvFGHzZSwuGe473qch#:~:text=mating%20from%20%E2%80%9Cson%20of%E2%80%9D%20without,of%20sounds%20have%20not%20yielded" TargetMode="External" /><Relationship Type="http://schemas.openxmlformats.org/officeDocument/2006/relationships/hyperlink" Id="rId34" Target="file://file-9HEYjvFGHzZSwuGe473qch#:~:text=rongorongo52.md%20In%20our%20compiled%20,glyph%20alongside%20the%20known%20ones" TargetMode="External" /><Relationship Type="http://schemas.openxmlformats.org/officeDocument/2006/relationships/hyperlink" Id="rId124" Target="file://file-9HEYjvFGHzZSwuGe473qch#:~:text=say%3F%E2%80%9D,with%20every%20tool%20at%20our" TargetMode="External" /><Relationship Type="http://schemas.openxmlformats.org/officeDocument/2006/relationships/hyperlink" Id="rId123" Target="file://file-9HEYjvFGHzZSwuGe473qch#:~:text=strings%20and%20understand%20their%20gist,of%20the%20Rapa%20Nui%20world" TargetMode="External" /><Relationship Type="http://schemas.openxmlformats.org/officeDocument/2006/relationships/hyperlink" Id="rId136" Target="file://file-GP2ypxvLYfRc4ZmQQb1XXA" TargetMode="External" /><Relationship Type="http://schemas.openxmlformats.org/officeDocument/2006/relationships/hyperlink" Id="rId49" Target="file://file-GP2ypxvLYfRc4ZmQQb1XXA#:~:text=,a%20counter%20taught%20us%20that" TargetMode="External" /><Relationship Type="http://schemas.openxmlformats.org/officeDocument/2006/relationships/hyperlink" Id="rId137" Target="file://file-QHTsnKB1JrZTFpUdG6Wb8X" TargetMode="External" /><Relationship Type="http://schemas.openxmlformats.org/officeDocument/2006/relationships/hyperlink" Id="rId91" Target="file://file-QHTsnKB1JrZTFpUdG6Wb8X#:~:text=,glyph%209" TargetMode="External" /><Relationship Type="http://schemas.openxmlformats.org/officeDocument/2006/relationships/hyperlink" Id="rId92" Target="file://file-QHTsnKB1JrZTFpUdG6Wb8X#:~:text=,settlement%2C%20which%20matches%20the%20tablet" TargetMode="External" /><Relationship Type="http://schemas.openxmlformats.org/officeDocument/2006/relationships/hyperlink" Id="rId71" Target="file://file-QHTsnKB1JrZTFpUdG6Wb8X#:~:text=Subsequent%20analysis%20showed%20that%20this,which%20unfolded%20in%20three%20voyages" TargetMode="External" /><Relationship Type="http://schemas.openxmlformats.org/officeDocument/2006/relationships/hyperlink" Id="rId89" Target="file://file-QHTsnKB1JrZTFpUdG6Wb8X#:~:text=shares%20the%20,the%20second%20sequence%20correspond%20to" TargetMode="External" /><Relationship Type="http://schemas.openxmlformats.org/officeDocument/2006/relationships/hyperlink" Id="rId135" Target="file://file-SAYMjV1nH2rf9aWFC7L2ab" TargetMode="External" /><Relationship Type="http://schemas.openxmlformats.org/officeDocument/2006/relationships/hyperlink" Id="rId90" Target="file://file-SAYMjV1nH2rf9aWFC7L2ab#:~:text=,sails%20to%20the%20new%20island" TargetMode="External" /><Relationship Type="http://schemas.openxmlformats.org/officeDocument/2006/relationships/hyperlink" Id="rId72" Target="file://file-SAYMjV1nH2rf9aWFC7L2ab#:~:text=1.%20%2A%2AHau,constant%20leader" TargetMode="External" /><Relationship Type="http://schemas.openxmlformats.org/officeDocument/2006/relationships/hyperlink" Id="rId77" Target="file://file-SAYMjV1nH2rf9aWFC7L2ab#:~:text=2.%20,It%E2%80%99s%20plausible%20that%20glyph%20B" TargetMode="External" /><Relationship Type="http://schemas.openxmlformats.org/officeDocument/2006/relationships/hyperlink" Id="rId70" Target="file://file-SAYMjV1nH2rf9aWFC7L2ab#:~:text=Aruku%20Kurenga%E2%80%99s%20text%20is%20organized,and%20settled%20in%20three%20stages" TargetMode="External" /><Relationship Type="http://schemas.openxmlformats.org/officeDocument/2006/relationships/hyperlink" Id="rId96" Target="file://file-SAYMjV1nH2rf9aWFC7L2ab#:~:text=Correspondingly%2C%20Tablet%20B%E2%80%99s%20second%20section,the%20second%20sequence%20can%20be" TargetMode="External" /><Relationship Type="http://schemas.openxmlformats.org/officeDocument/2006/relationships/hyperlink" Id="rId83" Target="file://file-SAYMjV1nH2rf9aWFC7L2ab#:~:text=Kurenga%20corresponds%20to%20the%20,the%20coastal%20journey%20around%20the" TargetMode="External" /><Relationship Type="http://schemas.openxmlformats.org/officeDocument/2006/relationships/hyperlink" Id="rId75" Target="file://file-SAYMjV1nH2rf9aWFC7L2ab#:~:text=Maka,places%20he%20encountered%2C%20in%20order" TargetMode="External" /><Relationship Type="http://schemas.openxmlformats.org/officeDocument/2006/relationships/hyperlink" Id="rId69" Target="file://file-SAYMjV1nH2rf9aWFC7L2ab#:~:text=Structure%20of%20Tablet%20B%20and,Voyage%20Myth" TargetMode="External" /><Relationship Type="http://schemas.openxmlformats.org/officeDocument/2006/relationships/hyperlink" Id="rId84" Target="file://file-SAYMjV1nH2rf9aWFC7L2ab#:~:text=constant%20glyph%20,route" TargetMode="External" /><Relationship Type="http://schemas.openxmlformats.org/officeDocument/2006/relationships/hyperlink" Id="rId85" Target="file://file-SAYMjV1nH2rf9aWFC7L2ab#:~:text=enumerates%20the%20same%20chain%20of,allude%20to%20an%20important%20guiding" TargetMode="External" /><Relationship Type="http://schemas.openxmlformats.org/officeDocument/2006/relationships/hyperlink" Id="rId86" Target="file://file-SAYMjV1nH2rf9aWFC7L2ab#:~:text=first%20two,content%20aligns%20with%20the%20oral" TargetMode="External" /><Relationship Type="http://schemas.openxmlformats.org/officeDocument/2006/relationships/hyperlink" Id="rId79" Target="file://file-SAYMjV1nH2rf9aWFC7L2ab#:~:text=glyph%20%E2%80%9CB%E2%80%9D,the%20key%20geographic%20points%20are" TargetMode="External" /><Relationship Type="http://schemas.openxmlformats.org/officeDocument/2006/relationships/hyperlink" Id="rId87" Target="file://file-SAYMjV1nH2rf9aWFC7L2ab#:~:text=glyphs%29%20%2B%20sand%E2%80%9D%20indicates%20,that%20an%20inserted%20glyph%20denotes" TargetMode="External" /><Relationship Type="http://schemas.openxmlformats.org/officeDocument/2006/relationships/hyperlink" Id="rId81" Target="file://file-SAYMjV1nH2rf9aWFC7L2ab#:~:text=interpreted%20as%20%E2%80%9Cthe%20journey%20of,stand%20in%20for%20narrative%20details" TargetMode="External" /><Relationship Type="http://schemas.openxmlformats.org/officeDocument/2006/relationships/hyperlink" Id="rId73" Target="file://file-SAYMjV1nH2rf9aWFC7L2ab#:~:text=sequence%20appears%20to%20encode%20this,discovery%20of%20a%20new%20land%E2%80%9D" TargetMode="External" /><Relationship Type="http://schemas.openxmlformats.org/officeDocument/2006/relationships/hyperlink" Id="rId78" Target="file://file-SAYMjV1nH2rf9aWFC7L2ab#:~:text=single%20sign%2C%20it%20conceptually%20refers,glyph%20for%20Anakena" TargetMode="External" /><Relationship Type="http://schemas.openxmlformats.org/officeDocument/2006/relationships/hyperlink" Id="rId74" Target="file://file-SAYMjV1nH2rf9aWFC7L2ab#:~:text=small%20islets%20%28,out%20phonetically%2C%20but%20the%20sequence%E2%80%99s" TargetMode="External" /><Relationship Type="http://schemas.openxmlformats.org/officeDocument/2006/relationships/hyperlink" Id="rId80" Target="file://file-SAYMjV1nH2rf9aWFC7L2ab#:~:text=the%20,which%20Metoro" TargetMode="External" /><Relationship Type="http://schemas.openxmlformats.org/officeDocument/2006/relationships/hyperlink" Id="rId88" Target="file://file-SAYMjV1nH2rf9aWFC7L2ab#:~:text=the%20stars%20for%20guidance%3B%20a,sails%20to%20the%20new%20island" TargetMode="External" /><Relationship Type="http://schemas.openxmlformats.org/officeDocument/2006/relationships/hyperlink" Id="rId76" Target="file://file-SAYMjV1nH2rf9aWFC7L2ab#:~:text=then%20a%20series%20of%20glyph,discovery%20of%20a%20new%20land%E2%80%9D" TargetMode="External" /><Relationship Type="http://schemas.openxmlformats.org/officeDocument/2006/relationships/hyperlink" Id="rId36" Target="file://file-SAYMjV1nH2rf9aWFC7L2ab#:~:text=third,the%20second%20sequence%20can%20be" TargetMode="External" /><Relationship Type="http://schemas.openxmlformats.org/officeDocument/2006/relationships/hyperlink" Id="rId82" Target="file://file-SAYMjV1nH2rf9aWFC7L2ab#:~:text=where%20the%20scouts%20landed,the%20second%20sequence%20can%20be" TargetMode="External" /><Relationship Type="http://schemas.openxmlformats.org/officeDocument/2006/relationships/hyperlink" Id="rId134" Target="file://file-SxHHRx4USu32c9Q7YRNBZ7" TargetMode="External" /><Relationship Type="http://schemas.openxmlformats.org/officeDocument/2006/relationships/hyperlink" Id="rId53" Target="file://file-SxHHRx4USu32c9Q7YRNBZ7#:~:text=,a%20string%20of%20whimsical%20symbols" TargetMode="External" /><Relationship Type="http://schemas.openxmlformats.org/officeDocument/2006/relationships/hyperlink" Id="rId50" Target="file://file-SxHHRx4USu32c9Q7YRNBZ7#:~:text=,sized" TargetMode="External" /><Relationship Type="http://schemas.openxmlformats.org/officeDocument/2006/relationships/hyperlink" Id="rId43" Target="file://file-SxHHRx4USu32c9Q7YRNBZ7#:~:text=Each%20portion%20of%20the%20Mamari,had%20a%20practical%20agricultural%20purpose" TargetMode="External" /><Relationship Type="http://schemas.openxmlformats.org/officeDocument/2006/relationships/hyperlink" Id="rId44" Target="file://file-SxHHRx4USu32c9Q7YRNBZ7#:~:text=Each%20portion%20of%20the%20Mamari,keen%20observers%20of%20celestial%20cycles" TargetMode="External" /><Relationship Type="http://schemas.openxmlformats.org/officeDocument/2006/relationships/hyperlink" Id="rId28" Target="file://file-SxHHRx4USu32c9Q7YRNBZ7#:~:text=How%20did%20we%20confirm%20all,62" TargetMode="External" /><Relationship Type="http://schemas.openxmlformats.org/officeDocument/2006/relationships/hyperlink" Id="rId41" Target="file://file-SxHHRx4USu32c9Q7YRNBZ7#:~:text=In%20other%20words%2C%20the%20Mamari,sync%20with%20actual%20lunar%20cycles" TargetMode="External" /><Relationship Type="http://schemas.openxmlformats.org/officeDocument/2006/relationships/hyperlink" Id="rId95" Target="file://file-SxHHRx4USu32c9Q7YRNBZ7#:~:text=agricultural%20timing,readable%20in%20outline" TargetMode="External" /><Relationship Type="http://schemas.openxmlformats.org/officeDocument/2006/relationships/hyperlink" Id="rId39" Target="file://file-SxHHRx4USu32c9Q7YRNBZ7#:~:text=an%20ancestral%20spirit,an%20independent%20confirmation%20that%20our" TargetMode="External" /><Relationship Type="http://schemas.openxmlformats.org/officeDocument/2006/relationships/hyperlink" Id="rId42" Target="file://file-SxHHRx4USu32c9Q7YRNBZ7#:~:text=calendars%20and%20astronomical%20reality,making%20Tablet" TargetMode="External" /><Relationship Type="http://schemas.openxmlformats.org/officeDocument/2006/relationships/hyperlink" Id="rId47" Target="file://file-SxHHRx4USu32c9Q7YRNBZ7#:~:text=glyph%20clusters%20appear%20exactly%20where,of%20a%20stylized%20yoke%20or" TargetMode="External" /><Relationship Type="http://schemas.openxmlformats.org/officeDocument/2006/relationships/hyperlink" Id="rId54" Target="file://file-SxHHRx4USu32c9Q7YRNBZ7#:~:text=represented%20on%20the%20tablet%20by,and%20even%20a" TargetMode="External" /><Relationship Type="http://schemas.openxmlformats.org/officeDocument/2006/relationships/hyperlink" Id="rId46" Target="file://file-SxHHRx4USu32c9Q7YRNBZ7#:~:text=string%20of%20Kokore%20nights,Mamari%20sequence%20thus%20aligns%20with" TargetMode="External" /><Relationship Type="http://schemas.openxmlformats.org/officeDocument/2006/relationships/hyperlink" Id="rId51" Target="file://file-SxHHRx4USu32c9Q7YRNBZ7#:~:text=to%20a%20crescent%20%E2%80%93%20in,Such%20subtleties%20show" TargetMode="External" /><Relationship Type="http://schemas.openxmlformats.org/officeDocument/2006/relationships/hyperlink" Id="rId52" Target="file://file-SxHHRx4USu32c9Q7YRNBZ7#:~:text=to%20add%20extra%20nights,a%20string%20of%20whimsical%20symbols" TargetMode="External" /><Relationship Type="http://schemas.openxmlformats.org/officeDocument/2006/relationships/hyperlink" Id="rId133" Target="file://file-WbL6HV6ZArBfxGLPgySNKW" TargetMode="External" /><Relationship Type="http://schemas.openxmlformats.org/officeDocument/2006/relationships/hyperlink" Id="rId67" Target="file://file-WbL6HV6ZArBfxGLPgySNKW#:~:text=%28Kokore%29%20nights%2C%20and%20,In%20short%2C%20by%20combining%20calendar" TargetMode="External" /><Relationship Type="http://schemas.openxmlformats.org/officeDocument/2006/relationships/hyperlink" Id="rId59" Target="file://file-WbL6HV6ZArBfxGLPgySNKW#:~:text=%7B%20," TargetMode="External" /><Relationship Type="http://schemas.openxmlformats.org/officeDocument/2006/relationships/hyperlink" Id="rId100" Target="file://file-WbL6HV6ZArBfxGLPgySNKW#:~:text=%7D%2C%20," TargetMode="External" /><Relationship Type="http://schemas.openxmlformats.org/officeDocument/2006/relationships/hyperlink" Id="rId113" Target="file://file-WbL6HV6ZArBfxGLPgySNKW#:~:text=%7D%2C%20,%7D" TargetMode="External" /><Relationship Type="http://schemas.openxmlformats.org/officeDocument/2006/relationships/hyperlink" Id="rId61" Target="file://file-WbL6HV6ZArBfxGLPgySNKW#:~:text=%E2%80%9Cbegat%E2%80%9D%20or%20,In%20short%2C%20by%20combining%20calendar" TargetMode="External" /><Relationship Type="http://schemas.openxmlformats.org/officeDocument/2006/relationships/hyperlink" Id="rId116" Target="file://file-WbL6HV6ZArBfxGLPgySNKW#:~:text=," TargetMode="External" /><Relationship Type="http://schemas.openxmlformats.org/officeDocument/2006/relationships/hyperlink" Id="rId109" Target="file://file-WbL6HV6ZArBfxGLPgySNKW#:~:text=,We%20cite%20prior" TargetMode="External" /><Relationship Type="http://schemas.openxmlformats.org/officeDocument/2006/relationships/hyperlink" Id="rId48" Target="file://file-WbL6HV6ZArBfxGLPgySNKW#:~:text=,and%20was%20hypothesized%20to%20mean" TargetMode="External" /><Relationship Type="http://schemas.openxmlformats.org/officeDocument/2006/relationships/hyperlink" Id="rId114" Target="file://file-WbL6HV6ZArBfxGLPgySNKW#:~:text=,birds%20%28plural%29%3B%20flock" TargetMode="External" /><Relationship Type="http://schemas.openxmlformats.org/officeDocument/2006/relationships/hyperlink" Id="rId63" Target="file://file-WbL6HV6ZArBfxGLPgySNKW#:~:text=,divider%20is%20very%20consistently%20observed" TargetMode="External" /><Relationship Type="http://schemas.openxmlformats.org/officeDocument/2006/relationships/hyperlink" Id="rId115" Target="file://file-WbL6HV6ZArBfxGLPgySNKW#:~:text=,fish%3B%20%28fig.%29%20victim%2Fsacrifice" TargetMode="External" /><Relationship Type="http://schemas.openxmlformats.org/officeDocument/2006/relationships/hyperlink" Id="rId108" Target="file://file-WbL6HV6ZArBfxGLPgySNKW#:~:text=Final%20Rongorongo%20Glyph%20Lexicon%20Compilation" TargetMode="External" /><Relationship Type="http://schemas.openxmlformats.org/officeDocument/2006/relationships/hyperlink" Id="rId110" Target="file://file-WbL6HV6ZArBfxGLPgySNKW#:~:text=In%20the%20above%20sample%2C%20you,%E2%80%9Cchief%2Fperson%E2%80%9D" TargetMode="External" /><Relationship Type="http://schemas.openxmlformats.org/officeDocument/2006/relationships/hyperlink" Id="rId102" Target="file://file-WbL6HV6ZArBfxGLPgySNKW#:~:text=another%20text%20where%20a%20bird,glyph%20999" TargetMode="External" /><Relationship Type="http://schemas.openxmlformats.org/officeDocument/2006/relationships/hyperlink" Id="rId99" Target="file://file-WbL6HV6ZArBfxGLPgySNKW#:~:text=decipherment%3B%20identified%20glyph%2076%20as,Rongorongo%3A%20The%20Easter" TargetMode="External" /><Relationship Type="http://schemas.openxmlformats.org/officeDocument/2006/relationships/hyperlink" Id="rId94" Target="file://file-WbL6HV6ZArBfxGLPgySNKW#:~:text=match%20at%20L335%20decipherment%3B%20identified,Rongorongo%3A%20The%20Easter" TargetMode="External" /><Relationship Type="http://schemas.openxmlformats.org/officeDocument/2006/relationships/hyperlink" Id="rId64" Target="file://file-WbL6HV6ZArBfxGLPgySNKW#:~:text=meaning%20is%20,glyph%20999" TargetMode="External" /><Relationship Type="http://schemas.openxmlformats.org/officeDocument/2006/relationships/hyperlink" Id="rId103" Target="file://file-WbL6HV6ZArBfxGLPgySNKW#:~:text=meaning%20is%20,lexical" TargetMode="External" /><Relationship Type="http://schemas.openxmlformats.org/officeDocument/2006/relationships/hyperlink" Id="rId111" Target="file://file-WbL6HV6ZArBfxGLPgySNKW#:~:text=period.%20Cross,In%20short%2C%20by%20combining%20calendar" TargetMode="External" /><Relationship Type="http://schemas.openxmlformats.org/officeDocument/2006/relationships/hyperlink" Id="rId37" Target="file://file-WbL6HV6ZArBfxGLPgySNKW#:~:text=roles%20of%20relational%20glyphs%20%E2%80%93,In%20short%2C%20by%20combining%20calendar" TargetMode="External" /><Relationship Type="http://schemas.openxmlformats.org/officeDocument/2006/relationships/hyperlink" Id="rId60" Target="file://file-WbL6HV6ZArBfxGLPgySNKW#:~:text=roles%20of%20relational%20glyphs%20%E2%80%93,glyph%2076%20signifies%20%E2%80%9Cto" TargetMode="External" /><Relationship Type="http://schemas.openxmlformats.org/officeDocument/2006/relationships/hyperlink" Id="rId25" Target="file://file-WbL6HV6ZArBfxGLPgySNKW#:~:text=suspect%20it%20signified%20a%20high,shows%20it%20was%20also%20used" TargetMode="External" /><Relationship Type="http://schemas.openxmlformats.org/officeDocument/2006/relationships/hyperlink" Id="rId55" Target="file://file-WbL6HV6ZArBfxGLPgySNKW#:~:text=the%20nights%20before%20and%20after,glyph%2076%20signifies%20%E2%80%9Cto" TargetMode="External" /><Relationship Type="http://schemas.openxmlformats.org/officeDocument/2006/relationships/hyperlink" Id="rId112" Target="file://file-WbL6HV6ZArBfxGLPgySNKW#:~:text=transliterations%20for%20glyph%2076%2C%20and,a%20common%20Polynesian%20metaphor%20for" TargetMode="External" /><Relationship Type="http://schemas.openxmlformats.org/officeDocument/2006/relationships/hyperlink" Id="rId62" Target="file://file-WbL6HV6ZArBfxGLPgySNKW#:~:text=transliterations%20for%20glyph%2076%2C%20and,led%20early%20researchers%20to" TargetMode="External" /><Relationship Type="http://schemas.openxmlformats.org/officeDocument/2006/relationships/hyperlink" Id="rId131" Target="file://file-YAeSCgoXy81fdDNZBJed5B" TargetMode="External" /><Relationship Type="http://schemas.openxmlformats.org/officeDocument/2006/relationships/hyperlink" Id="rId30" Target="file://file-YAeSCgoXy81fdDNZBJed5B#:~:text=" TargetMode="External" /><Relationship Type="http://schemas.openxmlformats.org/officeDocument/2006/relationships/hyperlink" Id="rId24" Target="file://file-YAeSCgoXy81fdDNZBJed5B#:~:text=%23%203.%20%2A%2ACross,in%20known%20Rapa%20Nui%20traditions" TargetMode="External" /><Relationship Type="http://schemas.openxmlformats.org/officeDocument/2006/relationships/hyperlink" Id="rId27" Target="file://file-YAeSCgoXy81fdDNZBJed5B#:~:text=%2A%2AExample%20,phrase%20marker%20in%20genealogies" TargetMode="External" /><Relationship Type="http://schemas.openxmlformats.org/officeDocument/2006/relationships/hyperlink" Id="rId45" Target="file://file-YAeSCgoXy81fdDNZBJed5B#:~:text=," TargetMode="External" /><Relationship Type="http://schemas.openxmlformats.org/officeDocument/2006/relationships/hyperlink" Id="rId29" Target="file://file-YAeSCgoXy81fdDNZBJed5B#:~:text=,%28ika" TargetMode="External" /><Relationship Type="http://schemas.openxmlformats.org/officeDocument/2006/relationships/hyperlink" Id="rId119" Target="file://file-YAeSCgoXy81fdDNZBJed5B#:~:text=,55%20glyphs%20%2818.0" TargetMode="External" /><Relationship Type="http://schemas.openxmlformats.org/officeDocument/2006/relationships/hyperlink" Id="rId101" Target="file://file-YAeSCgoXy81fdDNZBJed5B#:~:text=,phrase%20marker%20in%20genealogies" TargetMode="External" /><Relationship Type="http://schemas.openxmlformats.org/officeDocument/2006/relationships/hyperlink" Id="rId40" Target="file://file-YAeSCgoXy81fdDNZBJed5B#:~:text=,recorded%20Rapa%20Nui%20month%20names" TargetMode="External" /><Relationship Type="http://schemas.openxmlformats.org/officeDocument/2006/relationships/hyperlink" Id="rId31" Target="file://file-YAeSCgoXy81fdDNZBJed5B#:~:text=1,recorded%20Rapa%20Nui%20month%20names" TargetMode="External" /><Relationship Type="http://schemas.openxmlformats.org/officeDocument/2006/relationships/hyperlink" Id="rId65" Target="file://file-YAeSCgoXy81fdDNZBJed5B#:~:text=2,%28ika" TargetMode="External" /><Relationship Type="http://schemas.openxmlformats.org/officeDocument/2006/relationships/hyperlink" Id="rId57" Target="file://file-YAeSCgoXy81fdDNZBJed5B#:~:text=2,of%20Y%2C%20who%20was%20Z" TargetMode="External" /><Relationship Type="http://schemas.openxmlformats.org/officeDocument/2006/relationships/hyperlink" Id="rId26" Target="file://file-YAeSCgoXy81fdDNZBJed5B#:~:text=4,Grammatical%20and%20syntactic%20markers" TargetMode="External" /><Relationship Type="http://schemas.openxmlformats.org/officeDocument/2006/relationships/hyperlink" Id="rId21" Target="file://file-YAeSCgoXy81fdDNZBJed5B#:~:text=Key%20Achievements%3A%20,Sumerian%2C%20Egyptian%2C%20and%20Akkadian%20scripts" TargetMode="External" /><Relationship Type="http://schemas.openxmlformats.org/officeDocument/2006/relationships/hyperlink" Id="rId58" Target="file://file-YAeSCgoXy81fdDNZBJed5B#:~:text=The%20,of%20Y%2C%20who%20was%20Z" TargetMode="External" /><Relationship Type="http://schemas.openxmlformats.org/officeDocument/2006/relationships/hyperlink" Id="rId66" Target="file://file-YAeSCgoXy81fdDNZBJed5B#:~:text=The%20scripts%20provide%20,including%20wars%2C%20migrations%2C%20and%20successions" TargetMode="External" /><Relationship Type="http://schemas.openxmlformats.org/officeDocument/2006/relationships/hyperlink" Id="rId126" Target="file://file-YAeSCgoXy81fdDNZBJed5B#:~:text=This%20report%20documents%20the%20first,98" TargetMode="External" /><Relationship Type="http://schemas.openxmlformats.org/officeDocument/2006/relationships/hyperlink" Id="rId118" Target="file://file-YAeSCgoXy81fdDNZBJed5B#:~:text=analysis%20utilizing%20advanced%20AI,98" TargetMode="External" /><Relationship Type="http://schemas.openxmlformats.org/officeDocument/2006/relationships/hyperlink" Id="rId117" Target="file://file-YAeSCgoXy81fdDNZBJed5B#:~:text=one%20of%20the%20most%20significant,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2025-12-20T22:26:51Z</dcterms:created>
  <dcterms:modified xsi:type="dcterms:W3CDTF">2025-12-20T22:26:51Z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