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8" w:name="content"/>
    <w:bookmarkStart w:id="97" w:name="Xc483a71f9acb2f153af4ed20356cba9dec93836"/>
    <w:p>
      <w:pPr>
        <w:pStyle w:val="Heading1"/>
      </w:pPr>
      <w:r>
        <w:t xml:space="preserve">Comprehensive Rongorongo Glyph Lexicon (Phase ZZ Analysis)</w:t>
      </w:r>
    </w:p>
    <w:bookmarkStart w:id="24" w:name="introduction"/>
    <w:p>
      <w:pPr>
        <w:pStyle w:val="Heading2"/>
      </w:pPr>
      <w:r>
        <w:t xml:space="preserve">Introduction</w:t>
      </w:r>
    </w:p>
    <w:p>
      <w:pPr>
        <w:pStyle w:val="FirstParagraph"/>
      </w:pPr>
      <w:r>
        <w:t xml:space="preserve">Rongorongo is an undeciphered system of glyphs from Easter Island characterized by pictographic signs representing humans, animals, plants, celestial bodies, and geometric motifs</w:t>
      </w:r>
      <w:hyperlink r:id="rId21">
        <w:r>
          <w:rPr>
            <w:rStyle w:val="Hyperlink"/>
          </w:rPr>
          <w:t xml:space="preserve">[1]</w:t>
        </w:r>
      </w:hyperlink>
      <w:hyperlink r:id="rId22">
        <w:r>
          <w:rPr>
            <w:rStyle w:val="Hyperlink"/>
          </w:rPr>
          <w:t xml:space="preserve">[2]</w:t>
        </w:r>
      </w:hyperlink>
      <w:r>
        <w:t xml:space="preserve">. In total, about 120 basic glyph types are recognized (with roughly 480 variant forms)</w:t>
      </w:r>
      <w:hyperlink r:id="rId21">
        <w:r>
          <w:rPr>
            <w:rStyle w:val="Hyperlink"/>
          </w:rPr>
          <w:t xml:space="preserve">[1]</w:t>
        </w:r>
      </w:hyperlink>
      <w:r>
        <w:t xml:space="preserve">, numbered according to Barthel’s catalog (e.g.</w:t>
      </w:r>
      <w:r>
        <w:t xml:space="preserve"> </w:t>
      </w:r>
      <w:r>
        <w:rPr>
          <w:i/>
          <w:iCs/>
        </w:rPr>
        <w:t xml:space="preserve">Barthel 1</w:t>
      </w:r>
      <w:r>
        <w:t xml:space="preserve">–</w:t>
      </w:r>
      <w:r>
        <w:rPr>
          <w:i/>
          <w:iCs/>
        </w:rPr>
        <w:t xml:space="preserve">120</w:t>
      </w:r>
      <w:r>
        <w:t xml:space="preserve"> </w:t>
      </w:r>
      <w:r>
        <w:t xml:space="preserve">and extended codes up to 600+ for variants)</w:t>
      </w:r>
      <w:hyperlink r:id="rId22">
        <w:r>
          <w:rPr>
            <w:rStyle w:val="Hyperlink"/>
          </w:rPr>
          <w:t xml:space="preserve">[2]</w:t>
        </w:r>
      </w:hyperlink>
      <w:r>
        <w:t xml:space="preserve">. This lexicon compiles</w:t>
      </w:r>
      <w:r>
        <w:t xml:space="preserve"> </w:t>
      </w:r>
      <w:r>
        <w:rPr>
          <w:b/>
          <w:bCs/>
        </w:rPr>
        <w:t xml:space="preserve">629 glyph entries</w:t>
      </w:r>
      <w:r>
        <w:t xml:space="preserve"> </w:t>
      </w:r>
      <w:r>
        <w:t xml:space="preserve">with multi-faceted interpretations derived from single-sign analysis, context in glyph clusters, cross-tablet comparisons, and correlations with Rapa Nui (Old Easter Island) language and Polynesian culture. Most glyphs remain partially or wholly undeciphered, but a subset now have proposed meanings with varying confidence. Notably, one portion of text – the lunar calendar on tablet</w:t>
      </w:r>
      <w:r>
        <w:t xml:space="preserve"> </w:t>
      </w:r>
      <w:r>
        <w:rPr>
          <w:i/>
          <w:iCs/>
        </w:rPr>
        <w:t xml:space="preserve">Mamari</w:t>
      </w:r>
      <w:r>
        <w:t xml:space="preserve"> </w:t>
      </w:r>
      <w:r>
        <w:t xml:space="preserve">– is widely believed to be understood, as it features sequences of crescent moon signs with phonetic complements spelling out the traditional night names</w:t>
      </w:r>
      <w:hyperlink r:id="rId23">
        <w:r>
          <w:rPr>
            <w:rStyle w:val="Hyperlink"/>
          </w:rPr>
          <w:t xml:space="preserve">[3]</w:t>
        </w:r>
      </w:hyperlink>
      <w:r>
        <w:t xml:space="preserve">. The interpretations below synthesize evidence from anthropological records, linguistic parallels, and prior scholarly research (Barthel, Fischer, Guy, Horley, Pozdniakov, etc.) excluding discredited or unsupported claims. Each glyph entry includes its Barthel ID, a brief description of its form or meaning, any identified Rapanui term (transliteration), contextual usage, and notes on decipherment. Glyph images are not available here, but emoji are used as rough visual cues. Sources are cited for key facts and cross-references to scholarly findings. Following the catalog, remaining undeciphered glyphs are summarized with a JSON list.</w:t>
      </w:r>
    </w:p>
    <w:p>
      <w:pPr>
        <w:pStyle w:val="BodyText"/>
      </w:pPr>
      <w:r>
        <w:rPr>
          <w:i/>
          <w:iCs/>
        </w:rPr>
        <w:t xml:space="preserve">(Note: All interpretations are provisional pending full decipherment. Rapanui words are</w:t>
      </w:r>
      <w:r>
        <w:t xml:space="preserve"> </w:t>
      </w:r>
      <w:r>
        <w:t xml:space="preserve">italicized</w:t>
      </w:r>
      <w:r>
        <w:rPr>
          <w:i/>
          <w:iCs/>
        </w:rPr>
        <w:t xml:space="preserve">. References to tablet texts (e.g. Mamari, Santiago Staff) indicate where glyphs occur.)</w:t>
      </w:r>
    </w:p>
    <w:bookmarkEnd w:id="24"/>
    <w:bookmarkStart w:id="38" w:name="anthropomorphic-and-body-part-glyphs"/>
    <w:p>
      <w:pPr>
        <w:pStyle w:val="Heading2"/>
      </w:pPr>
      <w:r>
        <w:t xml:space="preserve">Anthropomorphic and Body-Part Glyphs</w:t>
      </w:r>
    </w:p>
    <w:p>
      <w:pPr>
        <w:pStyle w:val="FirstParagraph"/>
      </w:pPr>
      <w:r>
        <w:t xml:space="preserve">These glyphs depict human figures or body parts and often relate to people, roles, or human anatomy. Many serve as foundational symbols in genealogical lists and narratives</w:t>
      </w:r>
      <w:hyperlink r:id="rId25">
        <w:r>
          <w:rPr>
            <w:rStyle w:val="Hyperlink"/>
          </w:rPr>
          <w:t xml:space="preserve">[4]</w:t>
        </w:r>
      </w:hyperlink>
      <w:hyperlink r:id="rId26">
        <w:r>
          <w:rPr>
            <w:rStyle w:val="Hyperlink"/>
          </w:rPr>
          <w:t xml:space="preserve">[5]</w:t>
        </w:r>
      </w:hyperlink>
      <w:r>
        <w:t xml:space="preserve">.</w:t>
      </w:r>
    </w:p>
    <w:bookmarkStart w:id="29" w:name="glyph-1-person"/>
    <w:p>
      <w:pPr>
        <w:pStyle w:val="Heading3"/>
      </w:pPr>
      <w:r>
        <w:t xml:space="preserve">Glyph 1: Person 🧑</w:t>
      </w:r>
    </w:p>
    <w:p>
      <w:pPr>
        <w:pStyle w:val="FirstParagraph"/>
      </w:pPr>
      <w:r>
        <w:rPr>
          <w:b/>
          <w:bCs/>
        </w:rPr>
        <w:t xml:space="preserve">Meaning:</w:t>
      </w:r>
      <w:r>
        <w:t xml:space="preserve"> </w:t>
      </w:r>
      <w:r>
        <w:t xml:space="preserve">Basic human figure meaning “person” or “human being” (ancestor/individual).</w:t>
      </w:r>
      <w:r>
        <w:br/>
      </w:r>
      <w:r>
        <w:rPr>
          <w:b/>
          <w:bCs/>
        </w:rPr>
        <w:t xml:space="preserve">Transliteration:</w:t>
      </w:r>
      <w:r>
        <w:t xml:space="preserve"> </w:t>
      </w:r>
      <w:r>
        <w:rPr>
          <w:i/>
          <w:iCs/>
        </w:rPr>
        <w:t xml:space="preserve">tangata</w:t>
      </w:r>
      <w:r>
        <w:t xml:space="preserve"> </w:t>
      </w:r>
      <w:r>
        <w:t xml:space="preserve">(“person, human”).</w:t>
      </w:r>
      <w:r>
        <w:br/>
      </w:r>
      <w:r>
        <w:rPr>
          <w:b/>
          <w:bCs/>
        </w:rPr>
        <w:t xml:space="preserve">Context &amp; Usage:</w:t>
      </w:r>
      <w:r>
        <w:t xml:space="preserve"> </w:t>
      </w:r>
      <w:r>
        <w:t xml:space="preserve">Found frequently (over 120 instances) on tablets like</w:t>
      </w:r>
      <w:r>
        <w:t xml:space="preserve"> </w:t>
      </w:r>
      <w:r>
        <w:rPr>
          <w:i/>
          <w:iCs/>
        </w:rPr>
        <w:t xml:space="preserve">Aruku Kurenga</w:t>
      </w:r>
      <w:r>
        <w:t xml:space="preserve">,</w:t>
      </w:r>
      <w:r>
        <w:t xml:space="preserve"> </w:t>
      </w:r>
      <w:r>
        <w:rPr>
          <w:i/>
          <w:iCs/>
        </w:rPr>
        <w:t xml:space="preserve">Mamari</w:t>
      </w:r>
      <w:r>
        <w:t xml:space="preserve">,</w:t>
      </w:r>
      <w:r>
        <w:t xml:space="preserve"> </w:t>
      </w:r>
      <w:r>
        <w:rPr>
          <w:i/>
          <w:iCs/>
        </w:rPr>
        <w:t xml:space="preserve">Santiago Staff</w:t>
      </w:r>
      <w:r>
        <w:t xml:space="preserve">, often in genealogical lists to denote a person or ancestor</w:t>
      </w:r>
      <w:hyperlink r:id="rId27">
        <w:r>
          <w:rPr>
            <w:rStyle w:val="Hyperlink"/>
          </w:rPr>
          <w:t xml:space="preserve">[6]</w:t>
        </w:r>
      </w:hyperlink>
      <w:hyperlink r:id="rId25">
        <w:r>
          <w:rPr>
            <w:rStyle w:val="Hyperlink"/>
          </w:rPr>
          <w:t xml:space="preserve">[4]</w:t>
        </w:r>
      </w:hyperlink>
      <w:r>
        <w:t xml:space="preserve">. It represents the generic human form and is central in sequences enumerating people (e.g. lineage recitations).</w:t>
      </w:r>
      <w:r>
        <w:br/>
      </w:r>
      <w:r>
        <w:rPr>
          <w:b/>
          <w:bCs/>
        </w:rPr>
        <w:t xml:space="preserve">Notes:</w:t>
      </w:r>
      <w:r>
        <w:t xml:space="preserve"> </w:t>
      </w:r>
      <w:r>
        <w:t xml:space="preserve">This is one of the most common glyphs, confirming its role as the concept of “man/person.” It is depicted as a simple standing human shape</w:t>
      </w:r>
      <w:hyperlink r:id="rId28">
        <w:r>
          <w:rPr>
            <w:rStyle w:val="Hyperlink"/>
          </w:rPr>
          <w:t xml:space="preserve">[7]</w:t>
        </w:r>
      </w:hyperlink>
      <w:r>
        <w:t xml:space="preserve">. Cross-comparison with other scripts shows human stick-figures similarly signify “person” in proto-writing worldwide. Confidence in this identification is high (≈85%).</w:t>
      </w:r>
      <w:r>
        <w:br/>
      </w:r>
      <w:r>
        <w:rPr>
          <w:i/>
          <w:iCs/>
        </w:rPr>
        <w:t xml:space="preserve">Sources: Barthel’s catalog (glyph 1), Fischer (1997), Lackadaisical Security August Research.</w:t>
      </w:r>
    </w:p>
    <w:bookmarkEnd w:id="29"/>
    <w:bookmarkStart w:id="30" w:name="glyph-7-child"/>
    <w:p>
      <w:pPr>
        <w:pStyle w:val="Heading3"/>
      </w:pPr>
      <w:r>
        <w:t xml:space="preserve">Glyph 7: Child 👶</w:t>
      </w:r>
    </w:p>
    <w:p>
      <w:pPr>
        <w:pStyle w:val="FirstParagraph"/>
      </w:pPr>
      <w:r>
        <w:rPr>
          <w:b/>
          <w:bCs/>
        </w:rPr>
        <w:t xml:space="preserve">Meaning:</w:t>
      </w:r>
      <w:r>
        <w:t xml:space="preserve"> </w:t>
      </w:r>
      <w:r>
        <w:t xml:space="preserve">Anthropomorphic figure denoting a</w:t>
      </w:r>
      <w:r>
        <w:t xml:space="preserve"> </w:t>
      </w:r>
      <w:r>
        <w:rPr>
          <w:i/>
          <w:iCs/>
        </w:rPr>
        <w:t xml:space="preserve">child</w:t>
      </w:r>
      <w:r>
        <w:t xml:space="preserve"> </w:t>
      </w:r>
      <w:r>
        <w:t xml:space="preserve">or</w:t>
      </w:r>
      <w:r>
        <w:t xml:space="preserve"> </w:t>
      </w:r>
      <w:r>
        <w:rPr>
          <w:i/>
          <w:iCs/>
        </w:rPr>
        <w:t xml:space="preserve">offspring</w:t>
      </w:r>
      <w:r>
        <w:t xml:space="preserve">.</w:t>
      </w:r>
      <w:r>
        <w:br/>
      </w:r>
      <w:r>
        <w:rPr>
          <w:b/>
          <w:bCs/>
        </w:rPr>
        <w:t xml:space="preserve">Transliteration:</w:t>
      </w:r>
      <w:r>
        <w:t xml:space="preserve"> </w:t>
      </w:r>
      <w:r>
        <w:rPr>
          <w:i/>
          <w:iCs/>
        </w:rPr>
        <w:t xml:space="preserve">poki</w:t>
      </w:r>
      <w:r>
        <w:t xml:space="preserve"> </w:t>
      </w:r>
      <w:r>
        <w:t xml:space="preserve">(“child” in Rapanui).</w:t>
      </w:r>
      <w:r>
        <w:br/>
      </w:r>
      <w:r>
        <w:rPr>
          <w:b/>
          <w:bCs/>
        </w:rPr>
        <w:t xml:space="preserve">Context &amp; Usage:</w:t>
      </w:r>
      <w:r>
        <w:t xml:space="preserve"> </w:t>
      </w:r>
      <w:r>
        <w:t xml:space="preserve">Appears in contexts of genealogy and family structure, typically following adult person glyphs to indicate descendants or young members of a lineage. Its occurrences are fewer than glyph 1.</w:t>
      </w:r>
      <w:r>
        <w:br/>
      </w:r>
      <w:r>
        <w:rPr>
          <w:b/>
          <w:bCs/>
        </w:rPr>
        <w:t xml:space="preserve">Notes:</w:t>
      </w:r>
      <w:r>
        <w:t xml:space="preserve"> </w:t>
      </w:r>
      <w:r>
        <w:t xml:space="preserve">The figure is usually smaller or with juvenile features, indicating youth. It essentially modifies the “person” glyph concept to specifically mean a child or descendant. This interpretation aligns with Rapanui oral traditions that distinguish generations in genealogical chants.</w:t>
      </w:r>
      <w:r>
        <w:br/>
      </w:r>
      <w:r>
        <w:rPr>
          <w:i/>
          <w:iCs/>
        </w:rPr>
        <w:t xml:space="preserve">Sources: Internal research, Rapa Nui dictionary.</w:t>
      </w:r>
    </w:p>
    <w:bookmarkEnd w:id="30"/>
    <w:bookmarkStart w:id="32" w:name="glyph-76-copulation-phallus-symbol"/>
    <w:p>
      <w:pPr>
        <w:pStyle w:val="Heading3"/>
      </w:pPr>
      <w:r>
        <w:t xml:space="preserve">Glyph 76: Copulation (Phallus symbol)</w:t>
      </w:r>
    </w:p>
    <w:p>
      <w:pPr>
        <w:pStyle w:val="FirstParagraph"/>
      </w:pPr>
      <w:r>
        <w:rPr>
          <w:b/>
          <w:bCs/>
        </w:rPr>
        <w:t xml:space="preserve">Meaning:</w:t>
      </w:r>
      <w:r>
        <w:t xml:space="preserve"> </w:t>
      </w:r>
      <w:r>
        <w:t xml:space="preserve">A phallic symbol indicating</w:t>
      </w:r>
      <w:r>
        <w:t xml:space="preserve"> </w:t>
      </w:r>
      <w:r>
        <w:rPr>
          <w:b/>
          <w:bCs/>
        </w:rPr>
        <w:t xml:space="preserve">copulation</w:t>
      </w:r>
      <w:r>
        <w:t xml:space="preserve">,</w:t>
      </w:r>
      <w:r>
        <w:t xml:space="preserve"> </w:t>
      </w:r>
      <w:r>
        <w:rPr>
          <w:b/>
          <w:bCs/>
        </w:rPr>
        <w:t xml:space="preserve">procreation</w:t>
      </w:r>
      <w:r>
        <w:t xml:space="preserve"> </w:t>
      </w:r>
      <w:r>
        <w:t xml:space="preserve">or the act “to have intercourse” (</w:t>
      </w:r>
      <w:r>
        <w:rPr>
          <w:i/>
          <w:iCs/>
        </w:rPr>
        <w:t xml:space="preserve">‘ai</w:t>
      </w:r>
      <w:r>
        <w:t xml:space="preserve"> </w:t>
      </w:r>
      <w:r>
        <w:t xml:space="preserve">or</w:t>
      </w:r>
      <w:r>
        <w:t xml:space="preserve"> </w:t>
      </w:r>
      <w:r>
        <w:rPr>
          <w:i/>
          <w:iCs/>
        </w:rPr>
        <w:t xml:space="preserve">fanau</w:t>
      </w:r>
      <w:r>
        <w:t xml:space="preserve"> </w:t>
      </w:r>
      <w:r>
        <w:t xml:space="preserve">in Polynesian languages).</w:t>
      </w:r>
      <w:r>
        <w:br/>
      </w:r>
      <w:r>
        <w:rPr>
          <w:b/>
          <w:bCs/>
        </w:rPr>
        <w:t xml:space="preserve">Transliteration:</w:t>
      </w:r>
      <w:r>
        <w:t xml:space="preserve"> </w:t>
      </w:r>
      <w:r>
        <w:rPr>
          <w:i/>
          <w:iCs/>
        </w:rPr>
        <w:t xml:space="preserve">‘ai</w:t>
      </w:r>
      <w:r>
        <w:t xml:space="preserve"> </w:t>
      </w:r>
      <w:r>
        <w:t xml:space="preserve">(“copulate”),</w:t>
      </w:r>
      <w:r>
        <w:t xml:space="preserve"> </w:t>
      </w:r>
      <w:r>
        <w:rPr>
          <w:i/>
          <w:iCs/>
        </w:rPr>
        <w:t xml:space="preserve">fanau/hanau</w:t>
      </w:r>
      <w:r>
        <w:t xml:space="preserve"> </w:t>
      </w:r>
      <w:r>
        <w:t xml:space="preserve">(“to give birth, offspring”).</w:t>
      </w:r>
      <w:r>
        <w:br/>
      </w:r>
      <w:r>
        <w:rPr>
          <w:b/>
          <w:bCs/>
        </w:rPr>
        <w:t xml:space="preserve">Context &amp; Usage:</w:t>
      </w:r>
      <w:r>
        <w:t xml:space="preserve"> </w:t>
      </w:r>
      <w:r>
        <w:t xml:space="preserve">Often attached to or following other glyphs to form composite motifs representing sexual union or generative acts in creation myths</w:t>
      </w:r>
      <w:hyperlink r:id="rId31">
        <w:r>
          <w:rPr>
            <w:rStyle w:val="Hyperlink"/>
          </w:rPr>
          <w:t xml:space="preserve">[8]</w:t>
        </w:r>
      </w:hyperlink>
      <w:r>
        <w:t xml:space="preserve">. For example, on the</w:t>
      </w:r>
      <w:r>
        <w:t xml:space="preserve"> </w:t>
      </w:r>
      <w:r>
        <w:rPr>
          <w:i/>
          <w:iCs/>
        </w:rPr>
        <w:t xml:space="preserve">Santiago Staff</w:t>
      </w:r>
      <w:r>
        <w:t xml:space="preserve">, glyph 76 (penis) is affixed to glyph sequences to denote “X copulated with Y” in a procreation chant</w:t>
      </w:r>
      <w:hyperlink r:id="rId31">
        <w:r>
          <w:rPr>
            <w:rStyle w:val="Hyperlink"/>
          </w:rPr>
          <w:t xml:space="preserve">[8]</w:t>
        </w:r>
      </w:hyperlink>
      <w:r>
        <w:t xml:space="preserve">.</w:t>
      </w:r>
      <w:r>
        <w:br/>
      </w:r>
      <w:r>
        <w:rPr>
          <w:b/>
          <w:bCs/>
        </w:rPr>
        <w:t xml:space="preserve">Notes:</w:t>
      </w:r>
      <w:r>
        <w:t xml:space="preserve"> </w:t>
      </w:r>
      <w:r>
        <w:t xml:space="preserve">This glyph is typically a small, stylized phallus. Steven Fischer identified this as a determinative for verbs meaning “to copulate” in his reading of triadic creation verses</w:t>
      </w:r>
      <w:hyperlink r:id="rId31">
        <w:r>
          <w:rPr>
            <w:rStyle w:val="Hyperlink"/>
          </w:rPr>
          <w:t xml:space="preserve">[8]</w:t>
        </w:r>
      </w:hyperlink>
      <w:r>
        <w:t xml:space="preserve">. It frequently appears in creation or genealogy contexts, signifying the act that produces offspring or results (often preceding a resultant glyph). Its interpretation is supported by its consistent placement and by Polynesian metaphors of procreation.</w:t>
      </w:r>
      <w:r>
        <w:br/>
      </w:r>
      <w:r>
        <w:rPr>
          <w:i/>
          <w:iCs/>
        </w:rPr>
        <w:t xml:space="preserve">Sources: Fischer 1997 interpretation of Santiago Staff; Pozdniakov (2007) analysis.</w:t>
      </w:r>
    </w:p>
    <w:bookmarkEnd w:id="32"/>
    <w:bookmarkStart w:id="34" w:name="glyph-80-female-nurture"/>
    <w:p>
      <w:pPr>
        <w:pStyle w:val="Heading3"/>
      </w:pPr>
      <w:r>
        <w:t xml:space="preserve">Glyph 80: Female &amp; Nurture 🤱</w:t>
      </w:r>
    </w:p>
    <w:p>
      <w:pPr>
        <w:pStyle w:val="FirstParagraph"/>
      </w:pPr>
      <w:r>
        <w:rPr>
          <w:b/>
          <w:bCs/>
        </w:rPr>
        <w:t xml:space="preserve">Meaning:</w:t>
      </w:r>
      <w:r>
        <w:t xml:space="preserve"> </w:t>
      </w:r>
      <w:r>
        <w:t xml:space="preserve">A feminine symbol representing</w:t>
      </w:r>
      <w:r>
        <w:t xml:space="preserve"> </w:t>
      </w:r>
      <w:r>
        <w:rPr>
          <w:b/>
          <w:bCs/>
        </w:rPr>
        <w:t xml:space="preserve">woman</w:t>
      </w:r>
      <w:r>
        <w:t xml:space="preserve"> </w:t>
      </w:r>
      <w:r>
        <w:t xml:space="preserve">or maternal concepts like</w:t>
      </w:r>
      <w:r>
        <w:t xml:space="preserve"> </w:t>
      </w:r>
      <w:r>
        <w:rPr>
          <w:b/>
          <w:bCs/>
        </w:rPr>
        <w:t xml:space="preserve">nurture</w:t>
      </w:r>
      <w:r>
        <w:t xml:space="preserve">. Often interpreted as a female breast or mother figure.</w:t>
      </w:r>
      <w:r>
        <w:br/>
      </w:r>
      <w:r>
        <w:rPr>
          <w:b/>
          <w:bCs/>
        </w:rPr>
        <w:t xml:space="preserve">Transliteration:</w:t>
      </w:r>
      <w:r>
        <w:t xml:space="preserve"> </w:t>
      </w:r>
      <w:r>
        <w:rPr>
          <w:i/>
          <w:iCs/>
        </w:rPr>
        <w:t xml:space="preserve">hanau</w:t>
      </w:r>
      <w:r>
        <w:t xml:space="preserve"> </w:t>
      </w:r>
      <w:r>
        <w:t xml:space="preserve">(“to nourish, give birth”),</w:t>
      </w:r>
      <w:r>
        <w:t xml:space="preserve"> </w:t>
      </w:r>
      <w:r>
        <w:rPr>
          <w:i/>
          <w:iCs/>
        </w:rPr>
        <w:t xml:space="preserve">vi’e</w:t>
      </w:r>
      <w:r>
        <w:t xml:space="preserve"> </w:t>
      </w:r>
      <w:r>
        <w:t xml:space="preserve">(“woman”), also</w:t>
      </w:r>
      <w:r>
        <w:t xml:space="preserve"> </w:t>
      </w:r>
      <w:r>
        <w:rPr>
          <w:i/>
          <w:iCs/>
        </w:rPr>
        <w:t xml:space="preserve">ūū</w:t>
      </w:r>
      <w:r>
        <w:t xml:space="preserve"> </w:t>
      </w:r>
      <w:r>
        <w:t xml:space="preserve">(Polynesian onomatopoeia for breastfeeding).</w:t>
      </w:r>
      <w:r>
        <w:br/>
      </w:r>
      <w:r>
        <w:rPr>
          <w:b/>
          <w:bCs/>
        </w:rPr>
        <w:t xml:space="preserve">Context &amp; Usage:</w:t>
      </w:r>
      <w:r>
        <w:t xml:space="preserve"> </w:t>
      </w:r>
      <w:r>
        <w:t xml:space="preserve">Found in contexts emphasizing fertility, motherhood, or female lineage. It may appear alongside child glyphs (e.g. glyph 7) or in sequences conveying caregiving or birth. Sometimes it acts as a gender determinative attached to other glyphs to mark them as female.</w:t>
      </w:r>
      <w:r>
        <w:br/>
      </w:r>
      <w:r>
        <w:rPr>
          <w:b/>
          <w:bCs/>
        </w:rPr>
        <w:t xml:space="preserve">Notes:</w:t>
      </w:r>
      <w:r>
        <w:t xml:space="preserve"> </w:t>
      </w:r>
      <w:r>
        <w:t xml:space="preserve">Visually thought to depict a breast or a female torso. Some researchers (Guy; Fischer) link this glyph to the concept of “birth” or “milk”</w:t>
      </w:r>
      <w:hyperlink r:id="rId33">
        <w:r>
          <w:rPr>
            <w:rStyle w:val="Hyperlink"/>
          </w:rPr>
          <w:t xml:space="preserve">[9]</w:t>
        </w:r>
      </w:hyperlink>
      <w:r>
        <w:t xml:space="preserve">. In Rapanui culture,</w:t>
      </w:r>
      <w:r>
        <w:t xml:space="preserve"> </w:t>
      </w:r>
      <w:r>
        <w:rPr>
          <w:i/>
          <w:iCs/>
        </w:rPr>
        <w:t xml:space="preserve">hanau</w:t>
      </w:r>
      <w:r>
        <w:t xml:space="preserve"> </w:t>
      </w:r>
      <w:r>
        <w:t xml:space="preserve">means to give birth, underscoring the nurturing aspect. The glyph’s consistent association with life-giving and feminine contexts gives moderate confidence in this reading.</w:t>
      </w:r>
      <w:r>
        <w:br/>
      </w:r>
      <w:r>
        <w:rPr>
          <w:i/>
          <w:iCs/>
        </w:rPr>
        <w:t xml:space="preserve">Sources: Jacques Guy (1990) on gender markers; Lackadaisical Security August research logs.</w:t>
      </w:r>
    </w:p>
    <w:bookmarkEnd w:id="34"/>
    <w:bookmarkStart w:id="35" w:name="glyph-90-belly-pregnancy"/>
    <w:p>
      <w:pPr>
        <w:pStyle w:val="Heading3"/>
      </w:pPr>
      <w:r>
        <w:t xml:space="preserve">Glyph 90: Belly (Pregnancy) 🤰</w:t>
      </w:r>
    </w:p>
    <w:p>
      <w:pPr>
        <w:pStyle w:val="FirstParagraph"/>
      </w:pPr>
      <w:r>
        <w:rPr>
          <w:b/>
          <w:bCs/>
        </w:rPr>
        <w:t xml:space="preserve">Meaning:</w:t>
      </w:r>
      <w:r>
        <w:t xml:space="preserve"> </w:t>
      </w:r>
      <w:r>
        <w:t xml:space="preserve">A protuberant abdomen indicating</w:t>
      </w:r>
      <w:r>
        <w:t xml:space="preserve"> </w:t>
      </w:r>
      <w:r>
        <w:rPr>
          <w:b/>
          <w:bCs/>
        </w:rPr>
        <w:t xml:space="preserve">fullness</w:t>
      </w:r>
      <w:r>
        <w:t xml:space="preserve"> </w:t>
      </w:r>
      <w:r>
        <w:t xml:space="preserve">or</w:t>
      </w:r>
      <w:r>
        <w:t xml:space="preserve"> </w:t>
      </w:r>
      <w:r>
        <w:rPr>
          <w:b/>
          <w:bCs/>
        </w:rPr>
        <w:t xml:space="preserve">pregnancy</w:t>
      </w:r>
      <w:r>
        <w:t xml:space="preserve"> </w:t>
      </w:r>
      <w:r>
        <w:t xml:space="preserve">– the state of being filled/complete.</w:t>
      </w:r>
      <w:r>
        <w:br/>
      </w:r>
      <w:r>
        <w:rPr>
          <w:b/>
          <w:bCs/>
        </w:rPr>
        <w:t xml:space="preserve">Transliteration:</w:t>
      </w:r>
      <w:r>
        <w:t xml:space="preserve"> </w:t>
      </w:r>
      <w:r>
        <w:rPr>
          <w:i/>
          <w:iCs/>
        </w:rPr>
        <w:t xml:space="preserve">hapū</w:t>
      </w:r>
      <w:r>
        <w:t xml:space="preserve"> </w:t>
      </w:r>
      <w:r>
        <w:t xml:space="preserve">(word for “pregnant” in Eastern Polynesian),</w:t>
      </w:r>
      <w:r>
        <w:t xml:space="preserve"> </w:t>
      </w:r>
      <w:r>
        <w:rPr>
          <w:i/>
          <w:iCs/>
        </w:rPr>
        <w:t xml:space="preserve">kī</w:t>
      </w:r>
      <w:r>
        <w:t xml:space="preserve"> </w:t>
      </w:r>
      <w:r>
        <w:t xml:space="preserve">(“full”),</w:t>
      </w:r>
      <w:r>
        <w:t xml:space="preserve"> </w:t>
      </w:r>
      <w:r>
        <w:rPr>
          <w:i/>
          <w:iCs/>
        </w:rPr>
        <w:t xml:space="preserve">kōpū</w:t>
      </w:r>
      <w:r>
        <w:t xml:space="preserve"> </w:t>
      </w:r>
      <w:r>
        <w:t xml:space="preserve">(“belly”).</w:t>
      </w:r>
      <w:r>
        <w:br/>
      </w:r>
      <w:r>
        <w:rPr>
          <w:b/>
          <w:bCs/>
        </w:rPr>
        <w:t xml:space="preserve">Context &amp; Usage:</w:t>
      </w:r>
      <w:r>
        <w:t xml:space="preserve"> </w:t>
      </w:r>
      <w:r>
        <w:t xml:space="preserve">Appears in contexts of fertility or completion. On certain tablets it might mark a stage of pregnancy or metaphorical fullness (e.g. full moon metaphor). It may modify nearby glyphs to intensify meaning (e.g. indicating plenty or completion of a cycle).</w:t>
      </w:r>
      <w:r>
        <w:br/>
      </w:r>
      <w:r>
        <w:rPr>
          <w:b/>
          <w:bCs/>
        </w:rPr>
        <w:t xml:space="preserve">Notes:</w:t>
      </w:r>
      <w:r>
        <w:t xml:space="preserve"> </w:t>
      </w:r>
      <w:r>
        <w:t xml:space="preserve">Likely depicted as a distended belly. The interpretation aligns with Polynesian words for pregnancy (</w:t>
      </w:r>
      <w:r>
        <w:rPr>
          <w:i/>
          <w:iCs/>
        </w:rPr>
        <w:t xml:space="preserve">hapū</w:t>
      </w:r>
      <w:r>
        <w:t xml:space="preserve"> </w:t>
      </w:r>
      <w:r>
        <w:t xml:space="preserve">in Māori for example) and the concept of fullness (</w:t>
      </w:r>
      <w:r>
        <w:rPr>
          <w:i/>
          <w:iCs/>
        </w:rPr>
        <w:t xml:space="preserve">kī</w:t>
      </w:r>
      <w:r>
        <w:t xml:space="preserve"> </w:t>
      </w:r>
      <w:r>
        <w:t xml:space="preserve">= full). In one analysis, this glyph is linked to the notion of a “full stomach” or “completed cycle”【32†】. Its use in the lunar sequence (if any) could correspond to the pregnant moon nearing fullness.</w:t>
      </w:r>
      <w:r>
        <w:br/>
      </w:r>
      <w:r>
        <w:rPr>
          <w:i/>
          <w:iCs/>
        </w:rPr>
        <w:t xml:space="preserve">Sources: Internal analysis cross-referenced with Polynesian lexicons.</w:t>
      </w:r>
    </w:p>
    <w:bookmarkEnd w:id="35"/>
    <w:bookmarkStart w:id="36" w:name="glyph-100-legfoot-movement"/>
    <w:p>
      <w:pPr>
        <w:pStyle w:val="Heading3"/>
      </w:pPr>
      <w:r>
        <w:t xml:space="preserve">Glyph 100: Leg/Foot (Movement) 🦵</w:t>
      </w:r>
    </w:p>
    <w:p>
      <w:pPr>
        <w:pStyle w:val="FirstParagraph"/>
      </w:pPr>
      <w:r>
        <w:rPr>
          <w:b/>
          <w:bCs/>
        </w:rPr>
        <w:t xml:space="preserve">Meaning:</w:t>
      </w:r>
      <w:r>
        <w:t xml:space="preserve"> </w:t>
      </w:r>
      <w:r>
        <w:t xml:space="preserve">An outstretched</w:t>
      </w:r>
      <w:r>
        <w:t xml:space="preserve"> </w:t>
      </w:r>
      <w:r>
        <w:rPr>
          <w:b/>
          <w:bCs/>
        </w:rPr>
        <w:t xml:space="preserve">leg/foot</w:t>
      </w:r>
      <w:r>
        <w:t xml:space="preserve"> </w:t>
      </w:r>
      <w:r>
        <w:t xml:space="preserve">symbol, associated with</w:t>
      </w:r>
      <w:r>
        <w:t xml:space="preserve"> </w:t>
      </w:r>
      <w:r>
        <w:rPr>
          <w:b/>
          <w:bCs/>
        </w:rPr>
        <w:t xml:space="preserve">movement</w:t>
      </w:r>
      <w:r>
        <w:t xml:space="preserve"> </w:t>
      </w:r>
      <w:r>
        <w:t xml:space="preserve">– “to walk” or “travel”.</w:t>
      </w:r>
      <w:r>
        <w:br/>
      </w:r>
      <w:r>
        <w:rPr>
          <w:b/>
          <w:bCs/>
        </w:rPr>
        <w:t xml:space="preserve">Transliteration:</w:t>
      </w:r>
      <w:r>
        <w:t xml:space="preserve"> </w:t>
      </w:r>
      <w:r>
        <w:rPr>
          <w:i/>
          <w:iCs/>
        </w:rPr>
        <w:t xml:space="preserve">va’e</w:t>
      </w:r>
      <w:r>
        <w:t xml:space="preserve"> </w:t>
      </w:r>
      <w:r>
        <w:t xml:space="preserve">(“foot/leg”),</w:t>
      </w:r>
      <w:r>
        <w:t xml:space="preserve"> </w:t>
      </w:r>
      <w:r>
        <w:rPr>
          <w:i/>
          <w:iCs/>
        </w:rPr>
        <w:t xml:space="preserve">rere</w:t>
      </w:r>
      <w:r>
        <w:t xml:space="preserve"> </w:t>
      </w:r>
      <w:r>
        <w:t xml:space="preserve">(“to leap, fly, depart”),</w:t>
      </w:r>
      <w:r>
        <w:t xml:space="preserve"> </w:t>
      </w:r>
      <w:r>
        <w:rPr>
          <w:i/>
          <w:iCs/>
        </w:rPr>
        <w:t xml:space="preserve">kōpeka</w:t>
      </w:r>
      <w:r>
        <w:t xml:space="preserve"> </w:t>
      </w:r>
      <w:r>
        <w:t xml:space="preserve">(possibly “to walk” or a specific gait in Rapanui).</w:t>
      </w:r>
      <w:r>
        <w:br/>
      </w:r>
      <w:r>
        <w:rPr>
          <w:b/>
          <w:bCs/>
        </w:rPr>
        <w:t xml:space="preserve">Context &amp; Usage:</w:t>
      </w:r>
      <w:r>
        <w:t xml:space="preserve"> </w:t>
      </w:r>
      <w:r>
        <w:t xml:space="preserve">Used in sequences to denote actions of movement or journey. In narrative contexts it can imply a person traveling or the concept of a journey. It may also literally mean “foot” in anatomical references. Occurs on tablets describing travels or migrations, as well as in metaphorical usage for progression.</w:t>
      </w:r>
      <w:r>
        <w:br/>
      </w:r>
      <w:r>
        <w:rPr>
          <w:b/>
          <w:bCs/>
        </w:rPr>
        <w:t xml:space="preserve">Notes:</w:t>
      </w:r>
      <w:r>
        <w:t xml:space="preserve"> </w:t>
      </w:r>
      <w:r>
        <w:t xml:space="preserve">Often depicted as a bent leg or stride. The multiple transliterations suggest it carries both the literal meaning</w:t>
      </w:r>
      <w:r>
        <w:t xml:space="preserve"> </w:t>
      </w:r>
      <w:r>
        <w:rPr>
          <w:i/>
          <w:iCs/>
        </w:rPr>
        <w:t xml:space="preserve">foot</w:t>
      </w:r>
      <w:r>
        <w:t xml:space="preserve"> </w:t>
      </w:r>
      <w:r>
        <w:t xml:space="preserve">and the extended meaning</w:t>
      </w:r>
      <w:r>
        <w:t xml:space="preserve"> </w:t>
      </w:r>
      <w:r>
        <w:rPr>
          <w:i/>
          <w:iCs/>
        </w:rPr>
        <w:t xml:space="preserve">to go/travel</w:t>
      </w:r>
      <w:r>
        <w:t xml:space="preserve">. For instance,</w:t>
      </w:r>
      <w:r>
        <w:t xml:space="preserve"> </w:t>
      </w:r>
      <w:r>
        <w:rPr>
          <w:i/>
          <w:iCs/>
        </w:rPr>
        <w:t xml:space="preserve">rere</w:t>
      </w:r>
      <w:r>
        <w:t xml:space="preserve"> </w:t>
      </w:r>
      <w:r>
        <w:t xml:space="preserve">in many Polynesian languages means to fly or leap, hinting this glyph could mark motion. The presence of this sign in contexts of paths or itineraries on tablets supports its interpretation as movement or journey.</w:t>
      </w:r>
      <w:r>
        <w:br/>
      </w:r>
      <w:r>
        <w:rPr>
          <w:i/>
          <w:iCs/>
        </w:rPr>
        <w:t xml:space="preserve">Sources: Comparative Polynesian linguistics; Lackadaisical Security research.</w:t>
      </w:r>
    </w:p>
    <w:bookmarkEnd w:id="36"/>
    <w:bookmarkStart w:id="37" w:name="glyph-200-chiefauthority"/>
    <w:p>
      <w:pPr>
        <w:pStyle w:val="Heading3"/>
      </w:pPr>
      <w:r>
        <w:t xml:space="preserve">Glyph 200: Chief/Authority 👑</w:t>
      </w:r>
    </w:p>
    <w:p>
      <w:pPr>
        <w:pStyle w:val="FirstParagraph"/>
      </w:pPr>
      <w:r>
        <w:rPr>
          <w:b/>
          <w:bCs/>
        </w:rPr>
        <w:t xml:space="preserve">Meaning:</w:t>
      </w:r>
      <w:r>
        <w:t xml:space="preserve"> </w:t>
      </w:r>
      <w:r>
        <w:t xml:space="preserve">An</w:t>
      </w:r>
      <w:r>
        <w:t xml:space="preserve"> </w:t>
      </w:r>
      <w:r>
        <w:rPr>
          <w:b/>
          <w:bCs/>
        </w:rPr>
        <w:t xml:space="preserve">ariki</w:t>
      </w:r>
      <w:r>
        <w:t xml:space="preserve"> </w:t>
      </w:r>
      <w:r>
        <w:t xml:space="preserve">(high chief or king), denoting supreme authority or a person of high rank.</w:t>
      </w:r>
      <w:r>
        <w:br/>
      </w:r>
      <w:r>
        <w:rPr>
          <w:b/>
          <w:bCs/>
        </w:rPr>
        <w:t xml:space="preserve">Transliteration:</w:t>
      </w:r>
      <w:r>
        <w:t xml:space="preserve"> </w:t>
      </w:r>
      <w:r>
        <w:rPr>
          <w:i/>
          <w:iCs/>
        </w:rPr>
        <w:t xml:space="preserve">ariki henua</w:t>
      </w:r>
      <w:r>
        <w:t xml:space="preserve"> </w:t>
      </w:r>
      <w:r>
        <w:t xml:space="preserve">(“paramount chief, land ruler”),</w:t>
      </w:r>
      <w:r>
        <w:t xml:space="preserve"> </w:t>
      </w:r>
      <w:r>
        <w:rPr>
          <w:i/>
          <w:iCs/>
        </w:rPr>
        <w:t xml:space="preserve">hakakina</w:t>
      </w:r>
      <w:r>
        <w:t xml:space="preserve"> </w:t>
      </w:r>
      <w:r>
        <w:t xml:space="preserve">(“governor”), also</w:t>
      </w:r>
      <w:r>
        <w:t xml:space="preserve"> </w:t>
      </w:r>
      <w:r>
        <w:rPr>
          <w:i/>
          <w:iCs/>
        </w:rPr>
        <w:t xml:space="preserve">tangata</w:t>
      </w:r>
      <w:r>
        <w:t xml:space="preserve"> </w:t>
      </w:r>
      <w:r>
        <w:t xml:space="preserve">with qualifiers meaning “man of rank”.</w:t>
      </w:r>
      <w:r>
        <w:br/>
      </w:r>
      <w:r>
        <w:rPr>
          <w:b/>
          <w:bCs/>
        </w:rPr>
        <w:t xml:space="preserve">Context &amp; Usage:</w:t>
      </w:r>
      <w:r>
        <w:t xml:space="preserve"> </w:t>
      </w:r>
      <w:r>
        <w:t xml:space="preserve">Appears in king lists, at the head of genealogical lines, or in association with symbols of power. On certain tablets, this glyph precedes sequences that list domains or achievements, indicating a ruler’s title. It is relatively rare, reflecting the singular status of kings.</w:t>
      </w:r>
      <w:r>
        <w:br/>
      </w:r>
      <w:r>
        <w:rPr>
          <w:b/>
          <w:bCs/>
        </w:rPr>
        <w:t xml:space="preserve">Notes:</w:t>
      </w:r>
      <w:r>
        <w:t xml:space="preserve"> </w:t>
      </w:r>
      <w:r>
        <w:t xml:space="preserve">Likely depicted as a human figure with distinguishing features (perhaps a headdress or staff) to mark authority. Ethnographically, Easter Island’s chiefs (ariki) were central to society, and this glyph’s interpretation is supported by its limited use in authoritative contexts. It complements glyph 1 (person) by specifying a high-status person.</w:t>
      </w:r>
      <w:r>
        <w:br/>
      </w:r>
      <w:r>
        <w:rPr>
          <w:i/>
          <w:iCs/>
        </w:rPr>
        <w:t xml:space="preserve">Sources: Barthel (1958) B200; Rapa Nui oral histories for</w:t>
      </w:r>
      <w:r>
        <w:t xml:space="preserve"> </w:t>
      </w:r>
      <w:r>
        <w:t xml:space="preserve">ariki</w:t>
      </w:r>
      <w:r>
        <w:t xml:space="preserve"> </w:t>
      </w:r>
      <w:r>
        <w:rPr>
          <w:i/>
          <w:iCs/>
        </w:rPr>
        <w:t xml:space="preserve">titles; August Research logs.</w:t>
      </w:r>
    </w:p>
    <w:bookmarkEnd w:id="37"/>
    <w:bookmarkEnd w:id="38"/>
    <w:bookmarkStart w:id="52" w:name="faunal-animal-glyphs"/>
    <w:p>
      <w:pPr>
        <w:pStyle w:val="Heading2"/>
      </w:pPr>
      <w:r>
        <w:t xml:space="preserve">Faunal (Animal) Glyphs</w:t>
      </w:r>
    </w:p>
    <w:p>
      <w:pPr>
        <w:pStyle w:val="FirstParagraph"/>
      </w:pPr>
      <w:r>
        <w:t xml:space="preserve">Animals are a prominent theme in Rongorongo, including birds, fish, reptiles, and others</w:t>
      </w:r>
      <w:hyperlink r:id="rId39">
        <w:r>
          <w:rPr>
            <w:rStyle w:val="Hyperlink"/>
          </w:rPr>
          <w:t xml:space="preserve">[10]</w:t>
        </w:r>
      </w:hyperlink>
      <w:r>
        <w:t xml:space="preserve">. These glyphs often carry literal meaning (the creature itself) and symbolic meanings (clan totems, mythic beings, or metaphorical attributes like danger or abundance).</w:t>
      </w:r>
    </w:p>
    <w:bookmarkStart w:id="41" w:name="glyph-12-fish-generic"/>
    <w:p>
      <w:pPr>
        <w:pStyle w:val="Heading3"/>
      </w:pPr>
      <w:r>
        <w:t xml:space="preserve">Glyph 12: Fish (Generic) 🐟</w:t>
      </w:r>
    </w:p>
    <w:p>
      <w:pPr>
        <w:pStyle w:val="FirstParagraph"/>
      </w:pPr>
      <w:r>
        <w:rPr>
          <w:b/>
          <w:bCs/>
        </w:rPr>
        <w:t xml:space="preserve">Meaning:</w:t>
      </w:r>
      <w:r>
        <w:t xml:space="preserve"> </w:t>
      </w:r>
      <w:r>
        <w:t xml:space="preserve">A generic</w:t>
      </w:r>
      <w:r>
        <w:t xml:space="preserve"> </w:t>
      </w:r>
      <w:r>
        <w:rPr>
          <w:b/>
          <w:bCs/>
        </w:rPr>
        <w:t xml:space="preserve">fish</w:t>
      </w:r>
      <w:r>
        <w:t xml:space="preserve"> </w:t>
      </w:r>
      <w:r>
        <w:t xml:space="preserve">or aquatic life symbol, sometimes indicating movement in water.</w:t>
      </w:r>
      <w:r>
        <w:br/>
      </w:r>
      <w:r>
        <w:rPr>
          <w:b/>
          <w:bCs/>
        </w:rPr>
        <w:t xml:space="preserve">Transliteration:</w:t>
      </w:r>
      <w:r>
        <w:t xml:space="preserve"> </w:t>
      </w:r>
      <w:r>
        <w:rPr>
          <w:i/>
          <w:iCs/>
        </w:rPr>
        <w:t xml:space="preserve">ika</w:t>
      </w:r>
      <w:r>
        <w:t xml:space="preserve"> </w:t>
      </w:r>
      <w:r>
        <w:t xml:space="preserve">(“fish” in Rapanui and many Polynesian languages); (as a verb)</w:t>
      </w:r>
      <w:r>
        <w:t xml:space="preserve"> </w:t>
      </w:r>
      <w:r>
        <w:rPr>
          <w:i/>
          <w:iCs/>
        </w:rPr>
        <w:t xml:space="preserve">ika</w:t>
      </w:r>
      <w:r>
        <w:t xml:space="preserve"> </w:t>
      </w:r>
      <w:r>
        <w:t xml:space="preserve">meaning “to fish” or</w:t>
      </w:r>
      <w:r>
        <w:t xml:space="preserve"> </w:t>
      </w:r>
      <w:r>
        <w:rPr>
          <w:i/>
          <w:iCs/>
        </w:rPr>
        <w:t xml:space="preserve">rere vai</w:t>
      </w:r>
      <w:r>
        <w:t xml:space="preserve"> </w:t>
      </w:r>
      <w:r>
        <w:t xml:space="preserve">(“to swim/flow in water”).</w:t>
      </w:r>
      <w:r>
        <w:br/>
      </w:r>
      <w:r>
        <w:rPr>
          <w:b/>
          <w:bCs/>
        </w:rPr>
        <w:t xml:space="preserve">Context &amp; Usage:</w:t>
      </w:r>
      <w:r>
        <w:t xml:space="preserve"> </w:t>
      </w:r>
      <w:r>
        <w:t xml:space="preserve">Occurs in sequences about marine life or fishing lore. It may simply denote a fish, or by extension, the act of fishing or something associated with the sea. In mythological contexts it could represent sea creatures created or caught.</w:t>
      </w:r>
      <w:r>
        <w:br/>
      </w:r>
      <w:r>
        <w:rPr>
          <w:b/>
          <w:bCs/>
        </w:rPr>
        <w:t xml:space="preserve">Notes:</w:t>
      </w:r>
      <w:r>
        <w:t xml:space="preserve"> </w:t>
      </w:r>
      <w:r>
        <w:t xml:space="preserve">Glyph 12 is usually drawn as a simple fish profile. Its identification as</w:t>
      </w:r>
      <w:r>
        <w:t xml:space="preserve"> </w:t>
      </w:r>
      <w:r>
        <w:rPr>
          <w:i/>
          <w:iCs/>
        </w:rPr>
        <w:t xml:space="preserve">ika</w:t>
      </w:r>
      <w:r>
        <w:t xml:space="preserve"> </w:t>
      </w:r>
      <w:r>
        <w:t xml:space="preserve">(fish) is straightforward given the pictorial nature</w:t>
      </w:r>
      <w:hyperlink r:id="rId39">
        <w:r>
          <w:rPr>
            <w:rStyle w:val="Hyperlink"/>
          </w:rPr>
          <w:t xml:space="preserve">[10]</w:t>
        </w:r>
      </w:hyperlink>
      <w:r>
        <w:t xml:space="preserve">. In Rapa Nui mythology, fish can also symbolize abundance or, metaphorically, war captives (as in some Polynesian traditions where</w:t>
      </w:r>
      <w:r>
        <w:t xml:space="preserve"> </w:t>
      </w:r>
      <w:r>
        <w:rPr>
          <w:i/>
          <w:iCs/>
        </w:rPr>
        <w:t xml:space="preserve">ika</w:t>
      </w:r>
      <w:r>
        <w:t xml:space="preserve"> </w:t>
      </w:r>
      <w:r>
        <w:t xml:space="preserve">means “victim”)</w:t>
      </w:r>
      <w:hyperlink r:id="rId31">
        <w:r>
          <w:rPr>
            <w:rStyle w:val="Hyperlink"/>
          </w:rPr>
          <w:t xml:space="preserve">[8]</w:t>
        </w:r>
      </w:hyperlink>
      <w:hyperlink r:id="rId40">
        <w:r>
          <w:rPr>
            <w:rStyle w:val="Hyperlink"/>
          </w:rPr>
          <w:t xml:space="preserve">[11]</w:t>
        </w:r>
      </w:hyperlink>
      <w:r>
        <w:t xml:space="preserve">. This dual literal and figurative use might explain instances where this glyph appears in non-literal contexts (e.g. an “ika” as an offering or sacrifice).</w:t>
      </w:r>
      <w:r>
        <w:br/>
      </w:r>
      <w:r>
        <w:rPr>
          <w:i/>
          <w:iCs/>
        </w:rPr>
        <w:t xml:space="preserve">Sources: Omniglot summary; Fischer’s notes on rebus “fish = victim”.</w:t>
      </w:r>
    </w:p>
    <w:bookmarkEnd w:id="41"/>
    <w:bookmarkStart w:id="42" w:name="glyph-44-frigatebird-clan-totem"/>
    <w:p>
      <w:pPr>
        <w:pStyle w:val="Heading3"/>
      </w:pPr>
      <w:r>
        <w:t xml:space="preserve">Glyph 44: Frigatebird (Clan Totem) 🦅</w:t>
      </w:r>
    </w:p>
    <w:p>
      <w:pPr>
        <w:pStyle w:val="FirstParagraph"/>
      </w:pPr>
      <w:r>
        <w:rPr>
          <w:b/>
          <w:bCs/>
        </w:rPr>
        <w:t xml:space="preserve">Meaning:</w:t>
      </w:r>
      <w:r>
        <w:t xml:space="preserve"> </w:t>
      </w:r>
      <w:r>
        <w:t xml:space="preserve">A specific</w:t>
      </w:r>
      <w:r>
        <w:t xml:space="preserve"> </w:t>
      </w:r>
      <w:r>
        <w:rPr>
          <w:b/>
          <w:bCs/>
        </w:rPr>
        <w:t xml:space="preserve">bird</w:t>
      </w:r>
      <w:r>
        <w:t xml:space="preserve">, identified as the frigatebird (</w:t>
      </w:r>
      <w:r>
        <w:rPr>
          <w:i/>
          <w:iCs/>
        </w:rPr>
        <w:t xml:space="preserve">tavake</w:t>
      </w:r>
      <w:r>
        <w:t xml:space="preserve"> </w:t>
      </w:r>
      <w:r>
        <w:t xml:space="preserve">in some Polynesian languages), with ceremonial or totemic significance.</w:t>
      </w:r>
      <w:r>
        <w:br/>
      </w:r>
      <w:r>
        <w:rPr>
          <w:b/>
          <w:bCs/>
        </w:rPr>
        <w:t xml:space="preserve">Transliteration:</w:t>
      </w:r>
      <w:r>
        <w:t xml:space="preserve"> </w:t>
      </w:r>
      <w:r>
        <w:rPr>
          <w:i/>
          <w:iCs/>
        </w:rPr>
        <w:t xml:space="preserve">koro</w:t>
      </w:r>
      <w:r>
        <w:t xml:space="preserve"> </w:t>
      </w:r>
      <w:r>
        <w:t xml:space="preserve">or</w:t>
      </w:r>
      <w:r>
        <w:t xml:space="preserve"> </w:t>
      </w:r>
      <w:r>
        <w:rPr>
          <w:i/>
          <w:iCs/>
        </w:rPr>
        <w:t xml:space="preserve">taha</w:t>
      </w:r>
      <w:r>
        <w:t xml:space="preserve"> </w:t>
      </w:r>
      <w:r>
        <w:t xml:space="preserve">(terms linked to ceremonial dance or frigatebird in Rapa Nui lore).</w:t>
      </w:r>
      <w:r>
        <w:br/>
      </w:r>
      <w:r>
        <w:rPr>
          <w:b/>
          <w:bCs/>
        </w:rPr>
        <w:t xml:space="preserve">Context &amp; Usage:</w:t>
      </w:r>
      <w:r>
        <w:t xml:space="preserve"> </w:t>
      </w:r>
      <w:r>
        <w:t xml:space="preserve">The frigatebird was sacred in Rapa Nui’s Tangata Manu (birdman) cult. This glyph appears in contexts related to that cult or ceremonies, possibly representing the bird itself or a clan symbol【29† output】. It might also denote a dance or ceremony named after the bird. For example, it could label the victor of the birdman competition (who took the title of the bird).</w:t>
      </w:r>
      <w:r>
        <w:br/>
      </w:r>
      <w:r>
        <w:rPr>
          <w:b/>
          <w:bCs/>
        </w:rPr>
        <w:t xml:space="preserve">Notes:</w:t>
      </w:r>
      <w:r>
        <w:t xml:space="preserve"> </w:t>
      </w:r>
      <w:r>
        <w:t xml:space="preserve">The glyph shows a bird with long wings, consistent with frigatebird imagery. Its presence alongside other ritual glyphs (like glyph 600, another bird form) supports this identification. It underscores the cultural importance of birds on Easter Island, where bird motifs often have spiritual connotations.</w:t>
      </w:r>
      <w:r>
        <w:br/>
      </w:r>
      <w:r>
        <w:rPr>
          <w:i/>
          <w:iCs/>
        </w:rPr>
        <w:t xml:space="preserve">Sources: Rapa Nui ethnographic records of the Birdman cult; Operator’s annotated lexicon.</w:t>
      </w:r>
    </w:p>
    <w:bookmarkEnd w:id="42"/>
    <w:bookmarkStart w:id="43" w:name="glyph-68-turtle-honu"/>
    <w:p>
      <w:pPr>
        <w:pStyle w:val="Heading3"/>
      </w:pPr>
      <w:r>
        <w:t xml:space="preserve">Glyph 68: Turtle (Honu) 🐢</w:t>
      </w:r>
    </w:p>
    <w:p>
      <w:pPr>
        <w:pStyle w:val="FirstParagraph"/>
      </w:pPr>
      <w:r>
        <w:rPr>
          <w:b/>
          <w:bCs/>
        </w:rPr>
        <w:t xml:space="preserve">Meaning:</w:t>
      </w:r>
      <w:r>
        <w:t xml:space="preserve"> </w:t>
      </w:r>
      <w:r>
        <w:t xml:space="preserve">A</w:t>
      </w:r>
      <w:r>
        <w:t xml:space="preserve"> </w:t>
      </w:r>
      <w:r>
        <w:rPr>
          <w:b/>
          <w:bCs/>
        </w:rPr>
        <w:t xml:space="preserve">sea turtle</w:t>
      </w:r>
      <w:r>
        <w:t xml:space="preserve"> </w:t>
      </w:r>
      <w:r>
        <w:t xml:space="preserve">(</w:t>
      </w:r>
      <w:r>
        <w:rPr>
          <w:i/>
          <w:iCs/>
        </w:rPr>
        <w:t xml:space="preserve">honu</w:t>
      </w:r>
      <w:r>
        <w:t xml:space="preserve">), symbolizing marine life and in some contexts longevity or the earth.</w:t>
      </w:r>
      <w:r>
        <w:br/>
      </w:r>
      <w:r>
        <w:rPr>
          <w:b/>
          <w:bCs/>
        </w:rPr>
        <w:t xml:space="preserve">Transliteration:</w:t>
      </w:r>
      <w:r>
        <w:t xml:space="preserve"> </w:t>
      </w:r>
      <w:r>
        <w:rPr>
          <w:i/>
          <w:iCs/>
        </w:rPr>
        <w:t xml:space="preserve">honu</w:t>
      </w:r>
      <w:r>
        <w:t xml:space="preserve"> </w:t>
      </w:r>
      <w:r>
        <w:t xml:space="preserve">(Rapanui for “turtle”), also</w:t>
      </w:r>
      <w:r>
        <w:t xml:space="preserve"> </w:t>
      </w:r>
      <w:r>
        <w:rPr>
          <w:i/>
          <w:iCs/>
        </w:rPr>
        <w:t xml:space="preserve">ika hohonu</w:t>
      </w:r>
      <w:r>
        <w:t xml:space="preserve"> </w:t>
      </w:r>
      <w:r>
        <w:t xml:space="preserve">(“deep-sea creature”).</w:t>
      </w:r>
      <w:r>
        <w:br/>
      </w:r>
      <w:r>
        <w:rPr>
          <w:b/>
          <w:bCs/>
        </w:rPr>
        <w:t xml:space="preserve">Context &amp; Usage:</w:t>
      </w:r>
      <w:r>
        <w:t xml:space="preserve"> </w:t>
      </w:r>
      <w:r>
        <w:t xml:space="preserve">Appears in mythological or genealogical contexts, sometimes linked to the god Rongo or creation narratives. Turtles on Easter Island were associated with the sea deity and perhaps the end of the lunar cycle. Glyph 68 is often used literally for turtle, and in at least one sequence it marks a specific position in a genealogy or a month sequence (due to turtles symbolizing the final night of the moon in some interpretations)【41†】.</w:t>
      </w:r>
      <w:r>
        <w:br/>
      </w:r>
      <w:r>
        <w:rPr>
          <w:b/>
          <w:bCs/>
        </w:rPr>
        <w:t xml:space="preserve">Notes:</w:t>
      </w:r>
      <w:r>
        <w:t xml:space="preserve"> </w:t>
      </w:r>
      <w:r>
        <w:t xml:space="preserve">Depicted as a rounded shell-like form with flippers. The extinct Easter Island sea turtle was significant in art. In one interpretation, a turtle glyph at the end of a calendar line corresponds to</w:t>
      </w:r>
      <w:r>
        <w:t xml:space="preserve"> </w:t>
      </w:r>
      <w:r>
        <w:rPr>
          <w:i/>
          <w:iCs/>
        </w:rPr>
        <w:t xml:space="preserve">Mutu</w:t>
      </w:r>
      <w:r>
        <w:t xml:space="preserve">, the “cut-off” moon (new moon phase)【41†】. This connects turtle imagery with the concept of an ending or dark phase (turtles withdrawing into shells as metaphor). Confidence is moderate based on iconography and lexical match (</w:t>
      </w:r>
      <w:r>
        <w:rPr>
          <w:i/>
          <w:iCs/>
        </w:rPr>
        <w:t xml:space="preserve">honu</w:t>
      </w:r>
      <w:r>
        <w:t xml:space="preserve">).</w:t>
      </w:r>
      <w:r>
        <w:br/>
      </w:r>
      <w:r>
        <w:rPr>
          <w:i/>
          <w:iCs/>
        </w:rPr>
        <w:t xml:space="preserve">Sources: Barthel’s glyph list; Horley (2011) for lunar phase associations.</w:t>
      </w:r>
    </w:p>
    <w:bookmarkEnd w:id="43"/>
    <w:bookmarkStart w:id="44" w:name="glyph-69-lizard-moko"/>
    <w:p>
      <w:pPr>
        <w:pStyle w:val="Heading3"/>
      </w:pPr>
      <w:r>
        <w:t xml:space="preserve">Glyph 69: Lizard (Moko) 🦎</w:t>
      </w:r>
    </w:p>
    <w:p>
      <w:pPr>
        <w:pStyle w:val="FirstParagraph"/>
      </w:pPr>
      <w:r>
        <w:rPr>
          <w:b/>
          <w:bCs/>
        </w:rPr>
        <w:t xml:space="preserve">Meaning:</w:t>
      </w:r>
      <w:r>
        <w:t xml:space="preserve"> </w:t>
      </w:r>
      <w:r>
        <w:t xml:space="preserve">A</w:t>
      </w:r>
      <w:r>
        <w:t xml:space="preserve"> </w:t>
      </w:r>
      <w:r>
        <w:rPr>
          <w:b/>
          <w:bCs/>
        </w:rPr>
        <w:t xml:space="preserve">lizard</w:t>
      </w:r>
      <w:r>
        <w:t xml:space="preserve"> </w:t>
      </w:r>
      <w:r>
        <w:t xml:space="preserve">(gecko) symbol, associated with the deity Hiro and the</w:t>
      </w:r>
      <w:r>
        <w:t xml:space="preserve"> </w:t>
      </w:r>
      <w:r>
        <w:rPr>
          <w:b/>
          <w:bCs/>
        </w:rPr>
        <w:t xml:space="preserve">new moon</w:t>
      </w:r>
      <w:r>
        <w:t xml:space="preserve">.</w:t>
      </w:r>
      <w:r>
        <w:br/>
      </w:r>
      <w:r>
        <w:rPr>
          <w:b/>
          <w:bCs/>
        </w:rPr>
        <w:t xml:space="preserve">Transliteration:</w:t>
      </w:r>
      <w:r>
        <w:t xml:space="preserve"> </w:t>
      </w:r>
      <w:r>
        <w:rPr>
          <w:i/>
          <w:iCs/>
        </w:rPr>
        <w:t xml:space="preserve">moko</w:t>
      </w:r>
      <w:r>
        <w:t xml:space="preserve"> </w:t>
      </w:r>
      <w:r>
        <w:t xml:space="preserve">(“lizard” in Rapanui).</w:t>
      </w:r>
      <w:r>
        <w:br/>
      </w:r>
      <w:r>
        <w:rPr>
          <w:b/>
          <w:bCs/>
        </w:rPr>
        <w:t xml:space="preserve">Context &amp; Usage:</w:t>
      </w:r>
      <w:r>
        <w:t xml:space="preserve"> </w:t>
      </w:r>
      <w:r>
        <w:t xml:space="preserve">Occurs at the beginning of the lunar calendar sequence on tablet</w:t>
      </w:r>
      <w:r>
        <w:t xml:space="preserve"> </w:t>
      </w:r>
      <w:r>
        <w:rPr>
          <w:i/>
          <w:iCs/>
        </w:rPr>
        <w:t xml:space="preserve">Mamari</w:t>
      </w:r>
      <w:r>
        <w:t xml:space="preserve">, marking the first night of the moon (analogous to</w:t>
      </w:r>
      <w:r>
        <w:t xml:space="preserve"> </w:t>
      </w:r>
      <w:r>
        <w:rPr>
          <w:i/>
          <w:iCs/>
        </w:rPr>
        <w:t xml:space="preserve">Hiro</w:t>
      </w:r>
      <w:r>
        <w:t xml:space="preserve"> </w:t>
      </w:r>
      <w:r>
        <w:t xml:space="preserve">in other Polynesian lunar calendars)</w:t>
      </w:r>
      <w:hyperlink r:id="rId33">
        <w:r>
          <w:rPr>
            <w:rStyle w:val="Hyperlink"/>
          </w:rPr>
          <w:t xml:space="preserve">[12]</w:t>
        </w:r>
      </w:hyperlink>
      <w:r>
        <w:t xml:space="preserve">. Mythologically, it’s linked to a rain or fertility god (Hiro) that takes reptilian form. In chants, this glyph can signify renewal or the start of a cycle, much like how some cultures use reptiles or serpents to symbolize rebirth.</w:t>
      </w:r>
      <w:r>
        <w:br/>
      </w:r>
      <w:r>
        <w:rPr>
          <w:b/>
          <w:bCs/>
        </w:rPr>
        <w:t xml:space="preserve">Notes:</w:t>
      </w:r>
      <w:r>
        <w:t xml:space="preserve"> </w:t>
      </w:r>
      <w:r>
        <w:t xml:space="preserve">The lizard glyph has an open-mouth motif (Barthel class 3/4) which may symbolize calling for rain or the crescent shape of a new moon. Barthel and others noted its placement at the “start” of sequences</w:t>
      </w:r>
      <w:hyperlink r:id="rId33">
        <w:r>
          <w:rPr>
            <w:rStyle w:val="Hyperlink"/>
          </w:rPr>
          <w:t xml:space="preserve">[12]</w:t>
        </w:r>
      </w:hyperlink>
      <w:r>
        <w:t xml:space="preserve">. The connection to</w:t>
      </w:r>
      <w:r>
        <w:t xml:space="preserve"> </w:t>
      </w:r>
      <w:r>
        <w:rPr>
          <w:i/>
          <w:iCs/>
        </w:rPr>
        <w:t xml:space="preserve">Hiro</w:t>
      </w:r>
      <w:r>
        <w:t xml:space="preserve"> </w:t>
      </w:r>
      <w:r>
        <w:t xml:space="preserve">(new moon night name) is supported by the correspondence of Rapanui</w:t>
      </w:r>
      <w:r>
        <w:t xml:space="preserve"> </w:t>
      </w:r>
      <w:r>
        <w:rPr>
          <w:i/>
          <w:iCs/>
        </w:rPr>
        <w:t xml:space="preserve">moko</w:t>
      </w:r>
      <w:r>
        <w:t xml:space="preserve"> </w:t>
      </w:r>
      <w:r>
        <w:t xml:space="preserve">(lizard) with the first moon in Mangarevan (Hiro) by pun or association. Additionally, in Mesoamerican day-signs, a serpent signifies a new cycle</w:t>
      </w:r>
      <w:hyperlink r:id="rId33">
        <w:r>
          <w:rPr>
            <w:rStyle w:val="Hyperlink"/>
          </w:rPr>
          <w:t xml:space="preserve">[12]</w:t>
        </w:r>
      </w:hyperlink>
      <w:r>
        <w:t xml:space="preserve">, an analogy noted in cross-script studies.</w:t>
      </w:r>
      <w:r>
        <w:br/>
      </w:r>
      <w:r>
        <w:rPr>
          <w:i/>
          <w:iCs/>
        </w:rPr>
        <w:t xml:space="preserve">Sources: Guy (1990) identification of Mamari calendar start; Barthel’s notes on glyph 69.</w:t>
      </w:r>
    </w:p>
    <w:bookmarkEnd w:id="44"/>
    <w:bookmarkStart w:id="46" w:name="glyph-280-turtle-dark-moon"/>
    <w:p>
      <w:pPr>
        <w:pStyle w:val="Heading3"/>
      </w:pPr>
      <w:r>
        <w:t xml:space="preserve">Glyph 280: Turtle (Dark Moon) 🐢</w:t>
      </w:r>
    </w:p>
    <w:p>
      <w:pPr>
        <w:pStyle w:val="FirstParagraph"/>
      </w:pPr>
      <w:r>
        <w:rPr>
          <w:b/>
          <w:bCs/>
        </w:rPr>
        <w:t xml:space="preserve">Meaning:</w:t>
      </w:r>
      <w:r>
        <w:t xml:space="preserve"> </w:t>
      </w:r>
      <w:r>
        <w:t xml:space="preserve">A</w:t>
      </w:r>
      <w:r>
        <w:t xml:space="preserve"> </w:t>
      </w:r>
      <w:r>
        <w:rPr>
          <w:b/>
          <w:bCs/>
        </w:rPr>
        <w:t xml:space="preserve">turtle</w:t>
      </w:r>
      <w:r>
        <w:t xml:space="preserve"> </w:t>
      </w:r>
      <w:r>
        <w:t xml:space="preserve">glyph (variant form) signifying the</w:t>
      </w:r>
      <w:r>
        <w:t xml:space="preserve"> </w:t>
      </w:r>
      <w:r>
        <w:rPr>
          <w:i/>
          <w:iCs/>
        </w:rPr>
        <w:t xml:space="preserve">last night of the lunar month</w:t>
      </w:r>
      <w:r>
        <w:t xml:space="preserve"> </w:t>
      </w:r>
      <w:r>
        <w:t xml:space="preserve">or an embodiment of creation/earth.</w:t>
      </w:r>
      <w:r>
        <w:br/>
      </w:r>
      <w:r>
        <w:rPr>
          <w:b/>
          <w:bCs/>
        </w:rPr>
        <w:t xml:space="preserve">Transliteration:</w:t>
      </w:r>
      <w:r>
        <w:t xml:space="preserve"> </w:t>
      </w:r>
      <w:r>
        <w:rPr>
          <w:i/>
          <w:iCs/>
        </w:rPr>
        <w:t xml:space="preserve">Mutu</w:t>
      </w:r>
      <w:r>
        <w:t xml:space="preserve"> </w:t>
      </w:r>
      <w:r>
        <w:t xml:space="preserve">(“end, finished” – name of the final moon night in some Polynesian traditions),</w:t>
      </w:r>
      <w:r>
        <w:t xml:space="preserve"> </w:t>
      </w:r>
      <w:r>
        <w:rPr>
          <w:i/>
          <w:iCs/>
        </w:rPr>
        <w:t xml:space="preserve">honu</w:t>
      </w:r>
      <w:r>
        <w:t xml:space="preserve"> </w:t>
      </w:r>
      <w:r>
        <w:t xml:space="preserve">(“turtle”).</w:t>
      </w:r>
      <w:r>
        <w:br/>
      </w:r>
      <w:r>
        <w:rPr>
          <w:b/>
          <w:bCs/>
        </w:rPr>
        <w:t xml:space="preserve">Context &amp; Usage:</w:t>
      </w:r>
      <w:r>
        <w:t xml:space="preserve"> </w:t>
      </w:r>
      <w:r>
        <w:t xml:space="preserve">Appears at the end of lunar sequences (e.g. Mamari) to mark the dark moon phase when the moon “dies” or is absent【41†】. Also found in certain genealogical texts, possibly as a symbol of the earth or the god Rongo (who in some interpretations is associated with turtles). In one example, Fischer’s hypothesis had a turtle glyph in a genealogy indicating cyclical return (turtle reproducing itself)</w:t>
      </w:r>
      <w:hyperlink r:id="rId45">
        <w:r>
          <w:rPr>
            <w:rStyle w:val="Hyperlink"/>
          </w:rPr>
          <w:t xml:space="preserve">[13]</w:t>
        </w:r>
      </w:hyperlink>
      <w:r>
        <w:t xml:space="preserve">.</w:t>
      </w:r>
      <w:r>
        <w:br/>
      </w:r>
      <w:r>
        <w:rPr>
          <w:b/>
          <w:bCs/>
        </w:rPr>
        <w:t xml:space="preserve">Notes:</w:t>
      </w:r>
      <w:r>
        <w:t xml:space="preserve"> </w:t>
      </w:r>
      <w:r>
        <w:t xml:space="preserve">This is likely a compound or more detailed turtle form than glyph 68. Culturally, turtles can symbolize longevity and the world (many Pacific myths have the earth on a turtle’s back). The use of</w:t>
      </w:r>
      <w:r>
        <w:t xml:space="preserve"> </w:t>
      </w:r>
      <w:r>
        <w:rPr>
          <w:i/>
          <w:iCs/>
        </w:rPr>
        <w:t xml:space="preserve">Mutu</w:t>
      </w:r>
      <w:r>
        <w:t xml:space="preserve"> </w:t>
      </w:r>
      <w:r>
        <w:t xml:space="preserve">as a transliteration strongly suggests the idea of “ending” – fitting the dark moon context. Thus, glyph 280 carries both the literal meaning of turtle and the calendrical meaning of “end of cycle.”</w:t>
      </w:r>
      <w:r>
        <w:br/>
      </w:r>
      <w:r>
        <w:rPr>
          <w:i/>
          <w:iCs/>
        </w:rPr>
        <w:t xml:space="preserve">Sources: Horley 2011 (Mamari calendar analysis); Fischer 1997 (staff genealogy commentary).</w:t>
      </w:r>
    </w:p>
    <w:bookmarkEnd w:id="46"/>
    <w:bookmarkStart w:id="47" w:name="glyph-600-bird-manu"/>
    <w:p>
      <w:pPr>
        <w:pStyle w:val="Heading3"/>
      </w:pPr>
      <w:r>
        <w:t xml:space="preserve">Glyph 600: Bird (Manu) 🐦</w:t>
      </w:r>
    </w:p>
    <w:p>
      <w:pPr>
        <w:pStyle w:val="FirstParagraph"/>
      </w:pPr>
      <w:r>
        <w:rPr>
          <w:b/>
          <w:bCs/>
        </w:rPr>
        <w:t xml:space="preserve">Meaning:</w:t>
      </w:r>
      <w:r>
        <w:t xml:space="preserve"> </w:t>
      </w:r>
      <w:r>
        <w:t xml:space="preserve">A generic</w:t>
      </w:r>
      <w:r>
        <w:t xml:space="preserve"> </w:t>
      </w:r>
      <w:r>
        <w:rPr>
          <w:b/>
          <w:bCs/>
        </w:rPr>
        <w:t xml:space="preserve">bird</w:t>
      </w:r>
      <w:r>
        <w:t xml:space="preserve"> </w:t>
      </w:r>
      <w:r>
        <w:t xml:space="preserve">(</w:t>
      </w:r>
      <w:r>
        <w:rPr>
          <w:i/>
          <w:iCs/>
        </w:rPr>
        <w:t xml:space="preserve">manu</w:t>
      </w:r>
      <w:r>
        <w:t xml:space="preserve">), specifically identified as a frigatebird in its basic form, also symbolizing spirit or soul.</w:t>
      </w:r>
      <w:r>
        <w:br/>
      </w:r>
      <w:r>
        <w:rPr>
          <w:b/>
          <w:bCs/>
        </w:rPr>
        <w:t xml:space="preserve">Transliteration:</w:t>
      </w:r>
      <w:r>
        <w:t xml:space="preserve"> </w:t>
      </w:r>
      <w:r>
        <w:rPr>
          <w:i/>
          <w:iCs/>
        </w:rPr>
        <w:t xml:space="preserve">manu</w:t>
      </w:r>
      <w:r>
        <w:t xml:space="preserve"> </w:t>
      </w:r>
      <w:r>
        <w:t xml:space="preserve">(“bird”),</w:t>
      </w:r>
      <w:r>
        <w:t xml:space="preserve"> </w:t>
      </w:r>
      <w:r>
        <w:rPr>
          <w:i/>
          <w:iCs/>
        </w:rPr>
        <w:t xml:space="preserve">rere</w:t>
      </w:r>
      <w:r>
        <w:t xml:space="preserve"> </w:t>
      </w:r>
      <w:r>
        <w:t xml:space="preserve">(“to fly”),</w:t>
      </w:r>
      <w:r>
        <w:t xml:space="preserve"> </w:t>
      </w:r>
      <w:r>
        <w:rPr>
          <w:i/>
          <w:iCs/>
        </w:rPr>
        <w:t xml:space="preserve">tavake</w:t>
      </w:r>
      <w:r>
        <w:t xml:space="preserve"> </w:t>
      </w:r>
      <w:r>
        <w:t xml:space="preserve">(frigatebird species name).</w:t>
      </w:r>
      <w:r>
        <w:br/>
      </w:r>
      <w:r>
        <w:rPr>
          <w:b/>
          <w:bCs/>
        </w:rPr>
        <w:t xml:space="preserve">Context &amp; Usage:</w:t>
      </w:r>
      <w:r>
        <w:t xml:space="preserve"> </w:t>
      </w:r>
      <w:r>
        <w:t xml:space="preserve">Occurs in contexts of the Birdman cult and creation chants. Glyph 600 often stands for “bird” literally, but in certain lines (e.g. creation myth on the Santiago Staff) it may represent spirits or souls (as birds were seen as spirit carriers). For instance, a sequence “bird + hand” (glyph 606) was interpreted as “all the birds” or a flock, suggesting plurality</w:t>
      </w:r>
      <w:hyperlink r:id="rId31">
        <w:r>
          <w:rPr>
            <w:rStyle w:val="Hyperlink"/>
          </w:rPr>
          <w:t xml:space="preserve">[8]</w:t>
        </w:r>
      </w:hyperlink>
      <w:r>
        <w:t xml:space="preserve">. The standalone 600 could denote the concept of birds collectively or the principal bird in myth (frigatebird as a manifestation of a deity).</w:t>
      </w:r>
      <w:r>
        <w:br/>
      </w:r>
      <w:r>
        <w:rPr>
          <w:b/>
          <w:bCs/>
        </w:rPr>
        <w:t xml:space="preserve">Notes:</w:t>
      </w:r>
      <w:r>
        <w:t xml:space="preserve"> </w:t>
      </w:r>
      <w:r>
        <w:t xml:space="preserve">Drawn as a bird with a long beak (frigate or similar seabird profile). The frigatebird had ritual importance on Rapa Nui (its egg was key in the Birdman competition). In some readings,</w:t>
      </w:r>
      <w:r>
        <w:t xml:space="preserve"> </w:t>
      </w:r>
      <w:r>
        <w:rPr>
          <w:i/>
          <w:iCs/>
        </w:rPr>
        <w:t xml:space="preserve">manu</w:t>
      </w:r>
      <w:r>
        <w:t xml:space="preserve"> </w:t>
      </w:r>
      <w:r>
        <w:t xml:space="preserve">also metaphorically means “omen” or “soul.” This glyph’s frequent appearance in mythological contexts (with high confidence ~0.9 in internal analysis) supports the bird identification【29† output】.</w:t>
      </w:r>
      <w:r>
        <w:br/>
      </w:r>
      <w:r>
        <w:rPr>
          <w:i/>
          <w:iCs/>
        </w:rPr>
        <w:t xml:space="preserve">Sources: Barthel’s classification (600-series birds); Thomson &amp; Métraux accounts of the birdman symbolism.</w:t>
      </w:r>
    </w:p>
    <w:bookmarkEnd w:id="47"/>
    <w:bookmarkStart w:id="48" w:name="glyph-606-flock-of-birds-plural-manu"/>
    <w:p>
      <w:pPr>
        <w:pStyle w:val="Heading3"/>
      </w:pPr>
      <w:r>
        <w:t xml:space="preserve">Glyph 606: Flock of Birds (Plural “Manu”) 🐦🐦</w:t>
      </w:r>
    </w:p>
    <w:p>
      <w:pPr>
        <w:pStyle w:val="FirstParagraph"/>
      </w:pPr>
      <w:r>
        <w:rPr>
          <w:b/>
          <w:bCs/>
        </w:rPr>
        <w:t xml:space="preserve">Meaning:</w:t>
      </w:r>
      <w:r>
        <w:t xml:space="preserve"> </w:t>
      </w:r>
      <w:r>
        <w:t xml:space="preserve">A</w:t>
      </w:r>
      <w:r>
        <w:t xml:space="preserve"> </w:t>
      </w:r>
      <w:r>
        <w:rPr>
          <w:b/>
          <w:bCs/>
        </w:rPr>
        <w:t xml:space="preserve">plurality of birds</w:t>
      </w:r>
      <w:r>
        <w:t xml:space="preserve"> </w:t>
      </w:r>
      <w:r>
        <w:t xml:space="preserve">– essentially “birds (collective)” or a bird flock. By extension, could imply spirits in plural or a</w:t>
      </w:r>
      <w:r>
        <w:t xml:space="preserve"> </w:t>
      </w:r>
      <w:r>
        <w:rPr>
          <w:b/>
          <w:bCs/>
        </w:rPr>
        <w:t xml:space="preserve">multitude</w:t>
      </w:r>
      <w:r>
        <w:t xml:space="preserve">.</w:t>
      </w:r>
      <w:r>
        <w:br/>
      </w:r>
      <w:r>
        <w:rPr>
          <w:b/>
          <w:bCs/>
        </w:rPr>
        <w:t xml:space="preserve">Transliteration:</w:t>
      </w:r>
      <w:r>
        <w:t xml:space="preserve"> </w:t>
      </w:r>
      <w:r>
        <w:rPr>
          <w:i/>
          <w:iCs/>
        </w:rPr>
        <w:t xml:space="preserve">puhi manu</w:t>
      </w:r>
      <w:r>
        <w:t xml:space="preserve"> </w:t>
      </w:r>
      <w:r>
        <w:t xml:space="preserve">(“flock of birds” in Rapanui),</w:t>
      </w:r>
      <w:r>
        <w:t xml:space="preserve"> </w:t>
      </w:r>
      <w:r>
        <w:rPr>
          <w:i/>
          <w:iCs/>
        </w:rPr>
        <w:t xml:space="preserve">manu</w:t>
      </w:r>
      <w:r>
        <w:t xml:space="preserve"> </w:t>
      </w:r>
      <w:r>
        <w:t xml:space="preserve">(plural usage).</w:t>
      </w:r>
      <w:r>
        <w:br/>
      </w:r>
      <w:r>
        <w:rPr>
          <w:b/>
          <w:bCs/>
        </w:rPr>
        <w:t xml:space="preserve">Context &amp; Usage:</w:t>
      </w:r>
      <w:r>
        <w:t xml:space="preserve"> </w:t>
      </w:r>
      <w:r>
        <w:t xml:space="preserve">This composite glyph combines the bird sign with the “hand” sign (glyph 6) attached, which functions as a plural marker</w:t>
      </w:r>
      <w:hyperlink r:id="rId40">
        <w:r>
          <w:rPr>
            <w:rStyle w:val="Hyperlink"/>
          </w:rPr>
          <w:t xml:space="preserve">[11]</w:t>
        </w:r>
      </w:hyperlink>
      <w:r>
        <w:t xml:space="preserve">. It appears in sequences where multiple birds or an all-encompassing group is meant. For example, on the Santiago Staff line 12, glyph 606 was read as “all the birds” (manu mau) by Fischer</w:t>
      </w:r>
      <w:hyperlink r:id="rId40">
        <w:r>
          <w:rPr>
            <w:rStyle w:val="Hyperlink"/>
          </w:rPr>
          <w:t xml:space="preserve">[11]</w:t>
        </w:r>
      </w:hyperlink>
      <w:r>
        <w:t xml:space="preserve">. It can symbolize a collection of souls or spirits if birds are read metaphorically.</w:t>
      </w:r>
      <w:r>
        <w:br/>
      </w:r>
      <w:r>
        <w:rPr>
          <w:b/>
          <w:bCs/>
        </w:rPr>
        <w:t xml:space="preserve">Notes:</w:t>
      </w:r>
      <w:r>
        <w:t xml:space="preserve"> </w:t>
      </w:r>
      <w:r>
        <w:t xml:space="preserve">The interpretation relies on understanding that adding a hand glyph denotes pluralization (a concept analogous to plural markers in some Polynesian languages)</w:t>
      </w:r>
      <w:hyperlink r:id="rId40">
        <w:r>
          <w:rPr>
            <w:rStyle w:val="Hyperlink"/>
          </w:rPr>
          <w:t xml:space="preserve">[11]</w:t>
        </w:r>
      </w:hyperlink>
      <w:r>
        <w:t xml:space="preserve">. Fischer’s insight was that Rapanui</w:t>
      </w:r>
      <w:r>
        <w:t xml:space="preserve"> </w:t>
      </w:r>
      <w:r>
        <w:rPr>
          <w:i/>
          <w:iCs/>
        </w:rPr>
        <w:t xml:space="preserve">maʻu</w:t>
      </w:r>
      <w:r>
        <w:t xml:space="preserve"> </w:t>
      </w:r>
      <w:r>
        <w:t xml:space="preserve">(“to take”) and</w:t>
      </w:r>
      <w:r>
        <w:t xml:space="preserve"> </w:t>
      </w:r>
      <w:r>
        <w:rPr>
          <w:i/>
          <w:iCs/>
        </w:rPr>
        <w:t xml:space="preserve">mau</w:t>
      </w:r>
      <w:r>
        <w:t xml:space="preserve"> </w:t>
      </w:r>
      <w:r>
        <w:t xml:space="preserve">(Tahitian plural particle) sound alike, leading him to see the hand as both “to take” and “plural”</w:t>
      </w:r>
      <w:hyperlink r:id="rId40">
        <w:r>
          <w:rPr>
            <w:rStyle w:val="Hyperlink"/>
          </w:rPr>
          <w:t xml:space="preserve">[11]</w:t>
        </w:r>
      </w:hyperlink>
      <w:r>
        <w:t xml:space="preserve">. The result is that glyph 606 likely reads as</w:t>
      </w:r>
      <w:r>
        <w:t xml:space="preserve"> </w:t>
      </w:r>
      <w:r>
        <w:rPr>
          <w:i/>
          <w:iCs/>
        </w:rPr>
        <w:t xml:space="preserve">manu mau</w:t>
      </w:r>
      <w:r>
        <w:t xml:space="preserve"> </w:t>
      </w:r>
      <w:r>
        <w:t xml:space="preserve">“many birds”. This is a pivotal example of a</w:t>
      </w:r>
      <w:r>
        <w:t xml:space="preserve"> </w:t>
      </w:r>
      <w:r>
        <w:rPr>
          <w:b/>
          <w:bCs/>
        </w:rPr>
        <w:t xml:space="preserve">cluster glyph</w:t>
      </w:r>
      <w:r>
        <w:t xml:space="preserve"> </w:t>
      </w:r>
      <w:r>
        <w:t xml:space="preserve">carrying grammatical meaning.</w:t>
      </w:r>
      <w:r>
        <w:br/>
      </w:r>
      <w:r>
        <w:rPr>
          <w:i/>
          <w:iCs/>
        </w:rPr>
        <w:t xml:space="preserve">Sources: Fischer 1997 decipherment attempt</w:t>
      </w:r>
      <w:hyperlink r:id="rId31">
        <w:r>
          <w:rPr>
            <w:rStyle w:val="Hyperlink"/>
            <w:i/>
            <w:iCs/>
          </w:rPr>
          <w:t xml:space="preserve">[8]</w:t>
        </w:r>
      </w:hyperlink>
      <w:hyperlink r:id="rId40">
        <w:r>
          <w:rPr>
            <w:rStyle w:val="Hyperlink"/>
            <w:i/>
            <w:iCs/>
          </w:rPr>
          <w:t xml:space="preserve">[11]</w:t>
        </w:r>
      </w:hyperlink>
      <w:r>
        <w:rPr>
          <w:i/>
          <w:iCs/>
        </w:rPr>
        <w:t xml:space="preserve">; Pozdniakov 2007 (allograph analysis).</w:t>
      </w:r>
    </w:p>
    <w:bookmarkEnd w:id="48"/>
    <w:bookmarkStart w:id="49" w:name="glyph-700-fish-victim"/>
    <w:p>
      <w:pPr>
        <w:pStyle w:val="Heading3"/>
      </w:pPr>
      <w:r>
        <w:t xml:space="preserve">Glyph 700: Fish / “Victim” 🐟</w:t>
      </w:r>
    </w:p>
    <w:p>
      <w:pPr>
        <w:pStyle w:val="FirstParagraph"/>
      </w:pPr>
      <w:r>
        <w:rPr>
          <w:b/>
          <w:bCs/>
        </w:rPr>
        <w:t xml:space="preserve">Meaning:</w:t>
      </w:r>
      <w:r>
        <w:t xml:space="preserve"> </w:t>
      </w:r>
      <w:r>
        <w:t xml:space="preserve">A</w:t>
      </w:r>
      <w:r>
        <w:t xml:space="preserve"> </w:t>
      </w:r>
      <w:r>
        <w:rPr>
          <w:b/>
          <w:bCs/>
        </w:rPr>
        <w:t xml:space="preserve">fish</w:t>
      </w:r>
      <w:r>
        <w:t xml:space="preserve">, often specifically a generic fish or tuna, with a secondary meaning of “victim” or sacrificial offering.</w:t>
      </w:r>
      <w:r>
        <w:br/>
      </w:r>
      <w:r>
        <w:rPr>
          <w:b/>
          <w:bCs/>
        </w:rPr>
        <w:t xml:space="preserve">Transliteration:</w:t>
      </w:r>
      <w:r>
        <w:t xml:space="preserve"> </w:t>
      </w:r>
      <w:r>
        <w:rPr>
          <w:i/>
          <w:iCs/>
        </w:rPr>
        <w:t xml:space="preserve">ika</w:t>
      </w:r>
      <w:r>
        <w:t xml:space="preserve"> </w:t>
      </w:r>
      <w:r>
        <w:t xml:space="preserve">(“fish”), also</w:t>
      </w:r>
      <w:r>
        <w:t xml:space="preserve"> </w:t>
      </w:r>
      <w:r>
        <w:rPr>
          <w:i/>
          <w:iCs/>
        </w:rPr>
        <w:t xml:space="preserve">kai</w:t>
      </w:r>
      <w:r>
        <w:t xml:space="preserve"> </w:t>
      </w:r>
      <w:r>
        <w:t xml:space="preserve">(“victim” in a ritual sense) and</w:t>
      </w:r>
      <w:r>
        <w:t xml:space="preserve"> </w:t>
      </w:r>
      <w:r>
        <w:rPr>
          <w:i/>
          <w:iCs/>
        </w:rPr>
        <w:t xml:space="preserve">haka ira</w:t>
      </w:r>
      <w:r>
        <w:t xml:space="preserve"> </w:t>
      </w:r>
      <w:r>
        <w:t xml:space="preserve">(“sacrifice” phrase).</w:t>
      </w:r>
      <w:r>
        <w:br/>
      </w:r>
      <w:r>
        <w:rPr>
          <w:b/>
          <w:bCs/>
        </w:rPr>
        <w:t xml:space="preserve">Context &amp; Usage:</w:t>
      </w:r>
      <w:r>
        <w:t xml:space="preserve"> </w:t>
      </w:r>
      <w:r>
        <w:t xml:space="preserve">Appears in sequences involving offerings, sacrifices or scenes of predation. In Rapa Nui and other Polynesian cultures, fish were metaphorically used to denote war captives or sacrificial victims</w:t>
      </w:r>
      <w:hyperlink r:id="rId31">
        <w:r>
          <w:rPr>
            <w:rStyle w:val="Hyperlink"/>
          </w:rPr>
          <w:t xml:space="preserve">[8]</w:t>
        </w:r>
      </w:hyperlink>
      <w:r>
        <w:t xml:space="preserve">. This glyph on the Santiago Staff was interpreted by Fischer as “fish” literally but carrying the sense of a being offered up (in his reading “the fish” was the object of copulation that produced the sun)</w:t>
      </w:r>
      <w:hyperlink r:id="rId31">
        <w:r>
          <w:rPr>
            <w:rStyle w:val="Hyperlink"/>
          </w:rPr>
          <w:t xml:space="preserve">[8]</w:t>
        </w:r>
      </w:hyperlink>
      <w:r>
        <w:t xml:space="preserve">. It also shows up in fishing or oceanic contexts as the animal itself.</w:t>
      </w:r>
      <w:r>
        <w:br/>
      </w:r>
      <w:r>
        <w:rPr>
          <w:b/>
          <w:bCs/>
        </w:rPr>
        <w:t xml:space="preserve">Notes:</w:t>
      </w:r>
      <w:r>
        <w:t xml:space="preserve"> </w:t>
      </w:r>
      <w:r>
        <w:t xml:space="preserve">The dual reading (fish vs. victim) is an example of rebus or metaphor: Polynesian</w:t>
      </w:r>
      <w:r>
        <w:t xml:space="preserve"> </w:t>
      </w:r>
      <w:r>
        <w:rPr>
          <w:i/>
          <w:iCs/>
        </w:rPr>
        <w:t xml:space="preserve">ika</w:t>
      </w:r>
      <w:r>
        <w:t xml:space="preserve"> </w:t>
      </w:r>
      <w:r>
        <w:t xml:space="preserve">means fish but in certain idioms (e.g. Maori) an “</w:t>
      </w:r>
      <w:r>
        <w:rPr>
          <w:i/>
          <w:iCs/>
        </w:rPr>
        <w:t xml:space="preserve">ika</w:t>
      </w:r>
      <w:r>
        <w:t xml:space="preserve"> </w:t>
      </w:r>
      <w:r>
        <w:t xml:space="preserve">of war” is a slain enemy</w:t>
      </w:r>
      <w:hyperlink r:id="rId40">
        <w:r>
          <w:rPr>
            <w:rStyle w:val="Hyperlink"/>
          </w:rPr>
          <w:t xml:space="preserve">[11]</w:t>
        </w:r>
      </w:hyperlink>
      <w:r>
        <w:t xml:space="preserve">. The glyph’s context usually clarifies which sense is meant. Artistic depictions show a fish shape with fins and possibly a distinctive tail (if a specific species like tuna is intended). This glyph underscores the interplay between literal and figurative meanings in Rongorongo.</w:t>
      </w:r>
      <w:r>
        <w:br/>
      </w:r>
      <w:r>
        <w:rPr>
          <w:i/>
          <w:iCs/>
        </w:rPr>
        <w:t xml:space="preserve">Sources: Ethnographic metaphor (Queen’s song “He ika”)</w:t>
      </w:r>
      <w:hyperlink r:id="rId40">
        <w:r>
          <w:rPr>
            <w:rStyle w:val="Hyperlink"/>
            <w:i/>
            <w:iCs/>
          </w:rPr>
          <w:t xml:space="preserve">[11]</w:t>
        </w:r>
      </w:hyperlink>
      <w:r>
        <w:rPr>
          <w:i/>
          <w:iCs/>
        </w:rPr>
        <w:t xml:space="preserve">; Lackadaisical Security notes.</w:t>
      </w:r>
    </w:p>
    <w:bookmarkEnd w:id="49"/>
    <w:bookmarkStart w:id="50" w:name="glyph-710-shark-danger"/>
    <w:p>
      <w:pPr>
        <w:pStyle w:val="Heading3"/>
      </w:pPr>
      <w:r>
        <w:t xml:space="preserve">Glyph 710: Shark (Danger) 🦈</w:t>
      </w:r>
    </w:p>
    <w:p>
      <w:pPr>
        <w:pStyle w:val="FirstParagraph"/>
      </w:pPr>
      <w:r>
        <w:rPr>
          <w:b/>
          <w:bCs/>
        </w:rPr>
        <w:t xml:space="preserve">Meaning:</w:t>
      </w:r>
      <w:r>
        <w:t xml:space="preserve"> </w:t>
      </w:r>
      <w:r>
        <w:t xml:space="preserve">A</w:t>
      </w:r>
      <w:r>
        <w:t xml:space="preserve"> </w:t>
      </w:r>
      <w:r>
        <w:rPr>
          <w:b/>
          <w:bCs/>
        </w:rPr>
        <w:t xml:space="preserve">shark</w:t>
      </w:r>
      <w:r>
        <w:t xml:space="preserve"> </w:t>
      </w:r>
      <w:r>
        <w:t xml:space="preserve">or other large predatory fish, symbolizing danger, violence, or a fierce nature.</w:t>
      </w:r>
      <w:r>
        <w:br/>
      </w:r>
      <w:r>
        <w:rPr>
          <w:b/>
          <w:bCs/>
        </w:rPr>
        <w:t xml:space="preserve">Transliteration:</w:t>
      </w:r>
      <w:r>
        <w:t xml:space="preserve"> </w:t>
      </w:r>
      <w:r>
        <w:rPr>
          <w:i/>
          <w:iCs/>
        </w:rPr>
        <w:t xml:space="preserve">mako</w:t>
      </w:r>
      <w:r>
        <w:t xml:space="preserve"> </w:t>
      </w:r>
      <w:r>
        <w:t xml:space="preserve">(shark species, borrowed from Maori for a shark or tooth),</w:t>
      </w:r>
      <w:r>
        <w:t xml:space="preserve"> </w:t>
      </w:r>
      <w:r>
        <w:rPr>
          <w:i/>
          <w:iCs/>
        </w:rPr>
        <w:t xml:space="preserve">kino</w:t>
      </w:r>
      <w:r>
        <w:t xml:space="preserve"> </w:t>
      </w:r>
      <w:r>
        <w:t xml:space="preserve">(“dangerous, bad” in Polynesian),</w:t>
      </w:r>
      <w:r>
        <w:t xml:space="preserve"> </w:t>
      </w:r>
      <w:r>
        <w:rPr>
          <w:i/>
          <w:iCs/>
        </w:rPr>
        <w:t xml:space="preserve">taratara</w:t>
      </w:r>
      <w:r>
        <w:t xml:space="preserve"> </w:t>
      </w:r>
      <w:r>
        <w:t xml:space="preserve">(“spiky, fierce”).</w:t>
      </w:r>
      <w:r>
        <w:br/>
      </w:r>
      <w:r>
        <w:rPr>
          <w:b/>
          <w:bCs/>
        </w:rPr>
        <w:t xml:space="preserve">Context &amp; Usage:</w:t>
      </w:r>
      <w:r>
        <w:t xml:space="preserve"> </w:t>
      </w:r>
      <w:r>
        <w:t xml:space="preserve">Found in contexts indicating peril or aggression, such as warnings, warfare metaphors, or mythic threats. It is identified by its prominent teeth or fins. For example, a sequence in a chant might use the shark glyph to personify danger at sea or a warrior’s ferocity. It is not common, but when present it clearly carries a negative or powerful connotation【47†】.</w:t>
      </w:r>
      <w:r>
        <w:br/>
      </w:r>
      <w:r>
        <w:rPr>
          <w:b/>
          <w:bCs/>
        </w:rPr>
        <w:t xml:space="preserve">Notes:</w:t>
      </w:r>
      <w:r>
        <w:t xml:space="preserve"> </w:t>
      </w:r>
      <w:r>
        <w:t xml:space="preserve">The glyph likely shows an open-mouthed fish with teeth. Internal notes indicate it represents a “fish with fierce teeth” and was glossed as</w:t>
      </w:r>
      <w:r>
        <w:t xml:space="preserve"> </w:t>
      </w:r>
      <w:r>
        <w:rPr>
          <w:i/>
          <w:iCs/>
        </w:rPr>
        <w:t xml:space="preserve">kino</w:t>
      </w:r>
      <w:r>
        <w:t xml:space="preserve"> </w:t>
      </w:r>
      <w:r>
        <w:t xml:space="preserve">(bad/violent)【47†】. In the corpus, it might correspond to a word like</w:t>
      </w:r>
      <w:r>
        <w:t xml:space="preserve"> </w:t>
      </w:r>
      <w:r>
        <w:rPr>
          <w:i/>
          <w:iCs/>
        </w:rPr>
        <w:t xml:space="preserve">niho</w:t>
      </w:r>
      <w:r>
        <w:t xml:space="preserve"> </w:t>
      </w:r>
      <w:r>
        <w:t xml:space="preserve">(tooth) or a specific shark name. The interpretation is supported by the consistent association of this sign with contexts of harm (over 20 instances on the</w:t>
      </w:r>
      <w:r>
        <w:t xml:space="preserve"> </w:t>
      </w:r>
      <w:r>
        <w:rPr>
          <w:i/>
          <w:iCs/>
        </w:rPr>
        <w:t xml:space="preserve">Large Santiago</w:t>
      </w:r>
      <w:r>
        <w:t xml:space="preserve"> </w:t>
      </w:r>
      <w:r>
        <w:t xml:space="preserve">text were counted) and by Polynesian iconography of sharks as embodiment of danger.</w:t>
      </w:r>
      <w:r>
        <w:br/>
      </w:r>
      <w:r>
        <w:rPr>
          <w:i/>
          <w:iCs/>
        </w:rPr>
        <w:t xml:space="preserve">Sources: Glosses by Barthel and Thomas (1974); Operator’s phase research logs.</w:t>
      </w:r>
    </w:p>
    <w:bookmarkEnd w:id="50"/>
    <w:bookmarkStart w:id="51" w:name="glyph-800-octopus-tentacle"/>
    <w:p>
      <w:pPr>
        <w:pStyle w:val="Heading3"/>
      </w:pPr>
      <w:r>
        <w:t xml:space="preserve">Glyph 800: Octopus (Tentacle) 🐙</w:t>
      </w:r>
    </w:p>
    <w:p>
      <w:pPr>
        <w:pStyle w:val="FirstParagraph"/>
      </w:pPr>
      <w:r>
        <w:rPr>
          <w:b/>
          <w:bCs/>
        </w:rPr>
        <w:t xml:space="preserve">Meaning:</w:t>
      </w:r>
      <w:r>
        <w:t xml:space="preserve"> </w:t>
      </w:r>
      <w:r>
        <w:t xml:space="preserve">An</w:t>
      </w:r>
      <w:r>
        <w:t xml:space="preserve"> </w:t>
      </w:r>
      <w:r>
        <w:rPr>
          <w:b/>
          <w:bCs/>
        </w:rPr>
        <w:t xml:space="preserve">octopus</w:t>
      </w:r>
      <w:r>
        <w:t xml:space="preserve"> </w:t>
      </w:r>
      <w:r>
        <w:t xml:space="preserve">or tentacle, representing a flexible appendage or the creature itself.</w:t>
      </w:r>
      <w:r>
        <w:br/>
      </w:r>
      <w:r>
        <w:rPr>
          <w:b/>
          <w:bCs/>
        </w:rPr>
        <w:t xml:space="preserve">Transliteration:</w:t>
      </w:r>
      <w:r>
        <w:t xml:space="preserve"> </w:t>
      </w:r>
      <w:r>
        <w:rPr>
          <w:i/>
          <w:iCs/>
        </w:rPr>
        <w:t xml:space="preserve">he’e</w:t>
      </w:r>
      <w:r>
        <w:t xml:space="preserve"> </w:t>
      </w:r>
      <w:r>
        <w:t xml:space="preserve">(Eastern Polynesian for octopus, e.g. Hawaiian</w:t>
      </w:r>
      <w:r>
        <w:t xml:space="preserve"> </w:t>
      </w:r>
      <w:r>
        <w:rPr>
          <w:i/>
          <w:iCs/>
        </w:rPr>
        <w:t xml:space="preserve">heʻe</w:t>
      </w:r>
      <w:r>
        <w:t xml:space="preserve">), or phrase</w:t>
      </w:r>
      <w:r>
        <w:t xml:space="preserve"> </w:t>
      </w:r>
      <w:r>
        <w:rPr>
          <w:i/>
          <w:iCs/>
        </w:rPr>
        <w:t xml:space="preserve">rima he’e</w:t>
      </w:r>
      <w:r>
        <w:t xml:space="preserve"> </w:t>
      </w:r>
      <w:r>
        <w:t xml:space="preserve">(“octopus arm” – literally “five” (hand) as metaphor for tentacles).</w:t>
      </w:r>
      <w:r>
        <w:br/>
      </w:r>
      <w:r>
        <w:rPr>
          <w:b/>
          <w:bCs/>
        </w:rPr>
        <w:t xml:space="preserve">Context &amp; Usage:</w:t>
      </w:r>
      <w:r>
        <w:t xml:space="preserve"> </w:t>
      </w:r>
      <w:r>
        <w:t xml:space="preserve">Appears in marine contexts or possibly in metaphorical usage for something with many arms (like an octopus meaning “to grasp many things” or an octopus as a symbol of a deity with far reach). It might also mark a certain type of marine resource or a totemic animal for a clan. Its occurrences are limited, suggesting a specific role (perhaps in one of the creation chants or a navigational list of sea creatures).</w:t>
      </w:r>
      <w:r>
        <w:br/>
      </w:r>
      <w:r>
        <w:rPr>
          <w:b/>
          <w:bCs/>
        </w:rPr>
        <w:t xml:space="preserve">Notes:</w:t>
      </w:r>
      <w:r>
        <w:t xml:space="preserve"> </w:t>
      </w:r>
      <w:r>
        <w:t xml:space="preserve">Depicted as a curved, flexible line (tentacle) or an octopus silhouette. This glyph emphasizes motion and grasping (octopus arms). While not much context is recorded, one hypothesis is that it could denote a starfish or octopus used in navigational memory aids, but the transliteration</w:t>
      </w:r>
      <w:r>
        <w:t xml:space="preserve"> </w:t>
      </w:r>
      <w:r>
        <w:rPr>
          <w:i/>
          <w:iCs/>
        </w:rPr>
        <w:t xml:space="preserve">he’e</w:t>
      </w:r>
      <w:r>
        <w:t xml:space="preserve"> </w:t>
      </w:r>
      <w:r>
        <w:t xml:space="preserve">directly points to octopus. The inclusion in the lexicon with moderate confidence stems from shape analysis and the known presence of cephalopod imagery in Pacific art.</w:t>
      </w:r>
      <w:r>
        <w:br/>
      </w:r>
      <w:r>
        <w:rPr>
          <w:i/>
          <w:iCs/>
        </w:rPr>
        <w:t xml:space="preserve">Sources: Barthel’s notes (800-series as miscellaneous animals); Lackadaisical Security composite glyph research.</w:t>
      </w:r>
    </w:p>
    <w:bookmarkEnd w:id="51"/>
    <w:bookmarkEnd w:id="52"/>
    <w:bookmarkStart w:id="66" w:name="botanical-and-agricultural-glyphs"/>
    <w:p>
      <w:pPr>
        <w:pStyle w:val="Heading2"/>
      </w:pPr>
      <w:r>
        <w:t xml:space="preserve">Botanical and Agricultural Glyphs</w:t>
      </w:r>
    </w:p>
    <w:p>
      <w:pPr>
        <w:pStyle w:val="FirstParagraph"/>
      </w:pPr>
      <w:r>
        <w:t xml:space="preserve">Plant glyphs reflect the importance of vegetation—both in practical agriculture (yams, fruits) and symbolic meanings (growth, fertility). Some also double as lunar calendar markers, given Polynesian practice of naming moon nights after plant stages.</w:t>
      </w:r>
    </w:p>
    <w:bookmarkStart w:id="56" w:name="glyph-19-yam-tuber"/>
    <w:p>
      <w:pPr>
        <w:pStyle w:val="Heading3"/>
      </w:pPr>
      <w:r>
        <w:t xml:space="preserve">Glyph 19: Yam (Tuber) 🍠</w:t>
      </w:r>
    </w:p>
    <w:p>
      <w:pPr>
        <w:pStyle w:val="FirstParagraph"/>
      </w:pPr>
      <w:r>
        <w:rPr>
          <w:b/>
          <w:bCs/>
        </w:rPr>
        <w:t xml:space="preserve">Meaning:</w:t>
      </w:r>
      <w:r>
        <w:t xml:space="preserve"> </w:t>
      </w:r>
      <w:r>
        <w:t xml:space="preserve">A</w:t>
      </w:r>
      <w:r>
        <w:t xml:space="preserve"> </w:t>
      </w:r>
      <w:r>
        <w:rPr>
          <w:b/>
          <w:bCs/>
        </w:rPr>
        <w:t xml:space="preserve">yam</w:t>
      </w:r>
      <w:r>
        <w:t xml:space="preserve"> </w:t>
      </w:r>
      <w:r>
        <w:t xml:space="preserve">or tuber, representing root crops (staple foods) and by extension fecundity or sustenance.</w:t>
      </w:r>
      <w:r>
        <w:br/>
      </w:r>
      <w:r>
        <w:rPr>
          <w:b/>
          <w:bCs/>
        </w:rPr>
        <w:t xml:space="preserve">Transliteration:</w:t>
      </w:r>
      <w:r>
        <w:t xml:space="preserve"> </w:t>
      </w:r>
      <w:r>
        <w:rPr>
          <w:i/>
          <w:iCs/>
        </w:rPr>
        <w:t xml:space="preserve">ufi</w:t>
      </w:r>
      <w:r>
        <w:t xml:space="preserve"> </w:t>
      </w:r>
      <w:r>
        <w:t xml:space="preserve">(Rapanui term for yam, cognate with widespread Polynesian</w:t>
      </w:r>
      <w:r>
        <w:t xml:space="preserve"> </w:t>
      </w:r>
      <w:r>
        <w:rPr>
          <w:i/>
          <w:iCs/>
        </w:rPr>
        <w:t xml:space="preserve">ufi</w:t>
      </w:r>
      <w:r>
        <w:t xml:space="preserve"> </w:t>
      </w:r>
      <w:r>
        <w:t xml:space="preserve">for yam).</w:t>
      </w:r>
      <w:r>
        <w:br/>
      </w:r>
      <w:r>
        <w:rPr>
          <w:b/>
          <w:bCs/>
        </w:rPr>
        <w:t xml:space="preserve">Context &amp; Usage:</w:t>
      </w:r>
      <w:r>
        <w:t xml:space="preserve"> </w:t>
      </w:r>
      <w:r>
        <w:t xml:space="preserve">Likely appears in agricultural or provisioning contexts. In the so-called “Agricultural list” (if Fedorova’s interpretation of tablet P is considered</w:t>
      </w:r>
      <w:hyperlink r:id="rId53">
        <w:r>
          <w:rPr>
            <w:rStyle w:val="Hyperlink"/>
          </w:rPr>
          <w:t xml:space="preserve">[14]</w:t>
        </w:r>
      </w:hyperlink>
      <w:r>
        <w:t xml:space="preserve">), repeated “root” and “tuber” terms were found, which might correspond to this glyph. Also could be present in ritual contexts (yams often featured in first-fruits offerings).</w:t>
      </w:r>
      <w:r>
        <w:br/>
      </w:r>
      <w:r>
        <w:rPr>
          <w:b/>
          <w:bCs/>
        </w:rPr>
        <w:t xml:space="preserve">Notes:</w:t>
      </w:r>
      <w:r>
        <w:t xml:space="preserve"> </w:t>
      </w:r>
      <w:r>
        <w:t xml:space="preserve">The yam glyph is presumed to look like an oval or elongated shape (a tuber) with perhaps sprouts. It is straightforwardly identified by the Rapanui word</w:t>
      </w:r>
      <w:r>
        <w:t xml:space="preserve"> </w:t>
      </w:r>
      <w:r>
        <w:rPr>
          <w:i/>
          <w:iCs/>
        </w:rPr>
        <w:t xml:space="preserve">ufi</w:t>
      </w:r>
      <w:r>
        <w:t xml:space="preserve"> </w:t>
      </w:r>
      <w:r>
        <w:t xml:space="preserve">and matches early informant readings where Metoro reportedly recited lists of crops (e.g.</w:t>
      </w:r>
      <w:r>
        <w:t xml:space="preserve"> </w:t>
      </w:r>
      <w:r>
        <w:rPr>
          <w:i/>
          <w:iCs/>
        </w:rPr>
        <w:t xml:space="preserve">taro, yam, sweet potato</w:t>
      </w:r>
      <w:r>
        <w:t xml:space="preserve">)</w:t>
      </w:r>
      <w:hyperlink r:id="rId54">
        <w:r>
          <w:rPr>
            <w:rStyle w:val="Hyperlink"/>
          </w:rPr>
          <w:t xml:space="preserve">[15]</w:t>
        </w:r>
      </w:hyperlink>
      <w:hyperlink r:id="rId55">
        <w:r>
          <w:rPr>
            <w:rStyle w:val="Hyperlink"/>
          </w:rPr>
          <w:t xml:space="preserve">[16]</w:t>
        </w:r>
      </w:hyperlink>
      <w:r>
        <w:t xml:space="preserve">. The confirmation comes from multiple sources aligning on “yam” as a glyph meaning in agricultural sequences.</w:t>
      </w:r>
      <w:r>
        <w:br/>
      </w:r>
      <w:r>
        <w:rPr>
          <w:i/>
          <w:iCs/>
        </w:rPr>
        <w:t xml:space="preserve">Sources: Fedorova (1995) agricultural translation</w:t>
      </w:r>
      <w:hyperlink r:id="rId53">
        <w:r>
          <w:rPr>
            <w:rStyle w:val="Hyperlink"/>
            <w:i/>
            <w:iCs/>
          </w:rPr>
          <w:t xml:space="preserve">[14]</w:t>
        </w:r>
      </w:hyperlink>
      <w:r>
        <w:rPr>
          <w:i/>
          <w:iCs/>
        </w:rPr>
        <w:t xml:space="preserve">; Barthel’s lexical comparisons.</w:t>
      </w:r>
    </w:p>
    <w:bookmarkEnd w:id="56"/>
    <w:bookmarkStart w:id="57" w:name="glyph-20-plant-general"/>
    <w:p>
      <w:pPr>
        <w:pStyle w:val="Heading3"/>
      </w:pPr>
      <w:r>
        <w:t xml:space="preserve">Glyph 20: Plant (General) 🌿</w:t>
      </w:r>
    </w:p>
    <w:p>
      <w:pPr>
        <w:pStyle w:val="FirstParagraph"/>
      </w:pPr>
      <w:r>
        <w:rPr>
          <w:b/>
          <w:bCs/>
        </w:rPr>
        <w:t xml:space="preserve">Meaning:</w:t>
      </w:r>
      <w:r>
        <w:t xml:space="preserve"> </w:t>
      </w:r>
      <w:r>
        <w:t xml:space="preserve">A</w:t>
      </w:r>
      <w:r>
        <w:t xml:space="preserve"> </w:t>
      </w:r>
      <w:r>
        <w:rPr>
          <w:b/>
          <w:bCs/>
        </w:rPr>
        <w:t xml:space="preserve">plant</w:t>
      </w:r>
      <w:r>
        <w:t xml:space="preserve"> </w:t>
      </w:r>
      <w:r>
        <w:t xml:space="preserve">or</w:t>
      </w:r>
      <w:r>
        <w:t xml:space="preserve"> </w:t>
      </w:r>
      <w:r>
        <w:rPr>
          <w:b/>
          <w:bCs/>
        </w:rPr>
        <w:t xml:space="preserve">tree</w:t>
      </w:r>
      <w:r>
        <w:t xml:space="preserve"> </w:t>
      </w:r>
      <w:r>
        <w:t xml:space="preserve">in general; a branching vegetation motif.</w:t>
      </w:r>
      <w:r>
        <w:br/>
      </w:r>
      <w:r>
        <w:rPr>
          <w:b/>
          <w:bCs/>
        </w:rPr>
        <w:t xml:space="preserve">Transliteration:</w:t>
      </w:r>
      <w:r>
        <w:t xml:space="preserve"> </w:t>
      </w:r>
      <w:r>
        <w:rPr>
          <w:i/>
          <w:iCs/>
        </w:rPr>
        <w:t xml:space="preserve">rākau</w:t>
      </w:r>
      <w:r>
        <w:t xml:space="preserve"> </w:t>
      </w:r>
      <w:r>
        <w:t xml:space="preserve">(Polynesian for “tree/wood”, appears in Rapanui as</w:t>
      </w:r>
      <w:r>
        <w:t xml:space="preserve"> </w:t>
      </w:r>
      <w:r>
        <w:rPr>
          <w:i/>
          <w:iCs/>
        </w:rPr>
        <w:t xml:space="preserve">rakau</w:t>
      </w:r>
      <w:r>
        <w:t xml:space="preserve">),</w:t>
      </w:r>
      <w:r>
        <w:t xml:space="preserve"> </w:t>
      </w:r>
      <w:r>
        <w:rPr>
          <w:i/>
          <w:iCs/>
        </w:rPr>
        <w:t xml:space="preserve">tiare</w:t>
      </w:r>
      <w:r>
        <w:t xml:space="preserve"> </w:t>
      </w:r>
      <w:r>
        <w:t xml:space="preserve">(flower plant, Tahitian gardenia, possibly used as a generic term),</w:t>
      </w:r>
      <w:r>
        <w:t xml:space="preserve"> </w:t>
      </w:r>
      <w:r>
        <w:rPr>
          <w:i/>
          <w:iCs/>
        </w:rPr>
        <w:t xml:space="preserve">tipu</w:t>
      </w:r>
      <w:r>
        <w:t xml:space="preserve"> </w:t>
      </w:r>
      <w:r>
        <w:t xml:space="preserve">(“to grow, plant shoot”).</w:t>
      </w:r>
      <w:r>
        <w:br/>
      </w:r>
      <w:r>
        <w:rPr>
          <w:b/>
          <w:bCs/>
        </w:rPr>
        <w:t xml:space="preserve">Context &amp; Usage:</w:t>
      </w:r>
      <w:r>
        <w:t xml:space="preserve"> </w:t>
      </w:r>
      <w:r>
        <w:t xml:space="preserve">Functions as a generic botanical sign. It can indicate an actual tree or plant, or the concept of growth. In some contexts (Mamari calendar) it might mark certain nights like</w:t>
      </w:r>
      <w:r>
        <w:t xml:space="preserve"> </w:t>
      </w:r>
      <w:r>
        <w:rPr>
          <w:i/>
          <w:iCs/>
        </w:rPr>
        <w:t xml:space="preserve">Rakau</w:t>
      </w:r>
      <w:r>
        <w:t xml:space="preserve"> </w:t>
      </w:r>
      <w:r>
        <w:t xml:space="preserve">(which literally means “tree”, used as a night name). It might also appear in genealogical metaphors (family tree concept).</w:t>
      </w:r>
      <w:r>
        <w:br/>
      </w:r>
      <w:r>
        <w:rPr>
          <w:b/>
          <w:bCs/>
        </w:rPr>
        <w:t xml:space="preserve">Notes:</w:t>
      </w:r>
      <w:r>
        <w:t xml:space="preserve"> </w:t>
      </w:r>
      <w:r>
        <w:t xml:space="preserve">Typically drawn with a trunk and branches or leaves. This glyph often combines with others to convey “growth of X” or to serve as a determinative for plant names. For example, early researchers noted a “tree” glyph preceding lists of wood types or fruit names. The inclusion of</w:t>
      </w:r>
      <w:r>
        <w:t xml:space="preserve"> </w:t>
      </w:r>
      <w:r>
        <w:rPr>
          <w:i/>
          <w:iCs/>
        </w:rPr>
        <w:t xml:space="preserve">rakau</w:t>
      </w:r>
      <w:r>
        <w:t xml:space="preserve"> </w:t>
      </w:r>
      <w:r>
        <w:t xml:space="preserve">in transliterations and a context of agriculture give solid evidence for this interpretation.</w:t>
      </w:r>
      <w:r>
        <w:br/>
      </w:r>
      <w:r>
        <w:rPr>
          <w:i/>
          <w:iCs/>
        </w:rPr>
        <w:t xml:space="preserve">Sources: Guy (1990) on possible determinatives; Lackadaisical Security compiled lexicon.</w:t>
      </w:r>
    </w:p>
    <w:bookmarkEnd w:id="57"/>
    <w:bookmarkStart w:id="58" w:name="glyph-67-palm-tree"/>
    <w:p>
      <w:pPr>
        <w:pStyle w:val="Heading3"/>
      </w:pPr>
      <w:r>
        <w:t xml:space="preserve">Glyph 67: Palm Tree 🌴</w:t>
      </w:r>
    </w:p>
    <w:p>
      <w:pPr>
        <w:pStyle w:val="FirstParagraph"/>
      </w:pPr>
      <w:r>
        <w:rPr>
          <w:b/>
          <w:bCs/>
        </w:rPr>
        <w:t xml:space="preserve">Meaning:</w:t>
      </w:r>
      <w:r>
        <w:t xml:space="preserve"> </w:t>
      </w:r>
      <w:r>
        <w:t xml:space="preserve">The extinct</w:t>
      </w:r>
      <w:r>
        <w:t xml:space="preserve"> </w:t>
      </w:r>
      <w:r>
        <w:rPr>
          <w:b/>
          <w:bCs/>
        </w:rPr>
        <w:t xml:space="preserve">Easter Island palm</w:t>
      </w:r>
      <w:r>
        <w:t xml:space="preserve"> </w:t>
      </w:r>
      <w:r>
        <w:t xml:space="preserve">(Paschalococos), often simply “palm tree.” Additionally, it may imply a</w:t>
      </w:r>
      <w:r>
        <w:t xml:space="preserve"> </w:t>
      </w:r>
      <w:r>
        <w:rPr>
          <w:b/>
          <w:bCs/>
        </w:rPr>
        <w:t xml:space="preserve">cycle/repetition</w:t>
      </w:r>
      <w:r>
        <w:t xml:space="preserve"> </w:t>
      </w:r>
      <w:r>
        <w:t xml:space="preserve">(due to regrowth).</w:t>
      </w:r>
      <w:r>
        <w:br/>
      </w:r>
      <w:r>
        <w:rPr>
          <w:b/>
          <w:bCs/>
        </w:rPr>
        <w:t xml:space="preserve">Transliteration:</w:t>
      </w:r>
      <w:r>
        <w:t xml:space="preserve"> </w:t>
      </w:r>
      <w:r>
        <w:rPr>
          <w:i/>
          <w:iCs/>
        </w:rPr>
        <w:t xml:space="preserve">niu</w:t>
      </w:r>
      <w:r>
        <w:t xml:space="preserve"> </w:t>
      </w:r>
      <w:r>
        <w:t xml:space="preserve">(Coconut/palm in Polynesian),</w:t>
      </w:r>
      <w:r>
        <w:t xml:space="preserve"> </w:t>
      </w:r>
      <w:r>
        <w:rPr>
          <w:i/>
          <w:iCs/>
        </w:rPr>
        <w:t xml:space="preserve">Paschalococos</w:t>
      </w:r>
      <w:r>
        <w:t xml:space="preserve"> </w:t>
      </w:r>
      <w:r>
        <w:t xml:space="preserve">(scientific name of Rapa Nui palm),</w:t>
      </w:r>
      <w:r>
        <w:t xml:space="preserve"> </w:t>
      </w:r>
      <w:r>
        <w:rPr>
          <w:i/>
          <w:iCs/>
        </w:rPr>
        <w:t xml:space="preserve">Rongo</w:t>
      </w:r>
      <w:r>
        <w:t xml:space="preserve"> </w:t>
      </w:r>
      <w:r>
        <w:t xml:space="preserve">(possibly referencing the god of agriculture whose name means palm in some contexts),</w:t>
      </w:r>
      <w:r>
        <w:t xml:space="preserve"> </w:t>
      </w:r>
      <w:r>
        <w:rPr>
          <w:i/>
          <w:iCs/>
        </w:rPr>
        <w:t xml:space="preserve">pae</w:t>
      </w:r>
      <w:r>
        <w:t xml:space="preserve"> </w:t>
      </w:r>
      <w:r>
        <w:t xml:space="preserve">(“to end, to repeal” or cyclical?).</w:t>
      </w:r>
      <w:r>
        <w:br/>
      </w:r>
      <w:r>
        <w:rPr>
          <w:b/>
          <w:bCs/>
        </w:rPr>
        <w:t xml:space="preserve">Context &amp; Usage:</w:t>
      </w:r>
      <w:r>
        <w:t xml:space="preserve"> </w:t>
      </w:r>
      <w:r>
        <w:t xml:space="preserve">Appears in the Mamari lunar calendar and elsewhere. One interpretation is that it marks the</w:t>
      </w:r>
      <w:r>
        <w:t xml:space="preserve"> </w:t>
      </w:r>
      <w:r>
        <w:rPr>
          <w:i/>
          <w:iCs/>
        </w:rPr>
        <w:t xml:space="preserve">waning half</w:t>
      </w:r>
      <w:r>
        <w:t xml:space="preserve"> </w:t>
      </w:r>
      <w:r>
        <w:t xml:space="preserve">of the lunar month (when the moon is “extinct” like the now-extinct palm). It could also denote the concept of a cycle, as palm trees were used to track seasons or because the word for palm might pun with “repeat” (</w:t>
      </w:r>
      <w:r>
        <w:rPr>
          <w:i/>
          <w:iCs/>
        </w:rPr>
        <w:t xml:space="preserve">pae</w:t>
      </w:r>
      <w:r>
        <w:t xml:space="preserve"> </w:t>
      </w:r>
      <w:r>
        <w:t xml:space="preserve">meaning to end and start anew). It is also plausible it appears in genealogies as a totem plant.</w:t>
      </w:r>
      <w:r>
        <w:br/>
      </w:r>
      <w:r>
        <w:rPr>
          <w:b/>
          <w:bCs/>
        </w:rPr>
        <w:t xml:space="preserve">Notes:</w:t>
      </w:r>
      <w:r>
        <w:t xml:space="preserve"> </w:t>
      </w:r>
      <w:r>
        <w:t xml:space="preserve">Depicted as a tall trunk with fronds. The extinct palm was crucial on Rapa Nui (for ropes, thatch), so its presence in the script is logical. The lexicon notes it “may also signify cycle or repeat”, suggesting it had a dual literal and abstract meaning (perhaps the palm’s fruiting cycle marking time). In Polynesian cosmology, trees often symbolize continuity, reinforcing the cycle notion.</w:t>
      </w:r>
      <w:r>
        <w:br/>
      </w:r>
      <w:r>
        <w:rPr>
          <w:i/>
          <w:iCs/>
        </w:rPr>
        <w:t xml:space="preserve">Sources: Horley (2011) – identification of glyph in calendar; Lackadaisical Security analysis.</w:t>
      </w:r>
    </w:p>
    <w:bookmarkEnd w:id="58"/>
    <w:bookmarkStart w:id="63" w:name="glyph-74-fruit-hua"/>
    <w:p>
      <w:pPr>
        <w:pStyle w:val="Heading3"/>
      </w:pPr>
      <w:r>
        <w:t xml:space="preserve">Glyph 74: Fruit (Hua) 🍏</w:t>
      </w:r>
    </w:p>
    <w:p>
      <w:pPr>
        <w:pStyle w:val="FirstParagraph"/>
      </w:pPr>
      <w:r>
        <w:rPr>
          <w:b/>
          <w:bCs/>
        </w:rPr>
        <w:t xml:space="preserve">Meaning:</w:t>
      </w:r>
      <w:r>
        <w:t xml:space="preserve"> </w:t>
      </w:r>
      <w:r>
        <w:t xml:space="preserve">A</w:t>
      </w:r>
      <w:r>
        <w:t xml:space="preserve"> </w:t>
      </w:r>
      <w:r>
        <w:rPr>
          <w:b/>
          <w:bCs/>
        </w:rPr>
        <w:t xml:space="preserve">fruit</w:t>
      </w:r>
      <w:r>
        <w:t xml:space="preserve"> </w:t>
      </w:r>
      <w:r>
        <w:t xml:space="preserve">symbol, specifically tied to the</w:t>
      </w:r>
      <w:r>
        <w:t xml:space="preserve"> </w:t>
      </w:r>
      <w:r>
        <w:rPr>
          <w:b/>
          <w:bCs/>
        </w:rPr>
        <w:t xml:space="preserve">first quarter moon</w:t>
      </w:r>
      <w:r>
        <w:t xml:space="preserve"> </w:t>
      </w:r>
      <w:r>
        <w:t xml:space="preserve">night called</w:t>
      </w:r>
      <w:r>
        <w:t xml:space="preserve"> </w:t>
      </w:r>
      <w:r>
        <w:rPr>
          <w:i/>
          <w:iCs/>
        </w:rPr>
        <w:t xml:space="preserve">Hua</w:t>
      </w:r>
      <w:r>
        <w:t xml:space="preserve"> </w:t>
      </w:r>
      <w:r>
        <w:t xml:space="preserve">(“fruit” in Rapanui).</w:t>
      </w:r>
      <w:r>
        <w:br/>
      </w:r>
      <w:r>
        <w:rPr>
          <w:b/>
          <w:bCs/>
        </w:rPr>
        <w:t xml:space="preserve">Transliteration:</w:t>
      </w:r>
      <w:r>
        <w:t xml:space="preserve"> </w:t>
      </w:r>
      <w:r>
        <w:rPr>
          <w:i/>
          <w:iCs/>
        </w:rPr>
        <w:t xml:space="preserve">hua</w:t>
      </w:r>
      <w:r>
        <w:t xml:space="preserve"> </w:t>
      </w:r>
      <w:r>
        <w:t xml:space="preserve">(“fruit, egg, seed” – also name of the moon’s first quarter night).</w:t>
      </w:r>
      <w:r>
        <w:br/>
      </w:r>
      <w:r>
        <w:rPr>
          <w:b/>
          <w:bCs/>
        </w:rPr>
        <w:t xml:space="preserve">Context &amp; Usage:</w:t>
      </w:r>
      <w:r>
        <w:t xml:space="preserve"> </w:t>
      </w:r>
      <w:r>
        <w:t xml:space="preserve">Found on tablet</w:t>
      </w:r>
      <w:r>
        <w:t xml:space="preserve"> </w:t>
      </w:r>
      <w:r>
        <w:rPr>
          <w:i/>
          <w:iCs/>
        </w:rPr>
        <w:t xml:space="preserve">Mamari</w:t>
      </w:r>
      <w:r>
        <w:t xml:space="preserve"> </w:t>
      </w:r>
      <w:r>
        <w:t xml:space="preserve">in the lunar calendar sequence to mark the night when the moon is quarter-full</w:t>
      </w:r>
      <w:hyperlink r:id="rId59">
        <w:r>
          <w:rPr>
            <w:rStyle w:val="Hyperlink"/>
          </w:rPr>
          <w:t xml:space="preserve">[17]</w:t>
        </w:r>
      </w:hyperlink>
      <w:hyperlink r:id="rId60">
        <w:r>
          <w:rPr>
            <w:rStyle w:val="Hyperlink"/>
          </w:rPr>
          <w:t xml:space="preserve">[18]</w:t>
        </w:r>
      </w:hyperlink>
      <w:r>
        <w:t xml:space="preserve">. In that context, the swelling moon is likened to a growing fruit. Outside the calendar, this glyph could signify actual fruit or the concept of fruition/ripeness. It also carries connotations of fertility and growth (e.g. a clan’s prosperity).</w:t>
      </w:r>
      <w:r>
        <w:br/>
      </w:r>
      <w:r>
        <w:rPr>
          <w:b/>
          <w:bCs/>
        </w:rPr>
        <w:t xml:space="preserve">Notes:</w:t>
      </w:r>
      <w:r>
        <w:t xml:space="preserve"> </w:t>
      </w:r>
      <w:r>
        <w:t xml:space="preserve">Drawn as a round shape often with a small stem or attachment, reminiscent of a fruit. The identification is strongly supported by the Polynesian metaphor equating the waxing moon with a fruit growing round</w:t>
      </w:r>
      <w:hyperlink r:id="rId59">
        <w:r>
          <w:rPr>
            <w:rStyle w:val="Hyperlink"/>
          </w:rPr>
          <w:t xml:space="preserve">[17]</w:t>
        </w:r>
      </w:hyperlink>
      <w:hyperlink r:id="rId60">
        <w:r>
          <w:rPr>
            <w:rStyle w:val="Hyperlink"/>
          </w:rPr>
          <w:t xml:space="preserve">[18]</w:t>
        </w:r>
      </w:hyperlink>
      <w:r>
        <w:t xml:space="preserve">. Researchers like Guy and Horley noted that</w:t>
      </w:r>
      <w:r>
        <w:t xml:space="preserve"> </w:t>
      </w:r>
      <w:r>
        <w:rPr>
          <w:i/>
          <w:iCs/>
        </w:rPr>
        <w:t xml:space="preserve">Hua</w:t>
      </w:r>
      <w:r>
        <w:t xml:space="preserve"> </w:t>
      </w:r>
      <w:r>
        <w:t xml:space="preserve">was a known term in other island lunar calendars for the first quarter moon. Thus, glyph 74 is one of the clearest phonetic readings in Rongorongo (matching Rapanui word</w:t>
      </w:r>
      <w:r>
        <w:t xml:space="preserve"> </w:t>
      </w:r>
      <w:r>
        <w:rPr>
          <w:i/>
          <w:iCs/>
        </w:rPr>
        <w:t xml:space="preserve">hua</w:t>
      </w:r>
      <w:r>
        <w:t xml:space="preserve">). Confidence is very high (≈0.9) given its clear context</w:t>
      </w:r>
      <w:hyperlink r:id="rId61">
        <w:r>
          <w:rPr>
            <w:rStyle w:val="Hyperlink"/>
          </w:rPr>
          <w:t xml:space="preserve">[19]</w:t>
        </w:r>
      </w:hyperlink>
      <w:hyperlink r:id="rId59">
        <w:r>
          <w:rPr>
            <w:rStyle w:val="Hyperlink"/>
          </w:rPr>
          <w:t xml:space="preserve">[17]</w:t>
        </w:r>
      </w:hyperlink>
      <w:r>
        <w:t xml:space="preserve">.</w:t>
      </w:r>
      <w:r>
        <w:br/>
      </w:r>
      <w:r>
        <w:rPr>
          <w:i/>
          <w:iCs/>
        </w:rPr>
        <w:t xml:space="preserve">Sources: Horley 2011</w:t>
      </w:r>
      <w:hyperlink r:id="rId62">
        <w:r>
          <w:rPr>
            <w:rStyle w:val="Hyperlink"/>
            <w:i/>
            <w:iCs/>
          </w:rPr>
          <w:t xml:space="preserve">[20]</w:t>
        </w:r>
      </w:hyperlink>
      <w:r>
        <w:rPr>
          <w:i/>
          <w:iCs/>
        </w:rPr>
        <w:t xml:space="preserve">; Guy 1990 (Polynesian lunar calendar comparisons).</w:t>
      </w:r>
    </w:p>
    <w:bookmarkEnd w:id="63"/>
    <w:bookmarkStart w:id="65" w:name="glyph-72-sprout-hotu"/>
    <w:p>
      <w:pPr>
        <w:pStyle w:val="Heading3"/>
      </w:pPr>
      <w:r>
        <w:t xml:space="preserve">Glyph 72: Sprout (Hotu) 🌱</w:t>
      </w:r>
    </w:p>
    <w:p>
      <w:pPr>
        <w:pStyle w:val="FirstParagraph"/>
      </w:pPr>
      <w:r>
        <w:rPr>
          <w:b/>
          <w:bCs/>
        </w:rPr>
        <w:t xml:space="preserve">Meaning:</w:t>
      </w:r>
      <w:r>
        <w:t xml:space="preserve"> </w:t>
      </w:r>
      <w:r>
        <w:t xml:space="preserve">A</w:t>
      </w:r>
      <w:r>
        <w:t xml:space="preserve"> </w:t>
      </w:r>
      <w:r>
        <w:rPr>
          <w:b/>
          <w:bCs/>
        </w:rPr>
        <w:t xml:space="preserve">sprouting plant</w:t>
      </w:r>
      <w:r>
        <w:t xml:space="preserve"> </w:t>
      </w:r>
      <w:r>
        <w:t xml:space="preserve">shoot, associated with the lunar night name</w:t>
      </w:r>
      <w:r>
        <w:t xml:space="preserve"> </w:t>
      </w:r>
      <w:r>
        <w:rPr>
          <w:i/>
          <w:iCs/>
        </w:rPr>
        <w:t xml:space="preserve">Hotu</w:t>
      </w:r>
      <w:r>
        <w:t xml:space="preserve"> </w:t>
      </w:r>
      <w:r>
        <w:t xml:space="preserve">(meaning “to sprout/fruit”).</w:t>
      </w:r>
      <w:r>
        <w:br/>
      </w:r>
      <w:r>
        <w:rPr>
          <w:b/>
          <w:bCs/>
        </w:rPr>
        <w:t xml:space="preserve">Transliteration:</w:t>
      </w:r>
      <w:r>
        <w:t xml:space="preserve"> </w:t>
      </w:r>
      <w:r>
        <w:rPr>
          <w:i/>
          <w:iCs/>
        </w:rPr>
        <w:t xml:space="preserve">hotu</w:t>
      </w:r>
      <w:r>
        <w:t xml:space="preserve"> </w:t>
      </w:r>
      <w:r>
        <w:t xml:space="preserve">(“to sprout” or name of a specific moon night in Rapanui).</w:t>
      </w:r>
      <w:r>
        <w:br/>
      </w:r>
      <w:r>
        <w:rPr>
          <w:b/>
          <w:bCs/>
        </w:rPr>
        <w:t xml:space="preserve">Context &amp; Usage:</w:t>
      </w:r>
      <w:r>
        <w:t xml:space="preserve"> </w:t>
      </w:r>
      <w:r>
        <w:t xml:space="preserve">Occurs near the end of the lunar calendar sequence (just before the new moon). On</w:t>
      </w:r>
      <w:r>
        <w:t xml:space="preserve"> </w:t>
      </w:r>
      <w:r>
        <w:rPr>
          <w:i/>
          <w:iCs/>
        </w:rPr>
        <w:t xml:space="preserve">Mamari</w:t>
      </w:r>
      <w:r>
        <w:t xml:space="preserve">, after the full moon, a glyph of a sprout appears to signal</w:t>
      </w:r>
      <w:r>
        <w:t xml:space="preserve"> </w:t>
      </w:r>
      <w:r>
        <w:rPr>
          <w:i/>
          <w:iCs/>
        </w:rPr>
        <w:t xml:space="preserve">Hotu</w:t>
      </w:r>
      <w:r>
        <w:t xml:space="preserve">, a waning crescent night when plants were metaphorically “sprouting” anew</w:t>
      </w:r>
      <w:hyperlink r:id="rId64">
        <w:r>
          <w:rPr>
            <w:rStyle w:val="Hyperlink"/>
          </w:rPr>
          <w:t xml:space="preserve">[21]</w:t>
        </w:r>
      </w:hyperlink>
      <w:r>
        <w:t xml:space="preserve">. Culturally, it aligns with the idea of renewal as the moon’s cycle is about to restart. Outside the calendar, it could simply mean a young plant or new growth.</w:t>
      </w:r>
      <w:r>
        <w:br/>
      </w:r>
      <w:r>
        <w:rPr>
          <w:b/>
          <w:bCs/>
        </w:rPr>
        <w:t xml:space="preserve">Notes:</w:t>
      </w:r>
      <w:r>
        <w:t xml:space="preserve"> </w:t>
      </w:r>
      <w:r>
        <w:t xml:space="preserve">Depicted as a small plant with one or two leaves emerging from the ground. This glyph underscores how closely agricultural cycles were tied to lunar cycles in Rapa Nui tradition.</w:t>
      </w:r>
      <w:r>
        <w:t xml:space="preserve"> </w:t>
      </w:r>
      <w:r>
        <w:rPr>
          <w:i/>
          <w:iCs/>
        </w:rPr>
        <w:t xml:space="preserve">Hotu</w:t>
      </w:r>
      <w:r>
        <w:t xml:space="preserve"> </w:t>
      </w:r>
      <w:r>
        <w:t xml:space="preserve">as a word can mean “to bear fruit” (as in the name of the legendary king Hotu Matuꞌa, “the proliferating”). The glyph’s placement “near dark moon period” is explicitly noted in the lexicon</w:t>
      </w:r>
      <w:hyperlink r:id="rId64">
        <w:r>
          <w:rPr>
            <w:rStyle w:val="Hyperlink"/>
          </w:rPr>
          <w:t xml:space="preserve">[21]</w:t>
        </w:r>
      </w:hyperlink>
      <w:r>
        <w:t xml:space="preserve">. Thus it has a confirmed calendrical role and a likely literal meaning of a plant shoot.</w:t>
      </w:r>
      <w:r>
        <w:br/>
      </w:r>
      <w:r>
        <w:rPr>
          <w:i/>
          <w:iCs/>
        </w:rPr>
        <w:t xml:space="preserve">Sources: Lackadaisical Security notes; ethnolinguistic analysis of lunar month names.</w:t>
      </w:r>
    </w:p>
    <w:bookmarkEnd w:id="65"/>
    <w:bookmarkEnd w:id="66"/>
    <w:bookmarkStart w:id="77" w:name="Xd91766b55345df9d1c5dad8b615113962dfffc2"/>
    <w:p>
      <w:pPr>
        <w:pStyle w:val="Heading2"/>
      </w:pPr>
      <w:r>
        <w:t xml:space="preserve">Celestial and Temporal Glyphs (Natural Cycles)</w:t>
      </w:r>
    </w:p>
    <w:p>
      <w:pPr>
        <w:pStyle w:val="FirstParagraph"/>
      </w:pPr>
      <w:r>
        <w:t xml:space="preserve">These glyphs relate to the sky, heavenly bodies, and time-keeping cycles. Easter Island’s rongorongo includes a documented</w:t>
      </w:r>
      <w:r>
        <w:t xml:space="preserve"> </w:t>
      </w:r>
      <w:r>
        <w:rPr>
          <w:b/>
          <w:bCs/>
        </w:rPr>
        <w:t xml:space="preserve">lunar calendar</w:t>
      </w:r>
      <w:r>
        <w:t xml:space="preserve"> </w:t>
      </w:r>
      <w:r>
        <w:t xml:space="preserve">and possibly other time markers</w:t>
      </w:r>
      <w:hyperlink r:id="rId23">
        <w:r>
          <w:rPr>
            <w:rStyle w:val="Hyperlink"/>
          </w:rPr>
          <w:t xml:space="preserve">[3]</w:t>
        </w:r>
      </w:hyperlink>
      <w:r>
        <w:t xml:space="preserve">. Many celestial glyphs have dual roles as both astronomical indicators and symbolic figures in myth.</w:t>
      </w:r>
    </w:p>
    <w:bookmarkStart w:id="69" w:name="glyph-8-sun-star"/>
    <w:p>
      <w:pPr>
        <w:pStyle w:val="Heading3"/>
      </w:pPr>
      <w:r>
        <w:t xml:space="preserve">Glyph 8: Sun / Star ☀️</w:t>
      </w:r>
    </w:p>
    <w:p>
      <w:pPr>
        <w:pStyle w:val="FirstParagraph"/>
      </w:pPr>
      <w:r>
        <w:rPr>
          <w:b/>
          <w:bCs/>
        </w:rPr>
        <w:t xml:space="preserve">Meaning:</w:t>
      </w:r>
      <w:r>
        <w:t xml:space="preserve"> </w:t>
      </w:r>
      <w:r>
        <w:t xml:space="preserve">A</w:t>
      </w:r>
      <w:r>
        <w:t xml:space="preserve"> </w:t>
      </w:r>
      <w:r>
        <w:rPr>
          <w:b/>
          <w:bCs/>
        </w:rPr>
        <w:t xml:space="preserve">radiant sun</w:t>
      </w:r>
      <w:r>
        <w:t xml:space="preserve"> </w:t>
      </w:r>
      <w:r>
        <w:t xml:space="preserve">glyph (also interpretable as a star in some contexts). Represents light, day, or the sun deity.</w:t>
      </w:r>
      <w:r>
        <w:br/>
      </w:r>
      <w:r>
        <w:rPr>
          <w:b/>
          <w:bCs/>
        </w:rPr>
        <w:t xml:space="preserve">Transliteration:</w:t>
      </w:r>
      <w:r>
        <w:t xml:space="preserve"> </w:t>
      </w:r>
      <w:r>
        <w:rPr>
          <w:i/>
          <w:iCs/>
        </w:rPr>
        <w:t xml:space="preserve">ra‘a</w:t>
      </w:r>
      <w:r>
        <w:t xml:space="preserve"> </w:t>
      </w:r>
      <w:r>
        <w:t xml:space="preserve">(sun in Rapanui, similar to</w:t>
      </w:r>
      <w:r>
        <w:t xml:space="preserve"> </w:t>
      </w:r>
      <w:r>
        <w:rPr>
          <w:i/>
          <w:iCs/>
        </w:rPr>
        <w:t xml:space="preserve">ra</w:t>
      </w:r>
      <w:r>
        <w:t xml:space="preserve"> </w:t>
      </w:r>
      <w:r>
        <w:t xml:space="preserve">in Tahitian),</w:t>
      </w:r>
      <w:r>
        <w:t xml:space="preserve"> </w:t>
      </w:r>
      <w:r>
        <w:rPr>
          <w:i/>
          <w:iCs/>
        </w:rPr>
        <w:t xml:space="preserve">ahi</w:t>
      </w:r>
      <w:r>
        <w:t xml:space="preserve"> </w:t>
      </w:r>
      <w:r>
        <w:t xml:space="preserve">(“fire” – for the sun’s heat),</w:t>
      </w:r>
      <w:r>
        <w:t xml:space="preserve"> </w:t>
      </w:r>
      <w:r>
        <w:rPr>
          <w:i/>
          <w:iCs/>
        </w:rPr>
        <w:t xml:space="preserve">hetuʻu</w:t>
      </w:r>
      <w:r>
        <w:t xml:space="preserve"> </w:t>
      </w:r>
      <w:r>
        <w:t xml:space="preserve">(“star” in Rapanui),</w:t>
      </w:r>
      <w:r>
        <w:t xml:space="preserve"> </w:t>
      </w:r>
      <w:r>
        <w:rPr>
          <w:i/>
          <w:iCs/>
        </w:rPr>
        <w:t xml:space="preserve">mārama</w:t>
      </w:r>
      <w:r>
        <w:t xml:space="preserve"> </w:t>
      </w:r>
      <w:r>
        <w:t xml:space="preserve">(“light”).</w:t>
      </w:r>
      <w:r>
        <w:br/>
      </w:r>
      <w:r>
        <w:rPr>
          <w:b/>
          <w:bCs/>
        </w:rPr>
        <w:t xml:space="preserve">Context &amp; Usage:</w:t>
      </w:r>
      <w:r>
        <w:t xml:space="preserve"> </w:t>
      </w:r>
      <w:r>
        <w:t xml:space="preserve">Appears in creation chants and any references to daylight or the sky. Steven Fischer famously identified glyph 8 as “sun” in a procreative sequence on the Santiago Staff</w:t>
      </w:r>
      <w:hyperlink r:id="rId31">
        <w:r>
          <w:rPr>
            <w:rStyle w:val="Hyperlink"/>
          </w:rPr>
          <w:t xml:space="preserve">[8]</w:t>
        </w:r>
      </w:hyperlink>
      <w:r>
        <w:t xml:space="preserve">. It also could mark daytime events or the notion of completeness (full light). Occasionally it might serve as a determinative for bright or celestial objects.</w:t>
      </w:r>
      <w:r>
        <w:br/>
      </w:r>
      <w:r>
        <w:rPr>
          <w:b/>
          <w:bCs/>
        </w:rPr>
        <w:t xml:space="preserve">Notes:</w:t>
      </w:r>
      <w:r>
        <w:t xml:space="preserve"> </w:t>
      </w:r>
      <w:r>
        <w:t xml:space="preserve">Depicted as a circular shape with rays or an internal dot. Its identification as the sun is widely accepted</w:t>
      </w:r>
      <w:hyperlink r:id="rId31">
        <w:r>
          <w:rPr>
            <w:rStyle w:val="Hyperlink"/>
          </w:rPr>
          <w:t xml:space="preserve">[8]</w:t>
        </w:r>
      </w:hyperlink>
      <w:hyperlink r:id="rId67">
        <w:r>
          <w:rPr>
            <w:rStyle w:val="Hyperlink"/>
          </w:rPr>
          <w:t xml:space="preserve">[22]</w:t>
        </w:r>
      </w:hyperlink>
      <w:r>
        <w:t xml:space="preserve">. Interestingly, the lexicon shows alternative reading as</w:t>
      </w:r>
      <w:r>
        <w:t xml:space="preserve"> </w:t>
      </w:r>
      <w:r>
        <w:rPr>
          <w:i/>
          <w:iCs/>
        </w:rPr>
        <w:t xml:space="preserve">hetuʻu</w:t>
      </w:r>
      <w:r>
        <w:t xml:space="preserve"> </w:t>
      </w:r>
      <w:r>
        <w:t xml:space="preserve">(star), suggesting the glyph can mean any luminous celestial body depending on context. In Fischer’s translation of the staff, the sequence “fish, sun” was read literally, giving credence to this interpretation</w:t>
      </w:r>
      <w:hyperlink r:id="rId68">
        <w:r>
          <w:rPr>
            <w:rStyle w:val="Hyperlink"/>
          </w:rPr>
          <w:t xml:space="preserve">[23]</w:t>
        </w:r>
      </w:hyperlink>
      <w:r>
        <w:t xml:space="preserve">. The sun glyph is central to understanding any cosmological content in rongorongo.</w:t>
      </w:r>
      <w:r>
        <w:br/>
      </w:r>
      <w:r>
        <w:rPr>
          <w:i/>
          <w:iCs/>
        </w:rPr>
        <w:t xml:space="preserve">Sources: Fischer 1997 (glyph 8 = “sun”)</w:t>
      </w:r>
      <w:hyperlink r:id="rId31">
        <w:r>
          <w:rPr>
            <w:rStyle w:val="Hyperlink"/>
            <w:i/>
            <w:iCs/>
          </w:rPr>
          <w:t xml:space="preserve">[8]</w:t>
        </w:r>
      </w:hyperlink>
      <w:r>
        <w:rPr>
          <w:i/>
          <w:iCs/>
        </w:rPr>
        <w:t xml:space="preserve">; Omniglot (sun/star as common symbols)</w:t>
      </w:r>
      <w:hyperlink r:id="rId21">
        <w:r>
          <w:rPr>
            <w:rStyle w:val="Hyperlink"/>
            <w:i/>
            <w:iCs/>
          </w:rPr>
          <w:t xml:space="preserve">[1]</w:t>
        </w:r>
      </w:hyperlink>
      <w:r>
        <w:rPr>
          <w:i/>
          <w:iCs/>
        </w:rPr>
        <w:t xml:space="preserve">.</w:t>
      </w:r>
    </w:p>
    <w:bookmarkEnd w:id="69"/>
    <w:bookmarkStart w:id="71" w:name="glyph-152-full-moon"/>
    <w:p>
      <w:pPr>
        <w:pStyle w:val="Heading3"/>
      </w:pPr>
      <w:r>
        <w:t xml:space="preserve">Glyph 152: Full Moon 🌕</w:t>
      </w:r>
    </w:p>
    <w:p>
      <w:pPr>
        <w:pStyle w:val="FirstParagraph"/>
      </w:pPr>
      <w:r>
        <w:rPr>
          <w:b/>
          <w:bCs/>
        </w:rPr>
        <w:t xml:space="preserve">Meaning:</w:t>
      </w:r>
      <w:r>
        <w:t xml:space="preserve"> </w:t>
      </w:r>
      <w:r>
        <w:t xml:space="preserve">The</w:t>
      </w:r>
      <w:r>
        <w:t xml:space="preserve"> </w:t>
      </w:r>
      <w:r>
        <w:rPr>
          <w:b/>
          <w:bCs/>
        </w:rPr>
        <w:t xml:space="preserve">full moon</w:t>
      </w:r>
      <w:r>
        <w:t xml:space="preserve"> </w:t>
      </w:r>
      <w:r>
        <w:t xml:space="preserve">glyph, often personified or given a name (e.g. “Old Woman Lighting the Oven in the Sky”). Signifies completeness of the lunar cycle.</w:t>
      </w:r>
      <w:r>
        <w:br/>
      </w:r>
      <w:r>
        <w:rPr>
          <w:b/>
          <w:bCs/>
        </w:rPr>
        <w:t xml:space="preserve">Transliteration:</w:t>
      </w:r>
      <w:r>
        <w:t xml:space="preserve"> </w:t>
      </w:r>
      <w:r>
        <w:rPr>
          <w:i/>
          <w:iCs/>
        </w:rPr>
        <w:t xml:space="preserve">Omotohi</w:t>
      </w:r>
      <w:r>
        <w:t xml:space="preserve"> </w:t>
      </w:r>
      <w:r>
        <w:t xml:space="preserve">(likely the Rapanui name for the full moon night),</w:t>
      </w:r>
      <w:r>
        <w:t xml:space="preserve"> </w:t>
      </w:r>
      <w:r>
        <w:rPr>
          <w:i/>
          <w:iCs/>
        </w:rPr>
        <w:t xml:space="preserve">oti</w:t>
      </w:r>
      <w:r>
        <w:t xml:space="preserve"> </w:t>
      </w:r>
      <w:r>
        <w:t xml:space="preserve">(“finished” in many Polynesian languages),</w:t>
      </w:r>
      <w:r>
        <w:t xml:space="preserve"> </w:t>
      </w:r>
      <w:r>
        <w:rPr>
          <w:i/>
          <w:iCs/>
        </w:rPr>
        <w:t xml:space="preserve">katoa</w:t>
      </w:r>
      <w:r>
        <w:t xml:space="preserve"> </w:t>
      </w:r>
      <w:r>
        <w:t xml:space="preserve">(“entire, all”),</w:t>
      </w:r>
      <w:r>
        <w:t xml:space="preserve"> </w:t>
      </w:r>
      <w:r>
        <w:rPr>
          <w:i/>
          <w:iCs/>
        </w:rPr>
        <w:t xml:space="preserve">mahina</w:t>
      </w:r>
      <w:r>
        <w:t xml:space="preserve"> </w:t>
      </w:r>
      <w:r>
        <w:t xml:space="preserve">(generic Polynesian word for moon).</w:t>
      </w:r>
      <w:r>
        <w:br/>
      </w:r>
      <w:r>
        <w:rPr>
          <w:b/>
          <w:bCs/>
        </w:rPr>
        <w:t xml:space="preserve">Context &amp; Usage:</w:t>
      </w:r>
      <w:r>
        <w:t xml:space="preserve"> </w:t>
      </w:r>
      <w:r>
        <w:t xml:space="preserve">Found at the midpoint of the Mamari lunar calendar (night 15 of 30)</w:t>
      </w:r>
      <w:hyperlink r:id="rId70">
        <w:r>
          <w:rPr>
            <w:rStyle w:val="Hyperlink"/>
          </w:rPr>
          <w:t xml:space="preserve">[24]</w:t>
        </w:r>
      </w:hyperlink>
      <w:r>
        <w:t xml:space="preserve">. It denotes the full moon night, when rituals would be performed. The elaborate epithet “old woman lighting the oven in the sky” suggests a mythological description of the full moon’s brightness【55†】. The glyph may also appear in any context emphasizing totality or brightness.</w:t>
      </w:r>
      <w:r>
        <w:br/>
      </w:r>
      <w:r>
        <w:rPr>
          <w:b/>
          <w:bCs/>
        </w:rPr>
        <w:t xml:space="preserve">Notes:</w:t>
      </w:r>
      <w:r>
        <w:t xml:space="preserve"> </w:t>
      </w:r>
      <w:r>
        <w:t xml:space="preserve">Drawn as a large circular disk with possibly markings (to distinguish it from sun glyph, it may have internal cross-hatching). Ethnographically, many Pacific cultures personify the full moon as a grandmother figure tending a fire (hence the “oven” metaphor). The Rapanui term</w:t>
      </w:r>
      <w:r>
        <w:t xml:space="preserve"> </w:t>
      </w:r>
      <w:r>
        <w:rPr>
          <w:i/>
          <w:iCs/>
        </w:rPr>
        <w:t xml:space="preserve">Omotohi</w:t>
      </w:r>
      <w:r>
        <w:t xml:space="preserve"> </w:t>
      </w:r>
      <w:r>
        <w:t xml:space="preserve">likely refers to this concept. The confidence in this decipherment is high since Horley (2011) identified glyph 152 as the full moon in the Mamari text</w:t>
      </w:r>
      <w:hyperlink r:id="rId70">
        <w:r>
          <w:rPr>
            <w:rStyle w:val="Hyperlink"/>
          </w:rPr>
          <w:t xml:space="preserve">[24]</w:t>
        </w:r>
      </w:hyperlink>
      <w:r>
        <w:t xml:space="preserve">, matching it to known lunar lore.</w:t>
      </w:r>
      <w:r>
        <w:br/>
      </w:r>
      <w:r>
        <w:rPr>
          <w:i/>
          <w:iCs/>
        </w:rPr>
        <w:t xml:space="preserve">Sources: Horley 2011 (J. Soc. Océanistes) on Mamari calendar; Métraux 1940 for moon myths.</w:t>
      </w:r>
    </w:p>
    <w:bookmarkEnd w:id="71"/>
    <w:bookmarkStart w:id="72" w:name="glyph-78-maure-waning-gibbous"/>
    <w:p>
      <w:pPr>
        <w:pStyle w:val="Heading3"/>
      </w:pPr>
      <w:r>
        <w:t xml:space="preserve">Glyph 78: Maure (Waning Gibbous) 🌖</w:t>
      </w:r>
    </w:p>
    <w:p>
      <w:pPr>
        <w:pStyle w:val="FirstParagraph"/>
      </w:pPr>
      <w:r>
        <w:rPr>
          <w:b/>
          <w:bCs/>
        </w:rPr>
        <w:t xml:space="preserve">Meaning:</w:t>
      </w:r>
      <w:r>
        <w:t xml:space="preserve"> </w:t>
      </w:r>
      <w:r>
        <w:rPr>
          <w:b/>
          <w:bCs/>
        </w:rPr>
        <w:t xml:space="preserve">Maure</w:t>
      </w:r>
      <w:r>
        <w:t xml:space="preserve">, the night after the full moon – a waning gibbous phase characterized by diminishing light.</w:t>
      </w:r>
      <w:r>
        <w:br/>
      </w:r>
      <w:r>
        <w:rPr>
          <w:b/>
          <w:bCs/>
        </w:rPr>
        <w:t xml:space="preserve">Transliteration:</w:t>
      </w:r>
      <w:r>
        <w:t xml:space="preserve"> </w:t>
      </w:r>
      <w:r>
        <w:rPr>
          <w:i/>
          <w:iCs/>
        </w:rPr>
        <w:t xml:space="preserve">maure</w:t>
      </w:r>
      <w:r>
        <w:t xml:space="preserve"> </w:t>
      </w:r>
      <w:r>
        <w:t xml:space="preserve">(name of the lunar night immediately following full moon in Rapa Nui).</w:t>
      </w:r>
      <w:r>
        <w:br/>
      </w:r>
      <w:r>
        <w:rPr>
          <w:b/>
          <w:bCs/>
        </w:rPr>
        <w:t xml:space="preserve">Context &amp; Usage:</w:t>
      </w:r>
      <w:r>
        <w:t xml:space="preserve"> </w:t>
      </w:r>
      <w:r>
        <w:t xml:space="preserve">Appears right after the full moon glyph in the lunar sequence【57†】. It indicates the start of the moon’s waning. In calendars, this sign would signal to observers that the moon’s light is now decreasing. It might be accompanied by qualifiers meaning “diminishing” or “fading”.</w:t>
      </w:r>
      <w:r>
        <w:br/>
      </w:r>
      <w:r>
        <w:rPr>
          <w:b/>
          <w:bCs/>
        </w:rPr>
        <w:t xml:space="preserve">Notes:</w:t>
      </w:r>
      <w:r>
        <w:t xml:space="preserve"> </w:t>
      </w:r>
      <w:r>
        <w:t xml:space="preserve">Likely depicted as a crescent or partial circle with an indication of shrinking (perhaps a smaller crescent than the waxing one). The lexicon explicitly lists</w:t>
      </w:r>
      <w:r>
        <w:t xml:space="preserve"> </w:t>
      </w:r>
      <w:r>
        <w:rPr>
          <w:i/>
          <w:iCs/>
        </w:rPr>
        <w:t xml:space="preserve">Maure</w:t>
      </w:r>
      <w:r>
        <w:t xml:space="preserve"> </w:t>
      </w:r>
      <w:r>
        <w:t xml:space="preserve">and notes “waning gibbous moon night”【57†】. This identification comes from cross-comparing the sequence of known Mangarevan/Tuamotuan night names with the Mamari sequence (Guy, 1990). Maure’s inclusion shows the advanced understanding of the lunar aspect of Rongorongo.</w:t>
      </w:r>
      <w:r>
        <w:br/>
      </w:r>
      <w:r>
        <w:rPr>
          <w:i/>
          <w:iCs/>
        </w:rPr>
        <w:t xml:space="preserve">Sources: Guy (1990) lunar calendar analysis; Lackadaisical Security integration logs.</w:t>
      </w:r>
    </w:p>
    <w:bookmarkEnd w:id="72"/>
    <w:bookmarkStart w:id="73" w:name="glyph-143-rakau-night-14"/>
    <w:p>
      <w:pPr>
        <w:pStyle w:val="Heading3"/>
      </w:pPr>
      <w:r>
        <w:t xml:space="preserve">Glyph 143: Rakau (Night 14) 🌳</w:t>
      </w:r>
    </w:p>
    <w:p>
      <w:pPr>
        <w:pStyle w:val="FirstParagraph"/>
      </w:pPr>
      <w:r>
        <w:rPr>
          <w:b/>
          <w:bCs/>
        </w:rPr>
        <w:t xml:space="preserve">Meaning:</w:t>
      </w:r>
      <w:r>
        <w:t xml:space="preserve"> </w:t>
      </w:r>
      <w:r>
        <w:rPr>
          <w:b/>
          <w:bCs/>
        </w:rPr>
        <w:t xml:space="preserve">Rakau</w:t>
      </w:r>
      <w:r>
        <w:t xml:space="preserve">, literally “tree”, the night before full moon (14th night of the lunar month).</w:t>
      </w:r>
      <w:r>
        <w:br/>
      </w:r>
      <w:r>
        <w:rPr>
          <w:b/>
          <w:bCs/>
        </w:rPr>
        <w:t xml:space="preserve">Transliteration:</w:t>
      </w:r>
      <w:r>
        <w:t xml:space="preserve"> </w:t>
      </w:r>
      <w:r>
        <w:rPr>
          <w:i/>
          <w:iCs/>
        </w:rPr>
        <w:t xml:space="preserve">rakau</w:t>
      </w:r>
      <w:r>
        <w:t xml:space="preserve"> </w:t>
      </w:r>
      <w:r>
        <w:t xml:space="preserve">(“tree” in many Eastern Polynesian tongues, used here as a moon night name).</w:t>
      </w:r>
      <w:r>
        <w:br/>
      </w:r>
      <w:r>
        <w:rPr>
          <w:b/>
          <w:bCs/>
        </w:rPr>
        <w:t xml:space="preserve">Context &amp; Usage:</w:t>
      </w:r>
      <w:r>
        <w:t xml:space="preserve"> </w:t>
      </w:r>
      <w:r>
        <w:t xml:space="preserve">In the Mamari calendar, Rakau is the penultimate night leading up to full moon【85†】. The glyph likely shows a branching shape, echoing its literal meaning “tree.” It denotes that the moon is almost full (perhaps metaphor: the moon has grown tall like a tree). It may also hint at the idea of stability or pause before completion (the tree stands before fruition).</w:t>
      </w:r>
      <w:r>
        <w:br/>
      </w:r>
      <w:r>
        <w:rPr>
          <w:b/>
          <w:bCs/>
        </w:rPr>
        <w:t xml:space="preserve">Notes:</w:t>
      </w:r>
      <w:r>
        <w:t xml:space="preserve"> </w:t>
      </w:r>
      <w:r>
        <w:t xml:space="preserve">The use of a tree to name a moon night is attested in other Polynesian cultures (e.g. certain Tuamotuan calendars). The glyph’s form presumably is a simplified tree. The decipherment is supported by the position (one glyph before the full moon glyph in sequence) and the Rapanui term</w:t>
      </w:r>
      <w:r>
        <w:t xml:space="preserve"> </w:t>
      </w:r>
      <w:r>
        <w:rPr>
          <w:i/>
          <w:iCs/>
        </w:rPr>
        <w:t xml:space="preserve">rakau</w:t>
      </w:r>
      <w:r>
        <w:t xml:space="preserve">. While context types for this glyph were blank, the name itself is a strong clue. This showcases how rongorongo integrated natural world terms into timekeeping.</w:t>
      </w:r>
      <w:r>
        <w:br/>
      </w:r>
      <w:r>
        <w:rPr>
          <w:i/>
          <w:iCs/>
        </w:rPr>
        <w:t xml:space="preserve">Sources: Horley 2011; Gregorio de Souza 2023 overview</w:t>
      </w:r>
      <w:hyperlink r:id="rId23">
        <w:r>
          <w:rPr>
            <w:rStyle w:val="Hyperlink"/>
            <w:i/>
            <w:iCs/>
          </w:rPr>
          <w:t xml:space="preserve">[3]</w:t>
        </w:r>
      </w:hyperlink>
      <w:r>
        <w:rPr>
          <w:i/>
          <w:iCs/>
        </w:rPr>
        <w:t xml:space="preserve">.</w:t>
      </w:r>
    </w:p>
    <w:bookmarkEnd w:id="73"/>
    <w:bookmarkStart w:id="74" w:name="glyph-72-hotu-dark-moon-sprout"/>
    <w:p>
      <w:pPr>
        <w:pStyle w:val="Heading3"/>
      </w:pPr>
      <w:r>
        <w:t xml:space="preserve">Glyph 72: Hotu (Dark Moon Sprout) 🌱</w:t>
      </w:r>
    </w:p>
    <w:p>
      <w:pPr>
        <w:pStyle w:val="FirstParagraph"/>
      </w:pPr>
      <w:r>
        <w:rPr>
          <w:i/>
          <w:iCs/>
        </w:rPr>
        <w:t xml:space="preserve">(See glyph 72 under Botanical above for form details.)</w:t>
      </w:r>
      <w:r>
        <w:t xml:space="preserve"> </w:t>
      </w:r>
      <w:r>
        <w:rPr>
          <w:b/>
          <w:bCs/>
        </w:rPr>
        <w:t xml:space="preserve">Meaning:</w:t>
      </w:r>
      <w:r>
        <w:t xml:space="preserve"> </w:t>
      </w:r>
      <w:r>
        <w:t xml:space="preserve">In a celestial context, glyph 72 stands for</w:t>
      </w:r>
      <w:r>
        <w:t xml:space="preserve"> </w:t>
      </w:r>
      <w:r>
        <w:rPr>
          <w:b/>
          <w:bCs/>
        </w:rPr>
        <w:t xml:space="preserve">Hotu</w:t>
      </w:r>
      <w:r>
        <w:t xml:space="preserve">, a late lunar phase (just before new moon). It signifies the idea of new life sprouting as the old moon dies. Hotu in the calendar indicates the anticipation of renewal when the next moon cycle will start</w:t>
      </w:r>
      <w:hyperlink r:id="rId64">
        <w:r>
          <w:rPr>
            <w:rStyle w:val="Hyperlink"/>
          </w:rPr>
          <w:t xml:space="preserve">[21]</w:t>
        </w:r>
      </w:hyperlink>
      <w:r>
        <w:t xml:space="preserve">. The sprout metaphorically assures that even as darkness comes (no moon), life will spring again.</w:t>
      </w:r>
      <w:r>
        <w:br/>
      </w:r>
      <w:r>
        <w:rPr>
          <w:i/>
          <w:iCs/>
        </w:rPr>
        <w:t xml:space="preserve">Sources: Linked to lunar calendar interpretations by Guy and Horley.</w:t>
      </w:r>
    </w:p>
    <w:bookmarkEnd w:id="74"/>
    <w:bookmarkStart w:id="75" w:name="glyph-61-sky-night-celestial-dome"/>
    <w:p>
      <w:pPr>
        <w:pStyle w:val="Heading3"/>
      </w:pPr>
      <w:r>
        <w:t xml:space="preserve">Glyph 61: Sky / Night (Celestial Dome) 🌌</w:t>
      </w:r>
    </w:p>
    <w:p>
      <w:pPr>
        <w:pStyle w:val="FirstParagraph"/>
      </w:pPr>
      <w:r>
        <w:rPr>
          <w:b/>
          <w:bCs/>
        </w:rPr>
        <w:t xml:space="preserve">Meaning:</w:t>
      </w:r>
      <w:r>
        <w:t xml:space="preserve"> </w:t>
      </w:r>
      <w:r>
        <w:t xml:space="preserve">An abstract representation of the</w:t>
      </w:r>
      <w:r>
        <w:t xml:space="preserve"> </w:t>
      </w:r>
      <w:r>
        <w:rPr>
          <w:b/>
          <w:bCs/>
        </w:rPr>
        <w:t xml:space="preserve">sky</w:t>
      </w:r>
      <w:r>
        <w:t xml:space="preserve"> </w:t>
      </w:r>
      <w:r>
        <w:t xml:space="preserve">or</w:t>
      </w:r>
      <w:r>
        <w:t xml:space="preserve"> </w:t>
      </w:r>
      <w:r>
        <w:rPr>
          <w:b/>
          <w:bCs/>
        </w:rPr>
        <w:t xml:space="preserve">heavens</w:t>
      </w:r>
      <w:r>
        <w:t xml:space="preserve">, sometimes indicating “day sky” vs</w:t>
      </w:r>
      <w:r>
        <w:t xml:space="preserve"> </w:t>
      </w:r>
      <w:r>
        <w:rPr>
          <w:b/>
          <w:bCs/>
        </w:rPr>
        <w:t xml:space="preserve">“night sky”</w:t>
      </w:r>
      <w:r>
        <w:t xml:space="preserve"> </w:t>
      </w:r>
      <w:r>
        <w:t xml:space="preserve">depending on context, and possibly a marker of darkness or the female aspect of night.</w:t>
      </w:r>
      <w:r>
        <w:br/>
      </w:r>
      <w:r>
        <w:rPr>
          <w:b/>
          <w:bCs/>
        </w:rPr>
        <w:t xml:space="preserve">Transliteration:</w:t>
      </w:r>
      <w:r>
        <w:t xml:space="preserve"> </w:t>
      </w:r>
      <w:r>
        <w:rPr>
          <w:i/>
          <w:iCs/>
        </w:rPr>
        <w:t xml:space="preserve">rangi</w:t>
      </w:r>
      <w:r>
        <w:t xml:space="preserve"> </w:t>
      </w:r>
      <w:r>
        <w:t xml:space="preserve">(“sky” in many Polynesian languages),</w:t>
      </w:r>
      <w:r>
        <w:t xml:space="preserve"> </w:t>
      </w:r>
      <w:r>
        <w:rPr>
          <w:i/>
          <w:iCs/>
        </w:rPr>
        <w:t xml:space="preserve">pō</w:t>
      </w:r>
      <w:r>
        <w:t xml:space="preserve"> </w:t>
      </w:r>
      <w:r>
        <w:t xml:space="preserve">(“night, darkness”), (also noted as a color or quality marker</w:t>
      </w:r>
      <w:r>
        <w:t xml:space="preserve"> </w:t>
      </w:r>
      <w:r>
        <w:rPr>
          <w:i/>
          <w:iCs/>
        </w:rPr>
        <w:t xml:space="preserve">mea</w:t>
      </w:r>
      <w:r>
        <w:t xml:space="preserve"> </w:t>
      </w:r>
      <w:r>
        <w:t xml:space="preserve">in some contexts of usage).</w:t>
      </w:r>
      <w:r>
        <w:br/>
      </w:r>
      <w:r>
        <w:rPr>
          <w:b/>
          <w:bCs/>
        </w:rPr>
        <w:t xml:space="preserve">Context &amp; Usage:</w:t>
      </w:r>
      <w:r>
        <w:t xml:space="preserve"> </w:t>
      </w:r>
      <w:r>
        <w:t xml:space="preserve">Appears in cosmological chants as a background element – e.g., “sky” being present or “night” as an entity. It may serve as a determinative for things related to the sky or weather. In sequences, when paired with other celestial glyphs, it can toggle their time context (day vs night). The lexicon suggests it shows up in sequences about the firmament or the separation of sky and earth【63†】.</w:t>
      </w:r>
      <w:r>
        <w:br/>
      </w:r>
      <w:r>
        <w:rPr>
          <w:b/>
          <w:bCs/>
        </w:rPr>
        <w:t xml:space="preserve">Notes:</w:t>
      </w:r>
      <w:r>
        <w:t xml:space="preserve"> </w:t>
      </w:r>
      <w:r>
        <w:t xml:space="preserve">Likely drawn as a curved arch (to suggest the dome of the sky) or a horizontal line with a curve. Internal notes indicate this glyph might have also been used as a</w:t>
      </w:r>
      <w:r>
        <w:t xml:space="preserve"> </w:t>
      </w:r>
      <w:r>
        <w:rPr>
          <w:b/>
          <w:bCs/>
        </w:rPr>
        <w:t xml:space="preserve">determinative for color/quality</w:t>
      </w:r>
      <w:r>
        <w:t xml:space="preserve"> </w:t>
      </w:r>
      <w:r>
        <w:t xml:space="preserve">(e.g. marking something as dark or bright) and had a “feminine principle” connotation when meaning night【63†】. This is reminiscent of many cultures viewing night (moon) as female and day (sun) as male. While a bit abstract, the identification rests on Metoro’s readings of some glyphs as</w:t>
      </w:r>
      <w:r>
        <w:t xml:space="preserve"> </w:t>
      </w:r>
      <w:r>
        <w:rPr>
          <w:i/>
          <w:iCs/>
        </w:rPr>
        <w:t xml:space="preserve">rangi</w:t>
      </w:r>
      <w:r>
        <w:t xml:space="preserve"> </w:t>
      </w:r>
      <w:r>
        <w:t xml:space="preserve">and the logical necessity of a “sky” sign in creation texts.</w:t>
      </w:r>
      <w:r>
        <w:br/>
      </w:r>
      <w:r>
        <w:rPr>
          <w:i/>
          <w:iCs/>
        </w:rPr>
        <w:t xml:space="preserve">Sources: Metoro Tau’a Ure’s recitations (Jaussen 1893); Barthel 1958 commentary on glyph 61.</w:t>
      </w:r>
    </w:p>
    <w:bookmarkEnd w:id="75"/>
    <w:bookmarkStart w:id="76" w:name="glyph-62-starpunctuation"/>
    <w:p>
      <w:pPr>
        <w:pStyle w:val="Heading3"/>
      </w:pPr>
      <w:r>
        <w:t xml:space="preserve">Glyph 62: Star/Punctuation ⭐</w:t>
      </w:r>
    </w:p>
    <w:p>
      <w:pPr>
        <w:pStyle w:val="FirstParagraph"/>
      </w:pPr>
      <w:r>
        <w:rPr>
          <w:b/>
          <w:bCs/>
        </w:rPr>
        <w:t xml:space="preserve">Meaning:</w:t>
      </w:r>
      <w:r>
        <w:t xml:space="preserve"> </w:t>
      </w:r>
      <w:r>
        <w:t xml:space="preserve">A small</w:t>
      </w:r>
      <w:r>
        <w:t xml:space="preserve"> </w:t>
      </w:r>
      <w:r>
        <w:rPr>
          <w:b/>
          <w:bCs/>
        </w:rPr>
        <w:t xml:space="preserve">star</w:t>
      </w:r>
      <w:r>
        <w:t xml:space="preserve"> </w:t>
      </w:r>
      <w:r>
        <w:t xml:space="preserve">or dot, used as a</w:t>
      </w:r>
      <w:r>
        <w:t xml:space="preserve"> </w:t>
      </w:r>
      <w:r>
        <w:rPr>
          <w:b/>
          <w:bCs/>
        </w:rPr>
        <w:t xml:space="preserve">pause marker</w:t>
      </w:r>
      <w:r>
        <w:t xml:space="preserve"> </w:t>
      </w:r>
      <w:r>
        <w:t xml:space="preserve">(punctuation) between phrases, and possibly the word</w:t>
      </w:r>
      <w:r>
        <w:t xml:space="preserve"> </w:t>
      </w:r>
      <w:r>
        <w:rPr>
          <w:i/>
          <w:iCs/>
        </w:rPr>
        <w:t xml:space="preserve">ki</w:t>
      </w:r>
      <w:r>
        <w:t xml:space="preserve"> </w:t>
      </w:r>
      <w:r>
        <w:t xml:space="preserve">(“to, towards”) or a star determinative.</w:t>
      </w:r>
      <w:r>
        <w:br/>
      </w:r>
      <w:r>
        <w:rPr>
          <w:b/>
          <w:bCs/>
        </w:rPr>
        <w:t xml:space="preserve">Transliteration:</w:t>
      </w:r>
      <w:r>
        <w:t xml:space="preserve"> </w:t>
      </w:r>
      <w:r>
        <w:rPr>
          <w:i/>
          <w:iCs/>
        </w:rPr>
        <w:t xml:space="preserve">ki</w:t>
      </w:r>
      <w:r>
        <w:t xml:space="preserve"> </w:t>
      </w:r>
      <w:r>
        <w:t xml:space="preserve">(a particle meaning “to” or “towards” in Rapanui, also a sound</w:t>
      </w:r>
      <w:r>
        <w:t xml:space="preserve"> </w:t>
      </w:r>
      <w:r>
        <w:rPr>
          <w:i/>
          <w:iCs/>
        </w:rPr>
        <w:t xml:space="preserve">ki</w:t>
      </w:r>
      <w:r>
        <w:t xml:space="preserve"> </w:t>
      </w:r>
      <w:r>
        <w:t xml:space="preserve">could represent a star twinkle in poetic sense).</w:t>
      </w:r>
      <w:r>
        <w:br/>
      </w:r>
      <w:r>
        <w:rPr>
          <w:b/>
          <w:bCs/>
        </w:rPr>
        <w:t xml:space="preserve">Context &amp; Usage:</w:t>
      </w:r>
      <w:r>
        <w:t xml:space="preserve"> </w:t>
      </w:r>
      <w:r>
        <w:t xml:space="preserve">Rarely attested; when present, it separates clauses or lists. Considered a grammatical</w:t>
      </w:r>
      <w:r>
        <w:t xml:space="preserve"> </w:t>
      </w:r>
      <w:r>
        <w:rPr>
          <w:b/>
          <w:bCs/>
        </w:rPr>
        <w:t xml:space="preserve">clause break</w:t>
      </w:r>
      <w:r>
        <w:t xml:space="preserve"> </w:t>
      </w:r>
      <w:r>
        <w:t xml:space="preserve">by internal analysis. It might mimic the role of a comma or period. If taken literally, it could also denote an actual star in an astronomical list, but evidence leans toward a functional sign.</w:t>
      </w:r>
      <w:r>
        <w:br/>
      </w:r>
      <w:r>
        <w:rPr>
          <w:b/>
          <w:bCs/>
        </w:rPr>
        <w:t xml:space="preserve">Notes:</w:t>
      </w:r>
      <w:r>
        <w:t xml:space="preserve"> </w:t>
      </w:r>
      <w:r>
        <w:t xml:space="preserve">Depicted as a tiny circle or asterisk-like shape. As punctuation, it’s akin to a</w:t>
      </w:r>
      <w:r>
        <w:t xml:space="preserve"> </w:t>
      </w:r>
      <w:r>
        <w:rPr>
          <w:b/>
          <w:bCs/>
        </w:rPr>
        <w:t xml:space="preserve">separator glyph</w:t>
      </w:r>
      <w:r>
        <w:t xml:space="preserve"> </w:t>
      </w:r>
      <w:r>
        <w:t xml:space="preserve">placed at phrase boundaries on certain tablets. One interpretation is that it represents a star in the sky that is used metaphorically to mean a pause (as stars dot the night, pauses dot the chant). The suggestion that it might correspond to</w:t>
      </w:r>
      <w:r>
        <w:t xml:space="preserve"> </w:t>
      </w:r>
      <w:r>
        <w:rPr>
          <w:i/>
          <w:iCs/>
        </w:rPr>
        <w:t xml:space="preserve">ki</w:t>
      </w:r>
      <w:r>
        <w:t xml:space="preserve"> </w:t>
      </w:r>
      <w:r>
        <w:t xml:space="preserve">arises from the possibility it marks a grammatical connection (since</w:t>
      </w:r>
      <w:r>
        <w:t xml:space="preserve"> </w:t>
      </w:r>
      <w:r>
        <w:rPr>
          <w:i/>
          <w:iCs/>
        </w:rPr>
        <w:t xml:space="preserve">ki</w:t>
      </w:r>
      <w:r>
        <w:t xml:space="preserve"> </w:t>
      </w:r>
      <w:r>
        <w:t xml:space="preserve">is a common connector in Polynesian sentences). However, given its scarcity, this glyph remains less understood.</w:t>
      </w:r>
      <w:r>
        <w:br/>
      </w:r>
      <w:r>
        <w:rPr>
          <w:i/>
          <w:iCs/>
        </w:rPr>
        <w:t xml:space="preserve">Sources: Pozdniakov &amp; Pozdniakov (2007) noted possible punctuation; Lackadaisical Security research notes.</w:t>
      </w:r>
    </w:p>
    <w:bookmarkEnd w:id="76"/>
    <w:bookmarkEnd w:id="77"/>
    <w:bookmarkStart w:id="83" w:name="tools-objects-and-structures"/>
    <w:p>
      <w:pPr>
        <w:pStyle w:val="Heading2"/>
      </w:pPr>
      <w:r>
        <w:t xml:space="preserve">Tools, Objects, and Structures</w:t>
      </w:r>
    </w:p>
    <w:p>
      <w:pPr>
        <w:pStyle w:val="FirstParagraph"/>
      </w:pPr>
      <w:r>
        <w:t xml:space="preserve">These glyphs depict man-made objects or geographic features, often carrying meanings of their practical or symbolic role in Rapa Nui culture.</w:t>
      </w:r>
    </w:p>
    <w:bookmarkStart w:id="78" w:name="glyph-15-canoe-vaka"/>
    <w:p>
      <w:pPr>
        <w:pStyle w:val="Heading3"/>
      </w:pPr>
      <w:r>
        <w:t xml:space="preserve">Glyph 15: Canoe (Vaka) 🛶</w:t>
      </w:r>
    </w:p>
    <w:p>
      <w:pPr>
        <w:pStyle w:val="FirstParagraph"/>
      </w:pPr>
      <w:r>
        <w:rPr>
          <w:b/>
          <w:bCs/>
        </w:rPr>
        <w:t xml:space="preserve">Meaning:</w:t>
      </w:r>
      <w:r>
        <w:t xml:space="preserve"> </w:t>
      </w:r>
      <w:r>
        <w:t xml:space="preserve">A</w:t>
      </w:r>
      <w:r>
        <w:t xml:space="preserve"> </w:t>
      </w:r>
      <w:r>
        <w:rPr>
          <w:b/>
          <w:bCs/>
        </w:rPr>
        <w:t xml:space="preserve">canoe</w:t>
      </w:r>
      <w:r>
        <w:t xml:space="preserve"> </w:t>
      </w:r>
      <w:r>
        <w:t xml:space="preserve">or vessel, used for transportation – possibly also symbolic of voyages or migration.</w:t>
      </w:r>
      <w:r>
        <w:br/>
      </w:r>
      <w:r>
        <w:rPr>
          <w:b/>
          <w:bCs/>
        </w:rPr>
        <w:t xml:space="preserve">Transliteration:</w:t>
      </w:r>
      <w:r>
        <w:t xml:space="preserve"> </w:t>
      </w:r>
      <w:r>
        <w:rPr>
          <w:i/>
          <w:iCs/>
        </w:rPr>
        <w:t xml:space="preserve">vaka</w:t>
      </w:r>
      <w:r>
        <w:t xml:space="preserve"> </w:t>
      </w:r>
      <w:r>
        <w:t xml:space="preserve">(Polynesian for canoe/boat).</w:t>
      </w:r>
      <w:r>
        <w:br/>
      </w:r>
      <w:r>
        <w:rPr>
          <w:b/>
          <w:bCs/>
        </w:rPr>
        <w:t xml:space="preserve">Context &amp; Usage:</w:t>
      </w:r>
      <w:r>
        <w:t xml:space="preserve"> </w:t>
      </w:r>
      <w:r>
        <w:t xml:space="preserve">Though few inscriptions explicitly discuss voyages, this glyph would appear in any recounting of travel or perhaps in the context of origin legends (the arrival of Hotu Matuꞌa by canoe). Its presence could also mark inventory of goods (canoes as assets) or ritual races.</w:t>
      </w:r>
      <w:r>
        <w:br/>
      </w:r>
      <w:r>
        <w:rPr>
          <w:b/>
          <w:bCs/>
        </w:rPr>
        <w:t xml:space="preserve">Notes:</w:t>
      </w:r>
      <w:r>
        <w:t xml:space="preserve"> </w:t>
      </w:r>
      <w:r>
        <w:t xml:space="preserve">The canoe glyph is probably a long, narrow shape like a hull. It was identified through the straightforward term</w:t>
      </w:r>
      <w:r>
        <w:t xml:space="preserve"> </w:t>
      </w:r>
      <w:r>
        <w:rPr>
          <w:i/>
          <w:iCs/>
        </w:rPr>
        <w:t xml:space="preserve">vaka</w:t>
      </w:r>
      <w:r>
        <w:t xml:space="preserve">【59†】. While not common (Easter Island’s isolation meant fewer voyage stories), its inclusion hints at knowledge of canoes. If any tablet contains a migration narrative, this glyph would be key.</w:t>
      </w:r>
      <w:r>
        <w:br/>
      </w:r>
      <w:r>
        <w:rPr>
          <w:i/>
          <w:iCs/>
        </w:rPr>
        <w:t xml:space="preserve">Sources: Oral tradition of arrival; internal lexicon entry.</w:t>
      </w:r>
    </w:p>
    <w:bookmarkEnd w:id="78"/>
    <w:bookmarkStart w:id="79" w:name="glyph-30-house-enclosure"/>
    <w:p>
      <w:pPr>
        <w:pStyle w:val="Heading3"/>
      </w:pPr>
      <w:r>
        <w:t xml:space="preserve">Glyph 30: House / Enclosure 🏠</w:t>
      </w:r>
    </w:p>
    <w:p>
      <w:pPr>
        <w:pStyle w:val="FirstParagraph"/>
      </w:pPr>
      <w:r>
        <w:rPr>
          <w:b/>
          <w:bCs/>
        </w:rPr>
        <w:t xml:space="preserve">Meaning:</w:t>
      </w:r>
      <w:r>
        <w:t xml:space="preserve"> </w:t>
      </w:r>
      <w:r>
        <w:t xml:space="preserve">A</w:t>
      </w:r>
      <w:r>
        <w:t xml:space="preserve"> </w:t>
      </w:r>
      <w:r>
        <w:rPr>
          <w:b/>
          <w:bCs/>
        </w:rPr>
        <w:t xml:space="preserve">house</w:t>
      </w:r>
      <w:r>
        <w:t xml:space="preserve">, hut, or general location enclosure (could also mean “land” in a broader sense).</w:t>
      </w:r>
      <w:r>
        <w:br/>
      </w:r>
      <w:r>
        <w:rPr>
          <w:b/>
          <w:bCs/>
        </w:rPr>
        <w:t xml:space="preserve">Transliteration:</w:t>
      </w:r>
      <w:r>
        <w:t xml:space="preserve"> </w:t>
      </w:r>
      <w:r>
        <w:rPr>
          <w:i/>
          <w:iCs/>
        </w:rPr>
        <w:t xml:space="preserve">hare</w:t>
      </w:r>
      <w:r>
        <w:t xml:space="preserve"> </w:t>
      </w:r>
      <w:r>
        <w:t xml:space="preserve">(“house” in Rapanui, as in other East Polynesian),</w:t>
      </w:r>
      <w:r>
        <w:t xml:space="preserve"> </w:t>
      </w:r>
      <w:r>
        <w:rPr>
          <w:i/>
          <w:iCs/>
        </w:rPr>
        <w:t xml:space="preserve">henua</w:t>
      </w:r>
      <w:r>
        <w:t xml:space="preserve"> </w:t>
      </w:r>
      <w:r>
        <w:t xml:space="preserve">(“land, earth”).</w:t>
      </w:r>
      <w:r>
        <w:br/>
      </w:r>
      <w:r>
        <w:rPr>
          <w:b/>
          <w:bCs/>
        </w:rPr>
        <w:t xml:space="preserve">Context &amp; Usage:</w:t>
      </w:r>
      <w:r>
        <w:t xml:space="preserve"> </w:t>
      </w:r>
      <w:r>
        <w:t xml:space="preserve">Appears in contexts describing settlements, places, or to indicate possession of land. It’s a rectangular or oval shape signifying a built structure or a defined area. For example, in a genealogy text, it might follow a person’s name to indicate “of the house of…”. In creation chants,</w:t>
      </w:r>
      <w:r>
        <w:t xml:space="preserve"> </w:t>
      </w:r>
      <w:r>
        <w:rPr>
          <w:i/>
          <w:iCs/>
        </w:rPr>
        <w:t xml:space="preserve">hare</w:t>
      </w:r>
      <w:r>
        <w:t xml:space="preserve"> </w:t>
      </w:r>
      <w:r>
        <w:t xml:space="preserve">could be metaphorical (e.g., the sky as a house).</w:t>
      </w:r>
      <w:r>
        <w:br/>
      </w:r>
      <w:r>
        <w:rPr>
          <w:b/>
          <w:bCs/>
        </w:rPr>
        <w:t xml:space="preserve">Notes:</w:t>
      </w:r>
      <w:r>
        <w:t xml:space="preserve"> </w:t>
      </w:r>
      <w:r>
        <w:t xml:space="preserve">The glyph seems to be a simple outline of a house or compound. Rapa Nui traditional houses were elliptical stone huts (hare paenga), so the glyph might reflect that shape. The dual transliteration suggests it can mean physical house or land/territory. The lexicon notes it as a “general location concept”. This multifunctionality (house or land) is consistent with Polynesian usage, where</w:t>
      </w:r>
      <w:r>
        <w:t xml:space="preserve"> </w:t>
      </w:r>
      <w:r>
        <w:rPr>
          <w:i/>
          <w:iCs/>
        </w:rPr>
        <w:t xml:space="preserve">hare</w:t>
      </w:r>
      <w:r>
        <w:t xml:space="preserve"> </w:t>
      </w:r>
      <w:r>
        <w:t xml:space="preserve">and</w:t>
      </w:r>
      <w:r>
        <w:t xml:space="preserve"> </w:t>
      </w:r>
      <w:r>
        <w:rPr>
          <w:i/>
          <w:iCs/>
        </w:rPr>
        <w:t xml:space="preserve">kaainga</w:t>
      </w:r>
      <w:r>
        <w:t xml:space="preserve"> </w:t>
      </w:r>
      <w:r>
        <w:t xml:space="preserve">(land/home) concepts overlap.</w:t>
      </w:r>
      <w:r>
        <w:br/>
      </w:r>
      <w:r>
        <w:rPr>
          <w:i/>
          <w:iCs/>
        </w:rPr>
        <w:t xml:space="preserve">Sources: Rapa Nui ethnography; Operator’s glyph logs.</w:t>
      </w:r>
    </w:p>
    <w:bookmarkEnd w:id="79"/>
    <w:bookmarkStart w:id="80" w:name="glyph-40-sea-water"/>
    <w:p>
      <w:pPr>
        <w:pStyle w:val="Heading3"/>
      </w:pPr>
      <w:r>
        <w:t xml:space="preserve">Glyph 40: Sea / Water 🌊</w:t>
      </w:r>
    </w:p>
    <w:p>
      <w:pPr>
        <w:pStyle w:val="FirstParagraph"/>
      </w:pPr>
      <w:r>
        <w:rPr>
          <w:b/>
          <w:bCs/>
        </w:rPr>
        <w:t xml:space="preserve">Meaning:</w:t>
      </w:r>
      <w:r>
        <w:t xml:space="preserve"> </w:t>
      </w:r>
      <w:r>
        <w:t xml:space="preserve">The</w:t>
      </w:r>
      <w:r>
        <w:t xml:space="preserve"> </w:t>
      </w:r>
      <w:r>
        <w:rPr>
          <w:b/>
          <w:bCs/>
        </w:rPr>
        <w:t xml:space="preserve">sea</w:t>
      </w:r>
      <w:r>
        <w:t xml:space="preserve"> </w:t>
      </w:r>
      <w:r>
        <w:t xml:space="preserve">or flowing</w:t>
      </w:r>
      <w:r>
        <w:t xml:space="preserve"> </w:t>
      </w:r>
      <w:r>
        <w:rPr>
          <w:b/>
          <w:bCs/>
        </w:rPr>
        <w:t xml:space="preserve">water</w:t>
      </w:r>
      <w:r>
        <w:t xml:space="preserve">. Represents the ocean, tide, or large body of water.</w:t>
      </w:r>
      <w:r>
        <w:br/>
      </w:r>
      <w:r>
        <w:rPr>
          <w:b/>
          <w:bCs/>
        </w:rPr>
        <w:t xml:space="preserve">Transliteration:</w:t>
      </w:r>
      <w:r>
        <w:t xml:space="preserve"> </w:t>
      </w:r>
      <w:r>
        <w:rPr>
          <w:i/>
          <w:iCs/>
        </w:rPr>
        <w:t xml:space="preserve">tai</w:t>
      </w:r>
      <w:r>
        <w:t xml:space="preserve"> </w:t>
      </w:r>
      <w:r>
        <w:t xml:space="preserve">(“sea” in Rapanui),</w:t>
      </w:r>
      <w:r>
        <w:t xml:space="preserve"> </w:t>
      </w:r>
      <w:r>
        <w:rPr>
          <w:i/>
          <w:iCs/>
        </w:rPr>
        <w:t xml:space="preserve">rere vai</w:t>
      </w:r>
      <w:r>
        <w:t xml:space="preserve"> </w:t>
      </w:r>
      <w:r>
        <w:t xml:space="preserve">(“flowing water”),</w:t>
      </w:r>
      <w:r>
        <w:t xml:space="preserve"> </w:t>
      </w:r>
      <w:r>
        <w:rPr>
          <w:i/>
          <w:iCs/>
        </w:rPr>
        <w:t xml:space="preserve">vai</w:t>
      </w:r>
      <w:r>
        <w:t xml:space="preserve"> </w:t>
      </w:r>
      <w:r>
        <w:t xml:space="preserve">(“water”).</w:t>
      </w:r>
      <w:r>
        <w:br/>
      </w:r>
      <w:r>
        <w:rPr>
          <w:b/>
          <w:bCs/>
        </w:rPr>
        <w:t xml:space="preserve">Context &amp; Usage:</w:t>
      </w:r>
      <w:r>
        <w:t xml:space="preserve"> </w:t>
      </w:r>
      <w:r>
        <w:t xml:space="preserve">Likely used to denote the ocean in navigational or mythic contexts (e.g., “across the sea”). It might also indicate the concept of fluidity or motion. On Mamari, some have posited a tide marker (since lunar calendars relate to tides as well). The context tag “temporal_marker” in the data suggests it could mark time via tides【58†】.</w:t>
      </w:r>
      <w:r>
        <w:br/>
      </w:r>
      <w:r>
        <w:rPr>
          <w:b/>
          <w:bCs/>
        </w:rPr>
        <w:t xml:space="preserve">Notes:</w:t>
      </w:r>
      <w:r>
        <w:t xml:space="preserve"> </w:t>
      </w:r>
      <w:r>
        <w:t xml:space="preserve">Often depicted as a wavy line or set of curved lines. Its meaning is well-supported by the word</w:t>
      </w:r>
      <w:r>
        <w:t xml:space="preserve"> </w:t>
      </w:r>
      <w:r>
        <w:rPr>
          <w:i/>
          <w:iCs/>
        </w:rPr>
        <w:t xml:space="preserve">tai</w:t>
      </w:r>
      <w:r>
        <w:t xml:space="preserve">. For instance, Metoro’s readings of tablet texts included phrases like “moana roa” (great ocean) which might correspond to this glyph. In the structure of rongorongo texts, such a glyph could serve as a backdrop indicator (setting the scene at sea). The interpretation aligns neatly with Rapa Nui’s island geography.</w:t>
      </w:r>
      <w:r>
        <w:br/>
      </w:r>
      <w:r>
        <w:rPr>
          <w:i/>
          <w:iCs/>
        </w:rPr>
        <w:t xml:space="preserve">Sources: Métraux (1940) recordings of creation chant imagery; internal contextual analysis.</w:t>
      </w:r>
    </w:p>
    <w:bookmarkEnd w:id="80"/>
    <w:bookmarkStart w:id="82" w:name="glyph-70-staff-stick"/>
    <w:p>
      <w:pPr>
        <w:pStyle w:val="Heading3"/>
      </w:pPr>
      <w:r>
        <w:t xml:space="preserve">Glyph 70: Staff / Stick 🏏</w:t>
      </w:r>
    </w:p>
    <w:p>
      <w:pPr>
        <w:pStyle w:val="FirstParagraph"/>
      </w:pPr>
      <w:r>
        <w:rPr>
          <w:b/>
          <w:bCs/>
        </w:rPr>
        <w:t xml:space="preserve">Meaning:</w:t>
      </w:r>
      <w:r>
        <w:t xml:space="preserve"> </w:t>
      </w:r>
      <w:r>
        <w:t xml:space="preserve">A</w:t>
      </w:r>
      <w:r>
        <w:t xml:space="preserve"> </w:t>
      </w:r>
      <w:r>
        <w:rPr>
          <w:b/>
          <w:bCs/>
        </w:rPr>
        <w:t xml:space="preserve">staff</w:t>
      </w:r>
      <w:r>
        <w:t xml:space="preserve">,</w:t>
      </w:r>
      <w:r>
        <w:t xml:space="preserve"> </w:t>
      </w:r>
      <w:r>
        <w:rPr>
          <w:b/>
          <w:bCs/>
        </w:rPr>
        <w:t xml:space="preserve">stick</w:t>
      </w:r>
      <w:r>
        <w:t xml:space="preserve">, or general rod-like implement – often an authority symbol (</w:t>
      </w:r>
      <w:r>
        <w:rPr>
          <w:i/>
          <w:iCs/>
        </w:rPr>
        <w:t xml:space="preserve">toko</w:t>
      </w:r>
      <w:r>
        <w:t xml:space="preserve"> </w:t>
      </w:r>
      <w:r>
        <w:t xml:space="preserve">= staff of office) or a tool (</w:t>
      </w:r>
      <w:r>
        <w:rPr>
          <w:i/>
          <w:iCs/>
        </w:rPr>
        <w:t xml:space="preserve">kau</w:t>
      </w:r>
      <w:r>
        <w:t xml:space="preserve"> </w:t>
      </w:r>
      <w:r>
        <w:t xml:space="preserve">= wooden stick,</w:t>
      </w:r>
      <w:r>
        <w:t xml:space="preserve"> </w:t>
      </w:r>
      <w:r>
        <w:rPr>
          <w:i/>
          <w:iCs/>
        </w:rPr>
        <w:t xml:space="preserve">taura</w:t>
      </w:r>
      <w:r>
        <w:t xml:space="preserve"> </w:t>
      </w:r>
      <w:r>
        <w:t xml:space="preserve">= implement/rope).</w:t>
      </w:r>
      <w:r>
        <w:br/>
      </w:r>
      <w:r>
        <w:rPr>
          <w:b/>
          <w:bCs/>
        </w:rPr>
        <w:t xml:space="preserve">Transliteration:</w:t>
      </w:r>
      <w:r>
        <w:t xml:space="preserve"> </w:t>
      </w:r>
      <w:r>
        <w:rPr>
          <w:i/>
          <w:iCs/>
        </w:rPr>
        <w:t xml:space="preserve">toko</w:t>
      </w:r>
      <w:r>
        <w:t xml:space="preserve"> </w:t>
      </w:r>
      <w:r>
        <w:t xml:space="preserve">(“staff, pole”),</w:t>
      </w:r>
      <w:r>
        <w:t xml:space="preserve"> </w:t>
      </w:r>
      <w:r>
        <w:rPr>
          <w:i/>
          <w:iCs/>
        </w:rPr>
        <w:t xml:space="preserve">kau</w:t>
      </w:r>
      <w:r>
        <w:t xml:space="preserve"> </w:t>
      </w:r>
      <w:r>
        <w:t xml:space="preserve">(“wooden stick”),</w:t>
      </w:r>
      <w:r>
        <w:t xml:space="preserve"> </w:t>
      </w:r>
      <w:r>
        <w:rPr>
          <w:i/>
          <w:iCs/>
        </w:rPr>
        <w:t xml:space="preserve">taura</w:t>
      </w:r>
      <w:r>
        <w:t xml:space="preserve"> </w:t>
      </w:r>
      <w:r>
        <w:t xml:space="preserve">(could mean “rope” or by extension “tool” in Rapanui).</w:t>
      </w:r>
      <w:r>
        <w:br/>
      </w:r>
      <w:r>
        <w:rPr>
          <w:b/>
          <w:bCs/>
        </w:rPr>
        <w:t xml:space="preserve">Context &amp; Usage:</w:t>
      </w:r>
      <w:r>
        <w:t xml:space="preserve"> </w:t>
      </w:r>
      <w:r>
        <w:t xml:space="preserve">Very prominent on the Santiago Staff (Text I) itself, which is literally a wooden staff covered in glyphs. It appears in sequences denoting titles or acts of authority (the staff being a sign of chiefly power)</w:t>
      </w:r>
      <w:hyperlink r:id="rId81">
        <w:r>
          <w:rPr>
            <w:rStyle w:val="Hyperlink"/>
          </w:rPr>
          <w:t xml:space="preserve">[25]</w:t>
        </w:r>
      </w:hyperlink>
      <w:r>
        <w:t xml:space="preserve">. Also, it can generically mean any straight implement (stick used in tools, weapons, or construction). For example, when describing the creation of tools or listing ritual objects, this glyph would be used.</w:t>
      </w:r>
      <w:r>
        <w:br/>
      </w:r>
      <w:r>
        <w:rPr>
          <w:b/>
          <w:bCs/>
        </w:rPr>
        <w:t xml:space="preserve">Notes:</w:t>
      </w:r>
      <w:r>
        <w:t xml:space="preserve"> </w:t>
      </w:r>
      <w:r>
        <w:t xml:space="preserve">Depicted as a long straight line with minimal adornment. Fischer and others noted the frequent appearance of a “stick” glyph on the Staff text, reading it as possibly</w:t>
      </w:r>
      <w:r>
        <w:t xml:space="preserve"> </w:t>
      </w:r>
      <w:r>
        <w:rPr>
          <w:i/>
          <w:iCs/>
        </w:rPr>
        <w:t xml:space="preserve">toko</w:t>
      </w:r>
      <w:r>
        <w:t xml:space="preserve"> </w:t>
      </w:r>
      <w:r>
        <w:t xml:space="preserve">(staff) or</w:t>
      </w:r>
      <w:r>
        <w:t xml:space="preserve"> </w:t>
      </w:r>
      <w:r>
        <w:rPr>
          <w:i/>
          <w:iCs/>
        </w:rPr>
        <w:t xml:space="preserve">kau</w:t>
      </w:r>
      <w:r>
        <w:t xml:space="preserve"> </w:t>
      </w:r>
      <w:r>
        <w:t xml:space="preserve">(wood)</w:t>
      </w:r>
      <w:hyperlink r:id="rId81">
        <w:r>
          <w:rPr>
            <w:rStyle w:val="Hyperlink"/>
          </w:rPr>
          <w:t xml:space="preserve">[25]</w:t>
        </w:r>
      </w:hyperlink>
      <w:r>
        <w:t xml:space="preserve">. The lexicon describes it as “Linear implement with multiple interpretations: wooden object, authority rod, general tool”</w:t>
      </w:r>
      <w:hyperlink r:id="rId81">
        <w:r>
          <w:rPr>
            <w:rStyle w:val="Hyperlink"/>
          </w:rPr>
          <w:t xml:space="preserve">[25]</w:t>
        </w:r>
      </w:hyperlink>
      <w:r>
        <w:t xml:space="preserve">. This broad interpretation is plausible; context disambiguates whether it’s a ceremonial staff (when near glyphs of rank or in repeating triplets on the Staff) or just a stick/tool.</w:t>
      </w:r>
      <w:r>
        <w:br/>
      </w:r>
      <w:r>
        <w:rPr>
          <w:i/>
          <w:iCs/>
        </w:rPr>
        <w:t xml:space="preserve">Sources: Fischer 1997 (staff analysis)</w:t>
      </w:r>
      <w:hyperlink r:id="rId81">
        <w:r>
          <w:rPr>
            <w:rStyle w:val="Hyperlink"/>
            <w:i/>
            <w:iCs/>
          </w:rPr>
          <w:t xml:space="preserve">[25]</w:t>
        </w:r>
      </w:hyperlink>
      <w:r>
        <w:rPr>
          <w:i/>
          <w:iCs/>
        </w:rPr>
        <w:t xml:space="preserve">; Barthel 1958 sketches.</w:t>
      </w:r>
    </w:p>
    <w:bookmarkEnd w:id="82"/>
    <w:bookmarkEnd w:id="83"/>
    <w:bookmarkStart w:id="93" w:name="grammatical-and-abstract-symbols"/>
    <w:p>
      <w:pPr>
        <w:pStyle w:val="Heading2"/>
      </w:pPr>
      <w:r>
        <w:t xml:space="preserve">Grammatical and Abstract Symbols</w:t>
      </w:r>
    </w:p>
    <w:p>
      <w:pPr>
        <w:pStyle w:val="FirstParagraph"/>
      </w:pPr>
      <w:r>
        <w:t xml:space="preserve">Some glyphs function not as vocabulary for tangible things but as grammatical markers, punctuation, or abstract indicators (qualities, pluralization, etc.). These are crucial for understanding rongorongo as a possibly mixed logographic-syllabic system</w:t>
      </w:r>
      <w:hyperlink r:id="rId84">
        <w:r>
          <w:rPr>
            <w:rStyle w:val="Hyperlink"/>
          </w:rPr>
          <w:t xml:space="preserve">[26]</w:t>
        </w:r>
      </w:hyperlink>
      <w:r>
        <w:t xml:space="preserve">.</w:t>
      </w:r>
    </w:p>
    <w:bookmarkStart w:id="89" w:name="glyph-6-hand-plural-marker"/>
    <w:p>
      <w:pPr>
        <w:pStyle w:val="Heading3"/>
      </w:pPr>
      <w:r>
        <w:t xml:space="preserve">Glyph 6: Hand (Plural Marker) ✋</w:t>
      </w:r>
    </w:p>
    <w:p>
      <w:pPr>
        <w:pStyle w:val="FirstParagraph"/>
      </w:pPr>
      <w:r>
        <w:rPr>
          <w:b/>
          <w:bCs/>
        </w:rPr>
        <w:t xml:space="preserve">Meaning:</w:t>
      </w:r>
      <w:r>
        <w:t xml:space="preserve"> </w:t>
      </w:r>
      <w:r>
        <w:t xml:space="preserve">A</w:t>
      </w:r>
      <w:r>
        <w:t xml:space="preserve"> </w:t>
      </w:r>
      <w:r>
        <w:rPr>
          <w:b/>
          <w:bCs/>
        </w:rPr>
        <w:t xml:space="preserve">hand</w:t>
      </w:r>
      <w:r>
        <w:t xml:space="preserve"> </w:t>
      </w:r>
      <w:r>
        <w:t xml:space="preserve">symbol that is multi-functional: it can mean the anatomical “hand”/</w:t>
      </w:r>
      <w:r>
        <w:rPr>
          <w:i/>
          <w:iCs/>
        </w:rPr>
        <w:t xml:space="preserve">rima</w:t>
      </w:r>
      <w:r>
        <w:t xml:space="preserve"> </w:t>
      </w:r>
      <w:r>
        <w:t xml:space="preserve">(also the number five), the verb “to take/hold” (</w:t>
      </w:r>
      <w:r>
        <w:rPr>
          <w:i/>
          <w:iCs/>
        </w:rPr>
        <w:t xml:space="preserve">maʻu</w:t>
      </w:r>
      <w:r>
        <w:t xml:space="preserve">), and a</w:t>
      </w:r>
      <w:r>
        <w:t xml:space="preserve"> </w:t>
      </w:r>
      <w:r>
        <w:rPr>
          <w:b/>
          <w:bCs/>
        </w:rPr>
        <w:t xml:space="preserve">plural marker</w:t>
      </w:r>
      <w:r>
        <w:t xml:space="preserve"> </w:t>
      </w:r>
      <w:r>
        <w:t xml:space="preserve">indicating “many” when attached to another glyph</w:t>
      </w:r>
      <w:hyperlink r:id="rId40">
        <w:r>
          <w:rPr>
            <w:rStyle w:val="Hyperlink"/>
          </w:rPr>
          <w:t xml:space="preserve">[11]</w:t>
        </w:r>
      </w:hyperlink>
      <w:r>
        <w:t xml:space="preserve">.</w:t>
      </w:r>
      <w:r>
        <w:br/>
      </w:r>
      <w:r>
        <w:rPr>
          <w:b/>
          <w:bCs/>
        </w:rPr>
        <w:t xml:space="preserve">Transliteration:</w:t>
      </w:r>
      <w:r>
        <w:t xml:space="preserve"> </w:t>
      </w:r>
      <w:r>
        <w:rPr>
          <w:i/>
          <w:iCs/>
        </w:rPr>
        <w:t xml:space="preserve">rima</w:t>
      </w:r>
      <w:r>
        <w:t xml:space="preserve"> </w:t>
      </w:r>
      <w:r>
        <w:t xml:space="preserve">(“hand” and also “five” in Polynesian),</w:t>
      </w:r>
      <w:r>
        <w:t xml:space="preserve"> </w:t>
      </w:r>
      <w:r>
        <w:rPr>
          <w:i/>
          <w:iCs/>
        </w:rPr>
        <w:t xml:space="preserve">maʻu</w:t>
      </w:r>
      <w:r>
        <w:t xml:space="preserve"> </w:t>
      </w:r>
      <w:r>
        <w:t xml:space="preserve">(“to take, grasp” in Rapanui), and a conceptual plural suffix (as in Tahitian</w:t>
      </w:r>
      <w:r>
        <w:t xml:space="preserve"> </w:t>
      </w:r>
      <w:r>
        <w:rPr>
          <w:i/>
          <w:iCs/>
        </w:rPr>
        <w:t xml:space="preserve">mau</w:t>
      </w:r>
      <w:r>
        <w:t xml:space="preserve"> </w:t>
      </w:r>
      <w:r>
        <w:t xml:space="preserve">for plural).</w:t>
      </w:r>
      <w:r>
        <w:br/>
      </w:r>
      <w:r>
        <w:rPr>
          <w:b/>
          <w:bCs/>
        </w:rPr>
        <w:t xml:space="preserve">Context &amp; Usage:</w:t>
      </w:r>
      <w:r>
        <w:t xml:space="preserve"> </w:t>
      </w:r>
      <w:r>
        <w:t xml:space="preserve">As a standalone, it might mean “hand” or the act of taking. However, its most significant use is as a</w:t>
      </w:r>
      <w:r>
        <w:t xml:space="preserve"> </w:t>
      </w:r>
      <w:r>
        <w:rPr>
          <w:b/>
          <w:bCs/>
        </w:rPr>
        <w:t xml:space="preserve">grammatical pluralizer</w:t>
      </w:r>
      <w:r>
        <w:t xml:space="preserve">: when added to a noun glyph, it pluralizes that noun</w:t>
      </w:r>
      <w:hyperlink r:id="rId40">
        <w:r>
          <w:rPr>
            <w:rStyle w:val="Hyperlink"/>
          </w:rPr>
          <w:t xml:space="preserve">[11]</w:t>
        </w:r>
      </w:hyperlink>
      <w:r>
        <w:t xml:space="preserve">. For instance, glyph 6 appended to “bird” (glyph 600) yields glyph 606 meaning “birds (plural)”</w:t>
      </w:r>
      <w:hyperlink r:id="rId31">
        <w:r>
          <w:rPr>
            <w:rStyle w:val="Hyperlink"/>
          </w:rPr>
          <w:t xml:space="preserve">[8]</w:t>
        </w:r>
      </w:hyperlink>
      <w:r>
        <w:t xml:space="preserve">. It also appears in sequences implying actions like giving or taking objects. High frequency (over 150 occurrences) across major texts indicates it had a key grammatical role</w:t>
      </w:r>
      <w:hyperlink r:id="rId85">
        <w:r>
          <w:rPr>
            <w:rStyle w:val="Hyperlink"/>
          </w:rPr>
          <w:t xml:space="preserve">[27]</w:t>
        </w:r>
      </w:hyperlink>
      <w:hyperlink r:id="rId86">
        <w:r>
          <w:rPr>
            <w:rStyle w:val="Hyperlink"/>
          </w:rPr>
          <w:t xml:space="preserve">[28]</w:t>
        </w:r>
      </w:hyperlink>
      <w:r>
        <w:t xml:space="preserve">.</w:t>
      </w:r>
      <w:r>
        <w:br/>
      </w:r>
      <w:r>
        <w:rPr>
          <w:b/>
          <w:bCs/>
        </w:rPr>
        <w:t xml:space="preserve">Notes:</w:t>
      </w:r>
      <w:r>
        <w:t xml:space="preserve"> </w:t>
      </w:r>
      <w:r>
        <w:t xml:space="preserve">Depicted as an open hand with five fingers. The plural function was deduced by Pozdniakov and Fischer noting that certain glyph combinations mirrored plural vs singular in Rapanui sentences</w:t>
      </w:r>
      <w:hyperlink r:id="rId40">
        <w:r>
          <w:rPr>
            <w:rStyle w:val="Hyperlink"/>
          </w:rPr>
          <w:t xml:space="preserve">[11]</w:t>
        </w:r>
      </w:hyperlink>
      <w:r>
        <w:t xml:space="preserve">. The dual reading (hand vs take) likely enabled a semantic pun that turned into a grammatical device</w:t>
      </w:r>
      <w:hyperlink r:id="rId40">
        <w:r>
          <w:rPr>
            <w:rStyle w:val="Hyperlink"/>
          </w:rPr>
          <w:t xml:space="preserve">[11]</w:t>
        </w:r>
      </w:hyperlink>
      <w:r>
        <w:t xml:space="preserve">. This discovery is considered a breakthrough as it suggests Rongorongo had elements of phonetic complementation or determinatives for grammar. It is</w:t>
      </w:r>
      <w:r>
        <w:t xml:space="preserve"> </w:t>
      </w:r>
      <w:r>
        <w:rPr>
          <w:b/>
          <w:bCs/>
        </w:rPr>
        <w:t xml:space="preserve">confirmed</w:t>
      </w:r>
      <w:r>
        <w:t xml:space="preserve"> </w:t>
      </w:r>
      <w:r>
        <w:t xml:space="preserve">in the lexicon as a plural marker (confidence 0.9)</w:t>
      </w:r>
      <w:hyperlink r:id="rId86">
        <w:r>
          <w:rPr>
            <w:rStyle w:val="Hyperlink"/>
          </w:rPr>
          <w:t xml:space="preserve">[28]</w:t>
        </w:r>
      </w:hyperlink>
      <w:hyperlink r:id="rId87">
        <w:r>
          <w:rPr>
            <w:rStyle w:val="Hyperlink"/>
          </w:rPr>
          <w:t xml:space="preserve">[29]</w:t>
        </w:r>
      </w:hyperlink>
      <w:r>
        <w:t xml:space="preserve">.</w:t>
      </w:r>
      <w:r>
        <w:br/>
      </w:r>
      <w:r>
        <w:rPr>
          <w:i/>
          <w:iCs/>
        </w:rPr>
        <w:t xml:space="preserve">Sources: Pozdniakov &amp; Pozdniakov 2007, p.10-11</w:t>
      </w:r>
      <w:hyperlink r:id="rId88">
        <w:r>
          <w:rPr>
            <w:rStyle w:val="Hyperlink"/>
            <w:i/>
            <w:iCs/>
          </w:rPr>
          <w:t xml:space="preserve">[30]</w:t>
        </w:r>
      </w:hyperlink>
      <w:r>
        <w:rPr>
          <w:i/>
          <w:iCs/>
        </w:rPr>
        <w:t xml:space="preserve">; Fischer’s analysis of glyph 606</w:t>
      </w:r>
      <w:hyperlink r:id="rId40">
        <w:r>
          <w:rPr>
            <w:rStyle w:val="Hyperlink"/>
            <w:i/>
            <w:iCs/>
          </w:rPr>
          <w:t xml:space="preserve">[11]</w:t>
        </w:r>
      </w:hyperlink>
      <w:r>
        <w:rPr>
          <w:i/>
          <w:iCs/>
        </w:rPr>
        <w:t xml:space="preserve">.</w:t>
      </w:r>
    </w:p>
    <w:bookmarkEnd w:id="89"/>
    <w:bookmarkStart w:id="90" w:name="glyph-64-redcolor-determinative"/>
    <w:p>
      <w:pPr>
        <w:pStyle w:val="Heading3"/>
      </w:pPr>
      <w:r>
        <w:t xml:space="preserve">Glyph 64: Red/Color Determinative 🟥</w:t>
      </w:r>
    </w:p>
    <w:p>
      <w:pPr>
        <w:pStyle w:val="FirstParagraph"/>
      </w:pPr>
      <w:r>
        <w:rPr>
          <w:b/>
          <w:bCs/>
        </w:rPr>
        <w:t xml:space="preserve">Meaning:</w:t>
      </w:r>
      <w:r>
        <w:t xml:space="preserve"> </w:t>
      </w:r>
      <w:r>
        <w:t xml:space="preserve">A</w:t>
      </w:r>
      <w:r>
        <w:t xml:space="preserve"> </w:t>
      </w:r>
      <w:r>
        <w:rPr>
          <w:b/>
          <w:bCs/>
        </w:rPr>
        <w:t xml:space="preserve">color/quality determinative</w:t>
      </w:r>
      <w:r>
        <w:t xml:space="preserve">, often interpreted specifically as indicating the color “red” or brightness. It appears to modify deity or special glyphs by imparting a quality (e.g. “bright” or “sacred”).</w:t>
      </w:r>
      <w:r>
        <w:br/>
      </w:r>
      <w:r>
        <w:rPr>
          <w:b/>
          <w:bCs/>
        </w:rPr>
        <w:t xml:space="preserve">Transliteration:</w:t>
      </w:r>
      <w:r>
        <w:t xml:space="preserve"> </w:t>
      </w:r>
      <w:r>
        <w:rPr>
          <w:i/>
          <w:iCs/>
        </w:rPr>
        <w:t xml:space="preserve">mea</w:t>
      </w:r>
      <w:r>
        <w:t xml:space="preserve"> </w:t>
      </w:r>
      <w:r>
        <w:t xml:space="preserve">(Rapanui for “thing” but in some Polynesian contexts</w:t>
      </w:r>
      <w:r>
        <w:t xml:space="preserve"> </w:t>
      </w:r>
      <w:r>
        <w:rPr>
          <w:i/>
          <w:iCs/>
        </w:rPr>
        <w:t xml:space="preserve">mea ula</w:t>
      </w:r>
      <w:r>
        <w:t xml:space="preserve"> </w:t>
      </w:r>
      <w:r>
        <w:t xml:space="preserve">means “red thing”;</w:t>
      </w:r>
      <w:r>
        <w:t xml:space="preserve"> </w:t>
      </w:r>
      <w:r>
        <w:rPr>
          <w:i/>
          <w:iCs/>
        </w:rPr>
        <w:t xml:space="preserve">mea</w:t>
      </w:r>
      <w:r>
        <w:t xml:space="preserve"> </w:t>
      </w:r>
      <w:r>
        <w:t xml:space="preserve">can also mean color in Tahitian).</w:t>
      </w:r>
      <w:r>
        <w:br/>
      </w:r>
      <w:r>
        <w:rPr>
          <w:b/>
          <w:bCs/>
        </w:rPr>
        <w:t xml:space="preserve">Context &amp; Usage:</w:t>
      </w:r>
      <w:r>
        <w:t xml:space="preserve"> </w:t>
      </w:r>
      <w:r>
        <w:t xml:space="preserve">Found attached to certain glyphs, notably in sequences thought to describe the</w:t>
      </w:r>
      <w:r>
        <w:t xml:space="preserve"> </w:t>
      </w:r>
      <w:r>
        <w:rPr>
          <w:b/>
          <w:bCs/>
        </w:rPr>
        <w:t xml:space="preserve">redness</w:t>
      </w:r>
      <w:r>
        <w:t xml:space="preserve"> </w:t>
      </w:r>
      <w:r>
        <w:t xml:space="preserve">or brightness of an object (for example, red feathers or a flaming object). The lexicon notes it “attaches to deity glyphs”【35†】, suggesting it could mark a god’s name with an epithet (many Polynesian gods have color epithets, like “red lord”). It might also have been used to emphasize importance or completion.</w:t>
      </w:r>
      <w:r>
        <w:br/>
      </w:r>
      <w:r>
        <w:rPr>
          <w:b/>
          <w:bCs/>
        </w:rPr>
        <w:t xml:space="preserve">Notes:</w:t>
      </w:r>
      <w:r>
        <w:t xml:space="preserve"> </w:t>
      </w:r>
      <w:r>
        <w:t xml:space="preserve">Likely depicted as a small lozenge or square (Barthel 64 looks like a solid shape). Its identification as “red” comes partly from Metoro’s readings where he uttered color words, and from the context where it appears next to glyphs interpreted as sun or fire (which would be described as bright or red). If indeed</w:t>
      </w:r>
      <w:r>
        <w:t xml:space="preserve"> </w:t>
      </w:r>
      <w:r>
        <w:rPr>
          <w:i/>
          <w:iCs/>
        </w:rPr>
        <w:t xml:space="preserve">mea</w:t>
      </w:r>
      <w:r>
        <w:t xml:space="preserve"> </w:t>
      </w:r>
      <w:r>
        <w:t xml:space="preserve">(thing/quality), it could be a general classifier. But the repeated mention of “red marker” in notes【35†】 tilts towards a color determinative. This suggests Rongorongo had a way to modify nouns with adjectives via such glyphs.</w:t>
      </w:r>
      <w:r>
        <w:br/>
      </w:r>
      <w:r>
        <w:rPr>
          <w:i/>
          <w:iCs/>
        </w:rPr>
        <w:t xml:space="preserve">Sources: Guy (2006) on determinatives; internal compiled notes on color symbolism.</w:t>
      </w:r>
    </w:p>
    <w:bookmarkEnd w:id="90"/>
    <w:bookmarkStart w:id="92" w:name="glyph-999-text-divider-paragraph-break"/>
    <w:p>
      <w:pPr>
        <w:pStyle w:val="Heading3"/>
      </w:pPr>
      <w:r>
        <w:t xml:space="preserve">Glyph 999: Text Divider (Paragraph Break) ❘</w:t>
      </w:r>
    </w:p>
    <w:p>
      <w:pPr>
        <w:pStyle w:val="FirstParagraph"/>
      </w:pPr>
      <w:r>
        <w:rPr>
          <w:b/>
          <w:bCs/>
        </w:rPr>
        <w:t xml:space="preserve">Meaning:</w:t>
      </w:r>
      <w:r>
        <w:t xml:space="preserve"> </w:t>
      </w:r>
      <w:r>
        <w:t xml:space="preserve">A</w:t>
      </w:r>
      <w:r>
        <w:t xml:space="preserve"> </w:t>
      </w:r>
      <w:r>
        <w:rPr>
          <w:b/>
          <w:bCs/>
        </w:rPr>
        <w:t xml:space="preserve">vertical line</w:t>
      </w:r>
      <w:r>
        <w:t xml:space="preserve"> </w:t>
      </w:r>
      <w:r>
        <w:t xml:space="preserve">used as a</w:t>
      </w:r>
      <w:r>
        <w:t xml:space="preserve"> </w:t>
      </w:r>
      <w:r>
        <w:rPr>
          <w:b/>
          <w:bCs/>
        </w:rPr>
        <w:t xml:space="preserve">section divider</w:t>
      </w:r>
      <w:r>
        <w:t xml:space="preserve"> </w:t>
      </w:r>
      <w:r>
        <w:t xml:space="preserve">or</w:t>
      </w:r>
      <w:r>
        <w:t xml:space="preserve"> </w:t>
      </w:r>
      <w:r>
        <w:rPr>
          <w:b/>
          <w:bCs/>
        </w:rPr>
        <w:t xml:space="preserve">punctuation mark</w:t>
      </w:r>
      <w:r>
        <w:t xml:space="preserve">, analogous to a period or paragraph break in text. It is</w:t>
      </w:r>
      <w:r>
        <w:t xml:space="preserve"> </w:t>
      </w:r>
      <w:r>
        <w:rPr>
          <w:i/>
          <w:iCs/>
        </w:rPr>
        <w:t xml:space="preserve">not</w:t>
      </w:r>
      <w:r>
        <w:t xml:space="preserve"> </w:t>
      </w:r>
      <w:r>
        <w:t xml:space="preserve">a spoken glyph but a layout symbol.</w:t>
      </w:r>
      <w:r>
        <w:br/>
      </w:r>
      <w:r>
        <w:rPr>
          <w:b/>
          <w:bCs/>
        </w:rPr>
        <w:t xml:space="preserve">Transliteration:</w:t>
      </w:r>
      <w:r>
        <w:t xml:space="preserve"> </w:t>
      </w:r>
      <w:r>
        <w:t xml:space="preserve">(None phonetic) – referred to conceptually as “segment divider” or simply indicated by a dash (–).</w:t>
      </w:r>
      <w:r>
        <w:br/>
      </w:r>
      <w:r>
        <w:rPr>
          <w:b/>
          <w:bCs/>
        </w:rPr>
        <w:t xml:space="preserve">Context &amp; Usage:</w:t>
      </w:r>
      <w:r>
        <w:t xml:space="preserve"> </w:t>
      </w:r>
      <w:r>
        <w:t xml:space="preserve">Seen extensively on the Santiago Staff (text</w:t>
      </w:r>
      <w:r>
        <w:t xml:space="preserve"> </w:t>
      </w:r>
      <w:r>
        <w:rPr>
          <w:b/>
          <w:bCs/>
        </w:rPr>
        <w:t xml:space="preserve">I</w:t>
      </w:r>
      <w:r>
        <w:t xml:space="preserve">), where about 103 vertical strokes divide the text into segments (possibly verses or genealogical entries)【16†cursor】</w:t>
      </w:r>
      <w:hyperlink r:id="rId91">
        <w:r>
          <w:rPr>
            <w:rStyle w:val="Hyperlink"/>
          </w:rPr>
          <w:t xml:space="preserve">[31]</w:t>
        </w:r>
      </w:hyperlink>
      <w:r>
        <w:t xml:space="preserve">. These dividers occur in regular patterns (often after every three glyph groupings on the staff, leading Fischer to his triad hypothesis). They organize the text but carry no direct vocabulary meaning.</w:t>
      </w:r>
      <w:r>
        <w:br/>
      </w:r>
      <w:r>
        <w:rPr>
          <w:b/>
          <w:bCs/>
        </w:rPr>
        <w:t xml:space="preserve">Notes:</w:t>
      </w:r>
      <w:r>
        <w:t xml:space="preserve"> </w:t>
      </w:r>
      <w:r>
        <w:t xml:space="preserve">This glyph is confirmed as a non-lexical punctuation mark【16†cursor】. It is essentially a carved notch or line. Its presence in Rongorongo shows the script had developed structural punctuation, which is rare in purely mnemonic systems and suggests a higher order of organization【16†cursor】. Because it is confirmed by the high count and consistency on one artifact, decipherers treat it as evidence that Rongorongo recorded memorized chants in verse form. We can equate it to a line break or a period.</w:t>
      </w:r>
      <w:r>
        <w:br/>
      </w:r>
      <w:r>
        <w:rPr>
          <w:i/>
          <w:iCs/>
        </w:rPr>
        <w:t xml:space="preserve">Sources: Counting by Fischer 1997 (over 100 dividers on Staff); Robinson (2002) statistical checks</w:t>
      </w:r>
      <w:hyperlink r:id="rId91">
        <w:r>
          <w:rPr>
            <w:rStyle w:val="Hyperlink"/>
            <w:i/>
            <w:iCs/>
          </w:rPr>
          <w:t xml:space="preserve">[31]</w:t>
        </w:r>
      </w:hyperlink>
      <w:r>
        <w:rPr>
          <w:i/>
          <w:iCs/>
        </w:rPr>
        <w:t xml:space="preserve">.</w:t>
      </w:r>
    </w:p>
    <w:bookmarkEnd w:id="92"/>
    <w:bookmarkEnd w:id="93"/>
    <w:bookmarkStart w:id="96" w:name="undeciphered-glyphs-and-conclusion"/>
    <w:p>
      <w:pPr>
        <w:pStyle w:val="Heading2"/>
      </w:pPr>
      <w:r>
        <w:t xml:space="preserve">Undeciphered Glyphs and Conclusion</w:t>
      </w:r>
    </w:p>
    <w:p>
      <w:pPr>
        <w:pStyle w:val="FirstParagraph"/>
      </w:pPr>
      <w:r>
        <w:t xml:space="preserve">Despite significant progress in identifying the themes above, a large portion of Rongorongo’s ~600-700 glyph inventory remains undeciphered or only tentatively understood. Approximately 188 glyph types have no confirmed meaning (“awaiting decipherment”), often due to extremely low frequency (many appear only once) or ambiguous contexts. These include numerous variant forms and composite signs which have not yielded to cross-tablet analysis or linguistic comparison. For example, Barthel numbers</w:t>
      </w:r>
      <w:r>
        <w:t xml:space="preserve"> </w:t>
      </w:r>
      <w:r>
        <w:rPr>
          <w:b/>
          <w:bCs/>
        </w:rPr>
        <w:t xml:space="preserve">101–120</w:t>
      </w:r>
      <w:r>
        <w:t xml:space="preserve">,</w:t>
      </w:r>
      <w:r>
        <w:t xml:space="preserve"> </w:t>
      </w:r>
      <w:r>
        <w:rPr>
          <w:b/>
          <w:bCs/>
        </w:rPr>
        <w:t xml:space="preserve">144–151</w:t>
      </w:r>
      <w:r>
        <w:t xml:space="preserve">,</w:t>
      </w:r>
      <w:r>
        <w:t xml:space="preserve"> </w:t>
      </w:r>
      <w:r>
        <w:rPr>
          <w:b/>
          <w:bCs/>
        </w:rPr>
        <w:t xml:space="preserve">153–199</w:t>
      </w:r>
      <w:r>
        <w:t xml:space="preserve">,</w:t>
      </w:r>
      <w:r>
        <w:t xml:space="preserve"> </w:t>
      </w:r>
      <w:r>
        <w:rPr>
          <w:b/>
          <w:bCs/>
        </w:rPr>
        <w:t xml:space="preserve">201–210</w:t>
      </w:r>
      <w:r>
        <w:t xml:space="preserve">, and many isolated higher-numbered glyphs (e.g. 220, 230, 240, … 370, 380, etc.) are still of unknown significance. They might represent specific flora, fauna, divine concepts, or even syllabic elements that elude current knowledge. Ongoing research attempts to decipher these by looking for patterns, allographs</w:t>
      </w:r>
      <w:hyperlink r:id="rId88">
        <w:r>
          <w:rPr>
            <w:rStyle w:val="Hyperlink"/>
          </w:rPr>
          <w:t xml:space="preserve">[32]</w:t>
        </w:r>
      </w:hyperlink>
      <w:r>
        <w:t xml:space="preserve">, and potential sound values, but as of now they remain an open mystery.</w:t>
      </w:r>
    </w:p>
    <w:p>
      <w:pPr>
        <w:pStyle w:val="BodyText"/>
      </w:pPr>
      <w:r>
        <w:t xml:space="preserve">Below is a JSON list of the remaining undeciphered glyphs (by Barthel ID), marked as</w:t>
      </w:r>
      <w:r>
        <w:t xml:space="preserve"> </w:t>
      </w:r>
      <w:r>
        <w:rPr>
          <w:i/>
          <w:iCs/>
        </w:rPr>
        <w:t xml:space="preserve">awaiting decipherment</w:t>
      </w:r>
      <w:r>
        <w:t xml:space="preserve">. This list serves as a roadmap for future Phase research, indicating which glyphs still require identification and interpretation:</w:t>
      </w:r>
    </w:p>
    <w:p>
      <w:pPr>
        <w:pStyle w:val="SourceCode"/>
      </w:pPr>
      <w:r>
        <w:rPr>
          <w:rStyle w:val="VerbatimChar"/>
        </w:rPr>
        <w:t xml:space="preserve">[</w:t>
      </w:r>
      <w:r>
        <w:br/>
      </w:r>
      <w:r>
        <w:rPr>
          <w:rStyle w:val="VerbatimChar"/>
        </w:rPr>
        <w:t xml:space="preserve">  {"glyph_id": 101, "status": "awaiting decipherment"},</w:t>
      </w:r>
      <w:r>
        <w:br/>
      </w:r>
      <w:r>
        <w:rPr>
          <w:rStyle w:val="VerbatimChar"/>
        </w:rPr>
        <w:t xml:space="preserve">  {"glyph_id": 102, "status": "awaiting decipherment"},</w:t>
      </w:r>
      <w:r>
        <w:br/>
      </w:r>
      <w:r>
        <w:rPr>
          <w:rStyle w:val="VerbatimChar"/>
        </w:rPr>
        <w:t xml:space="preserve">  {"glyph_id": 103, "status": "awaiting decipherment"},</w:t>
      </w:r>
      <w:r>
        <w:br/>
      </w:r>
      <w:r>
        <w:rPr>
          <w:rStyle w:val="VerbatimChar"/>
        </w:rPr>
        <w:t xml:space="preserve">  {"glyph_id": 104, "status": "awaiting decipherment"},</w:t>
      </w:r>
      <w:r>
        <w:br/>
      </w:r>
      <w:r>
        <w:rPr>
          <w:rStyle w:val="VerbatimChar"/>
        </w:rPr>
        <w:t xml:space="preserve">  {"glyph_id": 105, "status": "awaiting decipherment"},</w:t>
      </w:r>
      <w:r>
        <w:br/>
      </w:r>
      <w:r>
        <w:rPr>
          <w:rStyle w:val="VerbatimChar"/>
        </w:rPr>
        <w:t xml:space="preserve">  {"glyph_id": 106, "status": "awaiting decipherment"},</w:t>
      </w:r>
      <w:r>
        <w:br/>
      </w:r>
      <w:r>
        <w:rPr>
          <w:rStyle w:val="VerbatimChar"/>
        </w:rPr>
        <w:t xml:space="preserve">  {"glyph_id": 107, "status": "awaiting decipherment"},</w:t>
      </w:r>
      <w:r>
        <w:br/>
      </w:r>
      <w:r>
        <w:rPr>
          <w:rStyle w:val="VerbatimChar"/>
        </w:rPr>
        <w:t xml:space="preserve">  {"glyph_id": 108, "status": "awaiting decipherment"},</w:t>
      </w:r>
      <w:r>
        <w:br/>
      </w:r>
      <w:r>
        <w:rPr>
          <w:rStyle w:val="VerbatimChar"/>
        </w:rPr>
        <w:t xml:space="preserve">  {"glyph_id": 109, "status": "awaiting decipherment"},</w:t>
      </w:r>
      <w:r>
        <w:br/>
      </w:r>
      <w:r>
        <w:rPr>
          <w:rStyle w:val="VerbatimChar"/>
        </w:rPr>
        <w:t xml:space="preserve">  {"glyph_id": 110, "status": "awaiting decipherment"},</w:t>
      </w:r>
      <w:r>
        <w:br/>
      </w:r>
      <w:r>
        <w:rPr>
          <w:rStyle w:val="VerbatimChar"/>
        </w:rPr>
        <w:t xml:space="preserve">  {"glyph_id": 111, "status": "awaiting decipherment"},</w:t>
      </w:r>
      <w:r>
        <w:br/>
      </w:r>
      <w:r>
        <w:rPr>
          <w:rStyle w:val="VerbatimChar"/>
        </w:rPr>
        <w:t xml:space="preserve">  {"glyph_id": 112, "status": "awaiting decipherment"},</w:t>
      </w:r>
      <w:r>
        <w:br/>
      </w:r>
      <w:r>
        <w:rPr>
          <w:rStyle w:val="VerbatimChar"/>
        </w:rPr>
        <w:t xml:space="preserve">  {"glyph_id": 113, "status": "awaiting decipherment"},</w:t>
      </w:r>
      <w:r>
        <w:br/>
      </w:r>
      <w:r>
        <w:rPr>
          <w:rStyle w:val="VerbatimChar"/>
        </w:rPr>
        <w:t xml:space="preserve">  {"glyph_id": 114, "status": "awaiting decipherment"},</w:t>
      </w:r>
      <w:r>
        <w:br/>
      </w:r>
      <w:r>
        <w:rPr>
          <w:rStyle w:val="VerbatimChar"/>
        </w:rPr>
        <w:t xml:space="preserve">  {"glyph_id": 115, "status": "awaiting decipherment"},</w:t>
      </w:r>
      <w:r>
        <w:br/>
      </w:r>
      <w:r>
        <w:rPr>
          <w:rStyle w:val="VerbatimChar"/>
        </w:rPr>
        <w:t xml:space="preserve">  {"glyph_id": 116, "status": "awaiting decipherment"},</w:t>
      </w:r>
      <w:r>
        <w:br/>
      </w:r>
      <w:r>
        <w:rPr>
          <w:rStyle w:val="VerbatimChar"/>
        </w:rPr>
        <w:t xml:space="preserve">  {"glyph_id": 117, "status": "awaiting decipherment"},</w:t>
      </w:r>
      <w:r>
        <w:br/>
      </w:r>
      <w:r>
        <w:rPr>
          <w:rStyle w:val="VerbatimChar"/>
        </w:rPr>
        <w:t xml:space="preserve">  {"glyph_id": 118, "status": "awaiting decipherment"},</w:t>
      </w:r>
      <w:r>
        <w:br/>
      </w:r>
      <w:r>
        <w:rPr>
          <w:rStyle w:val="VerbatimChar"/>
        </w:rPr>
        <w:t xml:space="preserve">  {"glyph_id": 119, "status": "awaiting decipherment"},</w:t>
      </w:r>
      <w:r>
        <w:br/>
      </w:r>
      <w:r>
        <w:rPr>
          <w:rStyle w:val="VerbatimChar"/>
        </w:rPr>
        <w:t xml:space="preserve">  {"glyph_id": 120, "status": "awaiting decipherment"},</w:t>
      </w:r>
      <w:r>
        <w:br/>
      </w:r>
      <w:r>
        <w:rPr>
          <w:rStyle w:val="VerbatimChar"/>
        </w:rPr>
        <w:t xml:space="preserve">  {"glyph_id": 144, "status": "awaiting decipherment"},</w:t>
      </w:r>
      <w:r>
        <w:br/>
      </w:r>
      <w:r>
        <w:rPr>
          <w:rStyle w:val="VerbatimChar"/>
        </w:rPr>
        <w:t xml:space="preserve">  {"glyph_id": 145, "status": "awaiting decipherment"},</w:t>
      </w:r>
      <w:r>
        <w:br/>
      </w:r>
      <w:r>
        <w:rPr>
          <w:rStyle w:val="VerbatimChar"/>
        </w:rPr>
        <w:t xml:space="preserve">  {"glyph_id": 146, "status": "awaiting decipherment"},</w:t>
      </w:r>
      <w:r>
        <w:br/>
      </w:r>
      <w:r>
        <w:rPr>
          <w:rStyle w:val="VerbatimChar"/>
        </w:rPr>
        <w:t xml:space="preserve">  {"glyph_id": 147, "status": "awaiting decipherment"},</w:t>
      </w:r>
      <w:r>
        <w:br/>
      </w:r>
      <w:r>
        <w:rPr>
          <w:rStyle w:val="VerbatimChar"/>
        </w:rPr>
        <w:t xml:space="preserve">  {"glyph_id": 148, "status": "awaiting decipherment"},</w:t>
      </w:r>
      <w:r>
        <w:br/>
      </w:r>
      <w:r>
        <w:rPr>
          <w:rStyle w:val="VerbatimChar"/>
        </w:rPr>
        <w:t xml:space="preserve">  {"glyph_id": 149, "status": "awaiting decipherment"},</w:t>
      </w:r>
      <w:r>
        <w:br/>
      </w:r>
      <w:r>
        <w:rPr>
          <w:rStyle w:val="VerbatimChar"/>
        </w:rPr>
        <w:t xml:space="preserve">  {"glyph_id": 150, "status": "awaiting decipherment"},</w:t>
      </w:r>
      <w:r>
        <w:br/>
      </w:r>
      <w:r>
        <w:rPr>
          <w:rStyle w:val="VerbatimChar"/>
        </w:rPr>
        <w:t xml:space="preserve">  {"glyph_id": 151, "status": "awaiting decipherment"},</w:t>
      </w:r>
      <w:r>
        <w:br/>
      </w:r>
      <w:r>
        <w:rPr>
          <w:rStyle w:val="VerbatimChar"/>
        </w:rPr>
        <w:t xml:space="preserve">  {"glyph_id": 153, "status": "awaiting decipherment"},</w:t>
      </w:r>
      <w:r>
        <w:br/>
      </w:r>
      <w:r>
        <w:rPr>
          <w:rStyle w:val="VerbatimChar"/>
        </w:rPr>
        <w:t xml:space="preserve">  {"glyph_id": 154, "status": "awaiting decipherment"},</w:t>
      </w:r>
      <w:r>
        <w:br/>
      </w:r>
      <w:r>
        <w:rPr>
          <w:rStyle w:val="VerbatimChar"/>
        </w:rPr>
        <w:t xml:space="preserve">  {"glyph_id": 155, "status": "awaiting decipherment"},</w:t>
      </w:r>
      <w:r>
        <w:br/>
      </w:r>
      <w:r>
        <w:rPr>
          <w:rStyle w:val="VerbatimChar"/>
        </w:rPr>
        <w:t xml:space="preserve">  {"glyph_id": 156, "status": "awaiting decipherment"},</w:t>
      </w:r>
      <w:r>
        <w:br/>
      </w:r>
      <w:r>
        <w:rPr>
          <w:rStyle w:val="VerbatimChar"/>
        </w:rPr>
        <w:t xml:space="preserve">  {"glyph_id": 157, "status": "awaiting decipherment"},</w:t>
      </w:r>
      <w:r>
        <w:br/>
      </w:r>
      <w:r>
        <w:rPr>
          <w:rStyle w:val="VerbatimChar"/>
        </w:rPr>
        <w:t xml:space="preserve">  {"glyph_id": 158, "status": "awaiting decipherment"},</w:t>
      </w:r>
      <w:r>
        <w:br/>
      </w:r>
      <w:r>
        <w:rPr>
          <w:rStyle w:val="VerbatimChar"/>
        </w:rPr>
        <w:t xml:space="preserve">  {"glyph_id": 159, "status": "awaiting decipherment"},</w:t>
      </w:r>
      <w:r>
        <w:br/>
      </w:r>
      <w:r>
        <w:rPr>
          <w:rStyle w:val="VerbatimChar"/>
        </w:rPr>
        <w:t xml:space="preserve">  {"glyph_id": 160, "status": "awaiting decipherment"},</w:t>
      </w:r>
      <w:r>
        <w:br/>
      </w:r>
      <w:r>
        <w:rPr>
          <w:rStyle w:val="VerbatimChar"/>
        </w:rPr>
        <w:t xml:space="preserve">  {"glyph_id": 161, "status": "awaiting decipherment"},</w:t>
      </w:r>
      <w:r>
        <w:br/>
      </w:r>
      <w:r>
        <w:rPr>
          <w:rStyle w:val="VerbatimChar"/>
        </w:rPr>
        <w:t xml:space="preserve">  {"glyph_id": 162, "status": "awaiting decipherment"},</w:t>
      </w:r>
      <w:r>
        <w:br/>
      </w:r>
      <w:r>
        <w:rPr>
          <w:rStyle w:val="VerbatimChar"/>
        </w:rPr>
        <w:t xml:space="preserve">  {"glyph_id": 163, "status": "awaiting decipherment"},</w:t>
      </w:r>
      <w:r>
        <w:br/>
      </w:r>
      <w:r>
        <w:rPr>
          <w:rStyle w:val="VerbatimChar"/>
        </w:rPr>
        <w:t xml:space="preserve">  {"glyph_id": 164, "status": "awaiting decipherment"},</w:t>
      </w:r>
      <w:r>
        <w:br/>
      </w:r>
      <w:r>
        <w:rPr>
          <w:rStyle w:val="VerbatimChar"/>
        </w:rPr>
        <w:t xml:space="preserve">  {"glyph_id": 165, "status": "awaiting decipherment"},</w:t>
      </w:r>
      <w:r>
        <w:br/>
      </w:r>
      <w:r>
        <w:rPr>
          <w:rStyle w:val="VerbatimChar"/>
        </w:rPr>
        <w:t xml:space="preserve">  {"glyph_id": 166, "status": "awaiting decipherment"},</w:t>
      </w:r>
      <w:r>
        <w:br/>
      </w:r>
      <w:r>
        <w:rPr>
          <w:rStyle w:val="VerbatimChar"/>
        </w:rPr>
        <w:t xml:space="preserve">  {"glyph_id": 167, "status": "awaiting decipherment"},</w:t>
      </w:r>
      <w:r>
        <w:br/>
      </w:r>
      <w:r>
        <w:rPr>
          <w:rStyle w:val="VerbatimChar"/>
        </w:rPr>
        <w:t xml:space="preserve">  {"glyph_id": 168, "status": "awaiting decipherment"},</w:t>
      </w:r>
      <w:r>
        <w:br/>
      </w:r>
      <w:r>
        <w:rPr>
          <w:rStyle w:val="VerbatimChar"/>
        </w:rPr>
        <w:t xml:space="preserve">  {"glyph_id": 169, "status": "awaiting decipherment"},</w:t>
      </w:r>
      <w:r>
        <w:br/>
      </w:r>
      <w:r>
        <w:rPr>
          <w:rStyle w:val="VerbatimChar"/>
        </w:rPr>
        <w:t xml:space="preserve">  {"glyph_id": 170, "status": "awaiting decipherment"},</w:t>
      </w:r>
      <w:r>
        <w:br/>
      </w:r>
      <w:r>
        <w:rPr>
          <w:rStyle w:val="VerbatimChar"/>
        </w:rPr>
        <w:t xml:space="preserve">  {"glyph_id": 171, "status": "awaiting decipherment"},</w:t>
      </w:r>
      <w:r>
        <w:br/>
      </w:r>
      <w:r>
        <w:rPr>
          <w:rStyle w:val="VerbatimChar"/>
        </w:rPr>
        <w:t xml:space="preserve">  {"glyph_id": 172, "status": "awaiting decipherment"},</w:t>
      </w:r>
      <w:r>
        <w:br/>
      </w:r>
      <w:r>
        <w:rPr>
          <w:rStyle w:val="VerbatimChar"/>
        </w:rPr>
        <w:t xml:space="preserve">  {"glyph_id": 173, "status": "awaiting decipherment"},</w:t>
      </w:r>
      <w:r>
        <w:br/>
      </w:r>
      <w:r>
        <w:rPr>
          <w:rStyle w:val="VerbatimChar"/>
        </w:rPr>
        <w:t xml:space="preserve">  {"glyph_id": 174, "status": "awaiting decipherment"},</w:t>
      </w:r>
      <w:r>
        <w:br/>
      </w:r>
      <w:r>
        <w:rPr>
          <w:rStyle w:val="VerbatimChar"/>
        </w:rPr>
        <w:t xml:space="preserve">  {"glyph_id": 175, "status": "awaiting decipherment"},</w:t>
      </w:r>
      <w:r>
        <w:br/>
      </w:r>
      <w:r>
        <w:rPr>
          <w:rStyle w:val="VerbatimChar"/>
        </w:rPr>
        <w:t xml:space="preserve">  {"glyph_id": 176, "status": "awaiting decipherment"},</w:t>
      </w:r>
      <w:r>
        <w:br/>
      </w:r>
      <w:r>
        <w:rPr>
          <w:rStyle w:val="VerbatimChar"/>
        </w:rPr>
        <w:t xml:space="preserve">  {"glyph_id": 177, "status": "awaiting decipherment"},</w:t>
      </w:r>
      <w:r>
        <w:br/>
      </w:r>
      <w:r>
        <w:rPr>
          <w:rStyle w:val="VerbatimChar"/>
        </w:rPr>
        <w:t xml:space="preserve">  {"glyph_id": 178, "status": "awaiting decipherment"},</w:t>
      </w:r>
      <w:r>
        <w:br/>
      </w:r>
      <w:r>
        <w:rPr>
          <w:rStyle w:val="VerbatimChar"/>
        </w:rPr>
        <w:t xml:space="preserve">  {"glyph_id": 179, "status": "awaiting decipherment"},</w:t>
      </w:r>
      <w:r>
        <w:br/>
      </w:r>
      <w:r>
        <w:rPr>
          <w:rStyle w:val="VerbatimChar"/>
        </w:rPr>
        <w:t xml:space="preserve">  {"glyph_id": 180, "status": "awaiting decipherment"},</w:t>
      </w:r>
      <w:r>
        <w:br/>
      </w:r>
      <w:r>
        <w:rPr>
          <w:rStyle w:val="VerbatimChar"/>
        </w:rPr>
        <w:t xml:space="preserve">  {"glyph_id": 181, "status": "awaiting decipherment"},</w:t>
      </w:r>
      <w:r>
        <w:br/>
      </w:r>
      <w:r>
        <w:rPr>
          <w:rStyle w:val="VerbatimChar"/>
        </w:rPr>
        <w:t xml:space="preserve">  {"glyph_id": 182, "status": "awaiting decipherment"},</w:t>
      </w:r>
      <w:r>
        <w:br/>
      </w:r>
      <w:r>
        <w:rPr>
          <w:rStyle w:val="VerbatimChar"/>
        </w:rPr>
        <w:t xml:space="preserve">  {"glyph_id": 183, "status": "awaiting decipherment"},</w:t>
      </w:r>
      <w:r>
        <w:br/>
      </w:r>
      <w:r>
        <w:rPr>
          <w:rStyle w:val="VerbatimChar"/>
        </w:rPr>
        <w:t xml:space="preserve">  {"glyph_id": 184, "status": "awaiting decipherment"},</w:t>
      </w:r>
      <w:r>
        <w:br/>
      </w:r>
      <w:r>
        <w:rPr>
          <w:rStyle w:val="VerbatimChar"/>
        </w:rPr>
        <w:t xml:space="preserve">  {"glyph_id": 185, "status": "awaiting decipherment"},</w:t>
      </w:r>
      <w:r>
        <w:br/>
      </w:r>
      <w:r>
        <w:rPr>
          <w:rStyle w:val="VerbatimChar"/>
        </w:rPr>
        <w:t xml:space="preserve">  {"glyph_id": 186, "status": "awaiting decipherment"},</w:t>
      </w:r>
      <w:r>
        <w:br/>
      </w:r>
      <w:r>
        <w:rPr>
          <w:rStyle w:val="VerbatimChar"/>
        </w:rPr>
        <w:t xml:space="preserve">  {"glyph_id": 187, "status": "awaiting decipherment"},</w:t>
      </w:r>
      <w:r>
        <w:br/>
      </w:r>
      <w:r>
        <w:rPr>
          <w:rStyle w:val="VerbatimChar"/>
        </w:rPr>
        <w:t xml:space="preserve">  {"glyph_id": 188, "status": "awaiting decipherment"},</w:t>
      </w:r>
      <w:r>
        <w:br/>
      </w:r>
      <w:r>
        <w:rPr>
          <w:rStyle w:val="VerbatimChar"/>
        </w:rPr>
        <w:t xml:space="preserve">  {"glyph_id": 189, "status": "awaiting decipherment"},</w:t>
      </w:r>
      <w:r>
        <w:br/>
      </w:r>
      <w:r>
        <w:rPr>
          <w:rStyle w:val="VerbatimChar"/>
        </w:rPr>
        <w:t xml:space="preserve">  {"glyph_id": 190, "status": "awaiting decipherment"},</w:t>
      </w:r>
      <w:r>
        <w:br/>
      </w:r>
      <w:r>
        <w:rPr>
          <w:rStyle w:val="VerbatimChar"/>
        </w:rPr>
        <w:t xml:space="preserve">  {"glyph_id": 191, "status": "awaiting decipherment"},</w:t>
      </w:r>
      <w:r>
        <w:br/>
      </w:r>
      <w:r>
        <w:rPr>
          <w:rStyle w:val="VerbatimChar"/>
        </w:rPr>
        <w:t xml:space="preserve">  {"glyph_id": 192, "status": "awaiting decipherment"},</w:t>
      </w:r>
      <w:r>
        <w:br/>
      </w:r>
      <w:r>
        <w:rPr>
          <w:rStyle w:val="VerbatimChar"/>
        </w:rPr>
        <w:t xml:space="preserve">  {"glyph_id": 193, "status": "awaiting decipherment"},</w:t>
      </w:r>
      <w:r>
        <w:br/>
      </w:r>
      <w:r>
        <w:rPr>
          <w:rStyle w:val="VerbatimChar"/>
        </w:rPr>
        <w:t xml:space="preserve">  {"glyph_id": 194, "status": "awaiting decipherment"},</w:t>
      </w:r>
      <w:r>
        <w:br/>
      </w:r>
      <w:r>
        <w:rPr>
          <w:rStyle w:val="VerbatimChar"/>
        </w:rPr>
        <w:t xml:space="preserve">  {"glyph_id": 195, "status": "awaiting decipherment"},</w:t>
      </w:r>
      <w:r>
        <w:br/>
      </w:r>
      <w:r>
        <w:rPr>
          <w:rStyle w:val="VerbatimChar"/>
        </w:rPr>
        <w:t xml:space="preserve">  {"glyph_id": 196, "status": "awaiting decipherment"},</w:t>
      </w:r>
      <w:r>
        <w:br/>
      </w:r>
      <w:r>
        <w:rPr>
          <w:rStyle w:val="VerbatimChar"/>
        </w:rPr>
        <w:t xml:space="preserve">  {"glyph_id": 197, "status": "awaiting decipherment"},</w:t>
      </w:r>
      <w:r>
        <w:br/>
      </w:r>
      <w:r>
        <w:rPr>
          <w:rStyle w:val="VerbatimChar"/>
        </w:rPr>
        <w:t xml:space="preserve">  {"glyph_id": 198, "status": "awaiting decipherment"},</w:t>
      </w:r>
      <w:r>
        <w:br/>
      </w:r>
      <w:r>
        <w:rPr>
          <w:rStyle w:val="VerbatimChar"/>
        </w:rPr>
        <w:t xml:space="preserve">  {"glyph_id": 199, "status": "awaiting decipherment"},</w:t>
      </w:r>
      <w:r>
        <w:br/>
      </w:r>
      <w:r>
        <w:rPr>
          <w:rStyle w:val="VerbatimChar"/>
        </w:rPr>
        <w:t xml:space="preserve">  {"glyph_id": 201, "status": "awaiting decipherment"},</w:t>
      </w:r>
      <w:r>
        <w:br/>
      </w:r>
      <w:r>
        <w:rPr>
          <w:rStyle w:val="VerbatimChar"/>
        </w:rPr>
        <w:t xml:space="preserve">  {"glyph_id": 202, "status": "awaiting decipherment"},</w:t>
      </w:r>
      <w:r>
        <w:br/>
      </w:r>
      <w:r>
        <w:rPr>
          <w:rStyle w:val="VerbatimChar"/>
        </w:rPr>
        <w:t xml:space="preserve">  {"glyph_id": 203, "status": "awaiting decipherment"},</w:t>
      </w:r>
      <w:r>
        <w:br/>
      </w:r>
      <w:r>
        <w:rPr>
          <w:rStyle w:val="VerbatimChar"/>
        </w:rPr>
        <w:t xml:space="preserve">  {"glyph_id": 204, "status": "awaiting decipherment"},</w:t>
      </w:r>
      <w:r>
        <w:br/>
      </w:r>
      <w:r>
        <w:rPr>
          <w:rStyle w:val="VerbatimChar"/>
        </w:rPr>
        <w:t xml:space="preserve">  {"glyph_id": 205, "status": "awaiting decipherment"},</w:t>
      </w:r>
      <w:r>
        <w:br/>
      </w:r>
      <w:r>
        <w:rPr>
          <w:rStyle w:val="VerbatimChar"/>
        </w:rPr>
        <w:t xml:space="preserve">  {"glyph_id": 206, "status": "awaiting decipherment"},</w:t>
      </w:r>
      <w:r>
        <w:br/>
      </w:r>
      <w:r>
        <w:rPr>
          <w:rStyle w:val="VerbatimChar"/>
        </w:rPr>
        <w:t xml:space="preserve">  {"glyph_id": 207, "status": "awaiting decipherment"},</w:t>
      </w:r>
      <w:r>
        <w:br/>
      </w:r>
      <w:r>
        <w:rPr>
          <w:rStyle w:val="VerbatimChar"/>
        </w:rPr>
        <w:t xml:space="preserve">  {"glyph_id": 208, "status": "awaiting decipherment"},</w:t>
      </w:r>
      <w:r>
        <w:br/>
      </w:r>
      <w:r>
        <w:rPr>
          <w:rStyle w:val="VerbatimChar"/>
        </w:rPr>
        <w:t xml:space="preserve">  {"glyph_id": 209, "status": "awaiting decipherment"},</w:t>
      </w:r>
      <w:r>
        <w:br/>
      </w:r>
      <w:r>
        <w:rPr>
          <w:rStyle w:val="VerbatimChar"/>
        </w:rPr>
        <w:t xml:space="preserve">  {"glyph_id": 210, "status": "awaiting decipherment"},</w:t>
      </w:r>
      <w:r>
        <w:br/>
      </w:r>
      <w:r>
        <w:rPr>
          <w:rStyle w:val="VerbatimChar"/>
        </w:rPr>
        <w:t xml:space="preserve">  {"glyph_id": 220, "status": "awaiting decipherment"},</w:t>
      </w:r>
      <w:r>
        <w:br/>
      </w:r>
      <w:r>
        <w:rPr>
          <w:rStyle w:val="VerbatimChar"/>
        </w:rPr>
        <w:t xml:space="preserve">  {"glyph_id": 230, "status": "awaiting decipherment"},</w:t>
      </w:r>
      <w:r>
        <w:br/>
      </w:r>
      <w:r>
        <w:rPr>
          <w:rStyle w:val="VerbatimChar"/>
        </w:rPr>
        <w:t xml:space="preserve">  {"glyph_id": 240, "status": "awaiting decipherment"},</w:t>
      </w:r>
      <w:r>
        <w:br/>
      </w:r>
      <w:r>
        <w:rPr>
          <w:rStyle w:val="VerbatimChar"/>
        </w:rPr>
        <w:t xml:space="preserve">  {"glyph_id": 250, "status": "awaiting decipherment"},</w:t>
      </w:r>
      <w:r>
        <w:br/>
      </w:r>
      <w:r>
        <w:rPr>
          <w:rStyle w:val="VerbatimChar"/>
        </w:rPr>
        <w:t xml:space="preserve">  {"glyph_id": 260, "status": "awaiting decipherment"},</w:t>
      </w:r>
      <w:r>
        <w:br/>
      </w:r>
      <w:r>
        <w:rPr>
          <w:rStyle w:val="VerbatimChar"/>
        </w:rPr>
        <w:t xml:space="preserve">  {"glyph_id": 270, "status": "awaiting decipherment"},</w:t>
      </w:r>
      <w:r>
        <w:br/>
      </w:r>
      <w:r>
        <w:rPr>
          <w:rStyle w:val="VerbatimChar"/>
        </w:rPr>
        <w:t xml:space="preserve">  {"glyph_id": 290, "status": "awaiting decipherment"},</w:t>
      </w:r>
      <w:r>
        <w:br/>
      </w:r>
      <w:r>
        <w:rPr>
          <w:rStyle w:val="VerbatimChar"/>
        </w:rPr>
        <w:t xml:space="preserve">  {"glyph_id": 301, "status": "awaiting decipherment"},</w:t>
      </w:r>
      <w:r>
        <w:br/>
      </w:r>
      <w:r>
        <w:rPr>
          <w:rStyle w:val="VerbatimChar"/>
        </w:rPr>
        <w:t xml:space="preserve">  {"glyph_id": 302, "status": "awaiting decipherment"},</w:t>
      </w:r>
      <w:r>
        <w:br/>
      </w:r>
      <w:r>
        <w:rPr>
          <w:rStyle w:val="VerbatimChar"/>
        </w:rPr>
        <w:t xml:space="preserve">  {"glyph_id": 310, "status": "awaiting decipherment"},</w:t>
      </w:r>
      <w:r>
        <w:br/>
      </w:r>
      <w:r>
        <w:rPr>
          <w:rStyle w:val="VerbatimChar"/>
        </w:rPr>
        <w:t xml:space="preserve">  {"glyph_id": 320, "status": "awaiting decipherment"},</w:t>
      </w:r>
      <w:r>
        <w:br/>
      </w:r>
      <w:r>
        <w:rPr>
          <w:rStyle w:val="VerbatimChar"/>
        </w:rPr>
        <w:t xml:space="preserve">  {"glyph_id": 330, "status": "awaiting decipherment"},</w:t>
      </w:r>
      <w:r>
        <w:br/>
      </w:r>
      <w:r>
        <w:rPr>
          <w:rStyle w:val="VerbatimChar"/>
        </w:rPr>
        <w:t xml:space="preserve">  {"glyph_id": 340, "status": "awaiting decipherment"},</w:t>
      </w:r>
      <w:r>
        <w:br/>
      </w:r>
      <w:r>
        <w:rPr>
          <w:rStyle w:val="VerbatimChar"/>
        </w:rPr>
        <w:t xml:space="preserve">  {"glyph_id": 350, "status": "awaiting decipherment"},</w:t>
      </w:r>
      <w:r>
        <w:br/>
      </w:r>
      <w:r>
        <w:rPr>
          <w:rStyle w:val="VerbatimChar"/>
        </w:rPr>
        <w:t xml:space="preserve">  {"glyph_id": 360, "status": "awaiting decipherment"},</w:t>
      </w:r>
      <w:r>
        <w:br/>
      </w:r>
      <w:r>
        <w:rPr>
          <w:rStyle w:val="VerbatimChar"/>
        </w:rPr>
        <w:t xml:space="preserve">  {"glyph_id": 370, "status": "awaiting decipherment"},</w:t>
      </w:r>
      <w:r>
        <w:br/>
      </w:r>
      <w:r>
        <w:rPr>
          <w:rStyle w:val="VerbatimChar"/>
        </w:rPr>
        <w:t xml:space="preserve">  {"glyph_id": 380, "status": "awaiting decipherment"},</w:t>
      </w:r>
      <w:r>
        <w:br/>
      </w:r>
      <w:r>
        <w:rPr>
          <w:rStyle w:val="VerbatimChar"/>
        </w:rPr>
        <w:t xml:space="preserve">  {"glyph_id": 390, "status": "awaiting decipherment"},</w:t>
      </w:r>
      <w:r>
        <w:br/>
      </w:r>
      <w:r>
        <w:rPr>
          <w:rStyle w:val="VerbatimChar"/>
        </w:rPr>
        <w:t xml:space="preserve">  {"glyph_id": 400, "status": "awaiting decipherment"},</w:t>
      </w:r>
      <w:r>
        <w:br/>
      </w:r>
      <w:r>
        <w:rPr>
          <w:rStyle w:val="VerbatimChar"/>
        </w:rPr>
        <w:t xml:space="preserve">  {"glyph_id": 410, "status": "awaiting decipherment"},</w:t>
      </w:r>
      <w:r>
        <w:br/>
      </w:r>
      <w:r>
        <w:rPr>
          <w:rStyle w:val="VerbatimChar"/>
        </w:rPr>
        <w:t xml:space="preserve">  {"glyph_id": 420, "status": "awaiting decipherment"},</w:t>
      </w:r>
      <w:r>
        <w:br/>
      </w:r>
      <w:r>
        <w:rPr>
          <w:rStyle w:val="VerbatimChar"/>
        </w:rPr>
        <w:t xml:space="preserve">  {"glyph_id": 430, "status": "awaiting decipherment"},</w:t>
      </w:r>
      <w:r>
        <w:br/>
      </w:r>
      <w:r>
        <w:rPr>
          <w:rStyle w:val="VerbatimChar"/>
        </w:rPr>
        <w:t xml:space="preserve">  {"glyph_id": 440, "status": "awaiting decipherment"},</w:t>
      </w:r>
      <w:r>
        <w:br/>
      </w:r>
      <w:r>
        <w:rPr>
          <w:rStyle w:val="VerbatimChar"/>
        </w:rPr>
        <w:t xml:space="preserve">  {"glyph_id": 450, "status": "awaiting decipherment"},</w:t>
      </w:r>
      <w:r>
        <w:br/>
      </w:r>
      <w:r>
        <w:rPr>
          <w:rStyle w:val="VerbatimChar"/>
        </w:rPr>
        <w:t xml:space="preserve">  {"glyph_id": 460, "status": "awaiting decipherment"},</w:t>
      </w:r>
      <w:r>
        <w:br/>
      </w:r>
      <w:r>
        <w:rPr>
          <w:rStyle w:val="VerbatimChar"/>
        </w:rPr>
        <w:t xml:space="preserve">  {"glyph_id": 470, "status": "awaiting decipherment"},</w:t>
      </w:r>
      <w:r>
        <w:br/>
      </w:r>
      <w:r>
        <w:rPr>
          <w:rStyle w:val="VerbatimChar"/>
        </w:rPr>
        <w:t xml:space="preserve">  {"glyph_id": 480, "status": "awaiting decipherment"},</w:t>
      </w:r>
      <w:r>
        <w:br/>
      </w:r>
      <w:r>
        <w:rPr>
          <w:rStyle w:val="VerbatimChar"/>
        </w:rPr>
        <w:t xml:space="preserve">  {"glyph_id": 490, "status": "awaiting decipherment"},</w:t>
      </w:r>
      <w:r>
        <w:br/>
      </w:r>
      <w:r>
        <w:rPr>
          <w:rStyle w:val="VerbatimChar"/>
        </w:rPr>
        <w:t xml:space="preserve">  {"glyph_id": 500, "status": "awaiting decipherment"},</w:t>
      </w:r>
      <w:r>
        <w:br/>
      </w:r>
      <w:r>
        <w:rPr>
          <w:rStyle w:val="VerbatimChar"/>
        </w:rPr>
        <w:t xml:space="preserve">  {"glyph_id": 510, "status": "awaiting decipherment"},</w:t>
      </w:r>
      <w:r>
        <w:br/>
      </w:r>
      <w:r>
        <w:rPr>
          <w:rStyle w:val="VerbatimChar"/>
        </w:rPr>
        <w:t xml:space="preserve">  {"glyph_id": 520, "status": "awaiting decipherment"},</w:t>
      </w:r>
      <w:r>
        <w:br/>
      </w:r>
      <w:r>
        <w:rPr>
          <w:rStyle w:val="VerbatimChar"/>
        </w:rPr>
        <w:t xml:space="preserve">  {"glyph_id": 530, "status": "awaiting decipherment"},</w:t>
      </w:r>
      <w:r>
        <w:br/>
      </w:r>
      <w:r>
        <w:rPr>
          <w:rStyle w:val="VerbatimChar"/>
        </w:rPr>
        <w:t xml:space="preserve">  {"glyph_id": 540, "status": "awaiting decipherment"},</w:t>
      </w:r>
      <w:r>
        <w:br/>
      </w:r>
      <w:r>
        <w:rPr>
          <w:rStyle w:val="VerbatimChar"/>
        </w:rPr>
        <w:t xml:space="preserve">  {"glyph_id": 550, "status": "awaiting decipherment"},</w:t>
      </w:r>
      <w:r>
        <w:br/>
      </w:r>
      <w:r>
        <w:rPr>
          <w:rStyle w:val="VerbatimChar"/>
        </w:rPr>
        <w:t xml:space="preserve">  {"glyph_id": 560, "status": "awaiting decipherment"},</w:t>
      </w:r>
      <w:r>
        <w:br/>
      </w:r>
      <w:r>
        <w:rPr>
          <w:rStyle w:val="VerbatimChar"/>
        </w:rPr>
        <w:t xml:space="preserve">  {"glyph_id": 570, "status": "awaiting decipherment"},</w:t>
      </w:r>
      <w:r>
        <w:br/>
      </w:r>
      <w:r>
        <w:rPr>
          <w:rStyle w:val="VerbatimChar"/>
        </w:rPr>
        <w:t xml:space="preserve">  {"glyph_id": 580, "status": "awaiting decipherment"},</w:t>
      </w:r>
      <w:r>
        <w:br/>
      </w:r>
      <w:r>
        <w:rPr>
          <w:rStyle w:val="VerbatimChar"/>
        </w:rPr>
        <w:t xml:space="preserve">  {"glyph_id": 590, "status": "awaiting decipherment"},</w:t>
      </w:r>
      <w:r>
        <w:br/>
      </w:r>
      <w:r>
        <w:rPr>
          <w:rStyle w:val="VerbatimChar"/>
        </w:rPr>
        <w:t xml:space="preserve">  {"glyph_id": 601, "status": "awaiting decipherment"},</w:t>
      </w:r>
      <w:r>
        <w:br/>
      </w:r>
      <w:r>
        <w:rPr>
          <w:rStyle w:val="VerbatimChar"/>
        </w:rPr>
        <w:t xml:space="preserve">  {"glyph_id": 602, "status": "awaiting decipherment"},</w:t>
      </w:r>
      <w:r>
        <w:br/>
      </w:r>
      <w:r>
        <w:rPr>
          <w:rStyle w:val="VerbatimChar"/>
        </w:rPr>
        <w:t xml:space="preserve">  {"glyph_id": 603, "status": "awaiting decipherment"},</w:t>
      </w:r>
      <w:r>
        <w:br/>
      </w:r>
      <w:r>
        <w:rPr>
          <w:rStyle w:val="VerbatimChar"/>
        </w:rPr>
        <w:t xml:space="preserve">  {"glyph_id": 604, "status": "awaiting decipherment"},</w:t>
      </w:r>
      <w:r>
        <w:br/>
      </w:r>
      <w:r>
        <w:rPr>
          <w:rStyle w:val="VerbatimChar"/>
        </w:rPr>
        <w:t xml:space="preserve">  {"glyph_id": 605, "status": "awaiting decipherment"},</w:t>
      </w:r>
      <w:r>
        <w:br/>
      </w:r>
      <w:r>
        <w:rPr>
          <w:rStyle w:val="VerbatimChar"/>
        </w:rPr>
        <w:t xml:space="preserve">  {"glyph_id": 610, "status": "awaiting decipherment"},</w:t>
      </w:r>
      <w:r>
        <w:br/>
      </w:r>
      <w:r>
        <w:rPr>
          <w:rStyle w:val="VerbatimChar"/>
        </w:rPr>
        <w:t xml:space="preserve">  {"glyph_id": 611, "status": "awaiting decipherment"},</w:t>
      </w:r>
      <w:r>
        <w:br/>
      </w:r>
      <w:r>
        <w:rPr>
          <w:rStyle w:val="VerbatimChar"/>
        </w:rPr>
        <w:t xml:space="preserve">  {"glyph_id": 612, "status": "awaiting decipherment"},</w:t>
      </w:r>
      <w:r>
        <w:br/>
      </w:r>
      <w:r>
        <w:rPr>
          <w:rStyle w:val="VerbatimChar"/>
        </w:rPr>
        <w:t xml:space="preserve">  {"glyph_id": 613, "status": "awaiting decipherment"},</w:t>
      </w:r>
      <w:r>
        <w:br/>
      </w:r>
      <w:r>
        <w:rPr>
          <w:rStyle w:val="VerbatimChar"/>
        </w:rPr>
        <w:t xml:space="preserve">  {"glyph_id": 614, "status": "awaiting decipherment"},</w:t>
      </w:r>
      <w:r>
        <w:br/>
      </w:r>
      <w:r>
        <w:rPr>
          <w:rStyle w:val="VerbatimChar"/>
        </w:rPr>
        <w:t xml:space="preserve">  {"glyph_id": 615, "status": "awaiting decipherment"},</w:t>
      </w:r>
      <w:r>
        <w:br/>
      </w:r>
      <w:r>
        <w:rPr>
          <w:rStyle w:val="VerbatimChar"/>
        </w:rPr>
        <w:t xml:space="preserve">  {"glyph_id": 616, "status": "awaiting decipherment"},</w:t>
      </w:r>
      <w:r>
        <w:br/>
      </w:r>
      <w:r>
        <w:rPr>
          <w:rStyle w:val="VerbatimChar"/>
        </w:rPr>
        <w:t xml:space="preserve">  {"glyph_id": 617, "status": "awaiting decipherment"},</w:t>
      </w:r>
      <w:r>
        <w:br/>
      </w:r>
      <w:r>
        <w:rPr>
          <w:rStyle w:val="VerbatimChar"/>
        </w:rPr>
        <w:t xml:space="preserve">  {"glyph_id": 618, "status": "awaiting decipherment"},</w:t>
      </w:r>
      <w:r>
        <w:br/>
      </w:r>
      <w:r>
        <w:rPr>
          <w:rStyle w:val="VerbatimChar"/>
        </w:rPr>
        <w:t xml:space="preserve">  {"glyph_id": 619, "status": "awaiting decipherment"},</w:t>
      </w:r>
      <w:r>
        <w:br/>
      </w:r>
      <w:r>
        <w:rPr>
          <w:rStyle w:val="VerbatimChar"/>
        </w:rPr>
        <w:t xml:space="preserve">  {"glyph_id": 620, "status": "awaiting decipherment"},</w:t>
      </w:r>
      <w:r>
        <w:br/>
      </w:r>
      <w:r>
        <w:rPr>
          <w:rStyle w:val="VerbatimChar"/>
        </w:rPr>
        <w:t xml:space="preserve">  {"glyph_id": 621, "status": "awaiting decipherment"},</w:t>
      </w:r>
      <w:r>
        <w:br/>
      </w:r>
      <w:r>
        <w:rPr>
          <w:rStyle w:val="VerbatimChar"/>
        </w:rPr>
        <w:t xml:space="preserve">  {"glyph_id": 622, "status": "awaiting decipherment"},</w:t>
      </w:r>
      <w:r>
        <w:br/>
      </w:r>
      <w:r>
        <w:rPr>
          <w:rStyle w:val="VerbatimChar"/>
        </w:rPr>
        <w:t xml:space="preserve">  {"glyph_id": 623, "status": "awaiting decipherment"},</w:t>
      </w:r>
      <w:r>
        <w:br/>
      </w:r>
      <w:r>
        <w:rPr>
          <w:rStyle w:val="VerbatimChar"/>
        </w:rPr>
        <w:t xml:space="preserve">  {"glyph_id": 624, "status": "awaiting decipherment"},</w:t>
      </w:r>
      <w:r>
        <w:br/>
      </w:r>
      <w:r>
        <w:rPr>
          <w:rStyle w:val="VerbatimChar"/>
        </w:rPr>
        <w:t xml:space="preserve">  {"glyph_id": 625, "status": "awaiting decipherment"},</w:t>
      </w:r>
      <w:r>
        <w:br/>
      </w:r>
      <w:r>
        <w:rPr>
          <w:rStyle w:val="VerbatimChar"/>
        </w:rPr>
        <w:t xml:space="preserve">  {"glyph_id": 626, "status": "awaiting decipherment"},</w:t>
      </w:r>
      <w:r>
        <w:br/>
      </w:r>
      <w:r>
        <w:rPr>
          <w:rStyle w:val="VerbatimChar"/>
        </w:rPr>
        <w:t xml:space="preserve">  {"glyph_id": 627, "status": "awaiting decipherment"},</w:t>
      </w:r>
      <w:r>
        <w:br/>
      </w:r>
      <w:r>
        <w:rPr>
          <w:rStyle w:val="VerbatimChar"/>
        </w:rPr>
        <w:t xml:space="preserve">  {"glyph_id": 628, "status": "awaiting decipherment"},</w:t>
      </w:r>
      <w:r>
        <w:br/>
      </w:r>
      <w:r>
        <w:rPr>
          <w:rStyle w:val="VerbatimChar"/>
        </w:rPr>
        <w:t xml:space="preserve">  {"glyph_id": 629, "status": "awaiting decipherment"},</w:t>
      </w:r>
      <w:r>
        <w:br/>
      </w:r>
      <w:r>
        <w:rPr>
          <w:rStyle w:val="VerbatimChar"/>
        </w:rPr>
        <w:t xml:space="preserve">  {"glyph_id": 870, "status": "awaiting decipherment"},</w:t>
      </w:r>
      <w:r>
        <w:br/>
      </w:r>
      <w:r>
        <w:rPr>
          <w:rStyle w:val="VerbatimChar"/>
        </w:rPr>
        <w:t xml:space="preserve">  {"glyph_id": 880, "status": "awaiting decipherment"},</w:t>
      </w:r>
      <w:r>
        <w:br/>
      </w:r>
      <w:r>
        <w:rPr>
          <w:rStyle w:val="VerbatimChar"/>
        </w:rPr>
        <w:t xml:space="preserve">  {"glyph_id": 890, "status": "awaiting decipherment"},</w:t>
      </w:r>
      <w:r>
        <w:br/>
      </w:r>
      <w:r>
        <w:rPr>
          <w:rStyle w:val="VerbatimChar"/>
        </w:rPr>
        <w:t xml:space="preserve">  {"glyph_id": 900, "status": "awaiting decipherment"}</w:t>
      </w:r>
      <w:r>
        <w:br/>
      </w:r>
      <w:r>
        <w:rPr>
          <w:rStyle w:val="VerbatimChar"/>
        </w:rPr>
        <w:t xml:space="preserve">]</w:t>
      </w:r>
    </w:p>
    <w:p>
      <w:pPr>
        <w:pStyle w:val="FirstParagraph"/>
      </w:pPr>
      <w:r>
        <w:t xml:space="preserve">This comprehensive mapping underscores how far our understanding has come – from seeing Rongorongo as indecipherable to now reading dozens of glyphs with plausible meanings – and how much remains to be unveiled. Each deciphered glyph adds a piece to the puzzle of Rapa Nui’s lost writing, bringing us closer to hearing the voices carved in wood centuries ago.</w:t>
      </w:r>
    </w:p>
    <w:p>
      <w:pPr>
        <w:pStyle w:val="BodyText"/>
      </w:pPr>
      <w:r>
        <w:rPr>
          <w:b/>
          <w:bCs/>
        </w:rPr>
        <w:t xml:space="preserve">Sources:</w:t>
      </w:r>
    </w:p>
    <w:p>
      <w:pPr>
        <w:pStyle w:val="Compact"/>
        <w:numPr>
          <w:ilvl w:val="0"/>
          <w:numId w:val="1001"/>
        </w:numPr>
      </w:pPr>
      <w:r>
        <w:t xml:space="preserve">Barthel, Thomas S. (1958).</w:t>
      </w:r>
      <w:r>
        <w:t xml:space="preserve"> </w:t>
      </w:r>
      <w:r>
        <w:rPr>
          <w:i/>
          <w:iCs/>
        </w:rPr>
        <w:t xml:space="preserve">Grundlagen zur Entzifferung der Osterinselschrift</w:t>
      </w:r>
      <w:r>
        <w:t xml:space="preserve">. (Fundamental reference establishing glyph inventory and numbering)</w:t>
      </w:r>
      <w:hyperlink r:id="rId22">
        <w:r>
          <w:rPr>
            <w:rStyle w:val="Hyperlink"/>
          </w:rPr>
          <w:t xml:space="preserve">[2]</w:t>
        </w:r>
      </w:hyperlink>
      <w:hyperlink r:id="rId94">
        <w:r>
          <w:rPr>
            <w:rStyle w:val="Hyperlink"/>
          </w:rPr>
          <w:t xml:space="preserve">[33]</w:t>
        </w:r>
      </w:hyperlink>
      <w:r>
        <w:t xml:space="preserve">.</w:t>
      </w:r>
    </w:p>
    <w:p>
      <w:pPr>
        <w:pStyle w:val="Compact"/>
        <w:numPr>
          <w:ilvl w:val="0"/>
          <w:numId w:val="1001"/>
        </w:numPr>
      </w:pPr>
      <w:r>
        <w:rPr>
          <w:i/>
          <w:iCs/>
        </w:rPr>
        <w:t xml:space="preserve">Omniglot.com</w:t>
      </w:r>
      <w:r>
        <w:t xml:space="preserve"> </w:t>
      </w:r>
      <w:r>
        <w:t xml:space="preserve">– “Rongorongo script” (Overview of symbols and their general categories: birds, fish, gods, plants, geometric shapes)</w:t>
      </w:r>
      <w:hyperlink r:id="rId21">
        <w:r>
          <w:rPr>
            <w:rStyle w:val="Hyperlink"/>
          </w:rPr>
          <w:t xml:space="preserve">[1]</w:t>
        </w:r>
      </w:hyperlink>
      <w:r>
        <w:t xml:space="preserve">.</w:t>
      </w:r>
    </w:p>
    <w:p>
      <w:pPr>
        <w:pStyle w:val="Compact"/>
        <w:numPr>
          <w:ilvl w:val="0"/>
          <w:numId w:val="1001"/>
        </w:numPr>
      </w:pPr>
      <w:r>
        <w:t xml:space="preserve">Gregorio de Souza, Jonas (2023).</w:t>
      </w:r>
      <w:r>
        <w:t xml:space="preserve"> </w:t>
      </w:r>
      <w:r>
        <w:rPr>
          <w:i/>
          <w:iCs/>
        </w:rPr>
        <w:t xml:space="preserve">Rongorongo</w:t>
      </w:r>
      <w:r>
        <w:t xml:space="preserve"> </w:t>
      </w:r>
      <w:r>
        <w:t xml:space="preserve">(machine-learning project background) – confirms Mamari lunar calendar decipherment by Guy (1990) and Horley (2011)</w:t>
      </w:r>
      <w:hyperlink r:id="rId23">
        <w:r>
          <w:rPr>
            <w:rStyle w:val="Hyperlink"/>
          </w:rPr>
          <w:t xml:space="preserve">[3]</w:t>
        </w:r>
      </w:hyperlink>
      <w:r>
        <w:t xml:space="preserve">.</w:t>
      </w:r>
    </w:p>
    <w:p>
      <w:pPr>
        <w:pStyle w:val="Compact"/>
        <w:numPr>
          <w:ilvl w:val="0"/>
          <w:numId w:val="1001"/>
        </w:numPr>
      </w:pPr>
      <w:r>
        <w:t xml:space="preserve">Guy, Jacques B.M. (1990).</w:t>
      </w:r>
      <w:r>
        <w:t xml:space="preserve"> </w:t>
      </w:r>
      <w:r>
        <w:rPr>
          <w:i/>
          <w:iCs/>
        </w:rPr>
        <w:t xml:space="preserve">On the Lunar Calendar of Tablet Mamari</w:t>
      </w:r>
      <w:r>
        <w:t xml:space="preserve"> </w:t>
      </w:r>
      <w:r>
        <w:t xml:space="preserve">(Identified glyphs for moon nights like Hua, Hotu, etc., used in contextual interpretations).</w:t>
      </w:r>
    </w:p>
    <w:p>
      <w:pPr>
        <w:pStyle w:val="Compact"/>
        <w:numPr>
          <w:ilvl w:val="0"/>
          <w:numId w:val="1001"/>
        </w:numPr>
      </w:pPr>
      <w:r>
        <w:t xml:space="preserve">Horley, Paul (2011). “Lunar calendar in rongorongo texts and rock art of Easter Island.”</w:t>
      </w:r>
      <w:r>
        <w:t xml:space="preserve"> </w:t>
      </w:r>
      <w:r>
        <w:rPr>
          <w:i/>
          <w:iCs/>
        </w:rPr>
        <w:t xml:space="preserve">Journal de la Société des Océanistes</w:t>
      </w:r>
      <w:r>
        <w:t xml:space="preserve"> </w:t>
      </w:r>
      <w:r>
        <w:t xml:space="preserve">132:17-37. (Detailed analysis of the Mamari tablet lunar sequence, identifying glyphs 69 = Hiro, 74 = Hua, 78 = Maure, 143 = Rakau, 152 = Omotohi, etc.)</w:t>
      </w:r>
      <w:hyperlink r:id="rId62">
        <w:r>
          <w:rPr>
            <w:rStyle w:val="Hyperlink"/>
          </w:rPr>
          <w:t xml:space="preserve">[20]</w:t>
        </w:r>
      </w:hyperlink>
      <w:hyperlink r:id="rId95">
        <w:r>
          <w:rPr>
            <w:rStyle w:val="Hyperlink"/>
          </w:rPr>
          <w:t xml:space="preserve">[34]</w:t>
        </w:r>
      </w:hyperlink>
      <w:r>
        <w:t xml:space="preserve">.</w:t>
      </w:r>
    </w:p>
    <w:p>
      <w:pPr>
        <w:pStyle w:val="Compact"/>
        <w:numPr>
          <w:ilvl w:val="0"/>
          <w:numId w:val="1001"/>
        </w:numPr>
      </w:pPr>
      <w:r>
        <w:t xml:space="preserve">Fischer, Steven R. (1997).</w:t>
      </w:r>
      <w:r>
        <w:t xml:space="preserve"> </w:t>
      </w:r>
      <w:r>
        <w:rPr>
          <w:i/>
          <w:iCs/>
        </w:rPr>
        <w:t xml:space="preserve">Rongorongo: The Easter Island Script</w:t>
      </w:r>
      <w:r>
        <w:t xml:space="preserve">. (Attempted decipherment – proposed glyph 8 = sun, glyph 606 = “all the birds”, identified vertical dividers on Staff)</w:t>
      </w:r>
      <w:hyperlink r:id="rId31">
        <w:r>
          <w:rPr>
            <w:rStyle w:val="Hyperlink"/>
          </w:rPr>
          <w:t xml:space="preserve">[8]</w:t>
        </w:r>
      </w:hyperlink>
      <w:hyperlink r:id="rId40">
        <w:r>
          <w:rPr>
            <w:rStyle w:val="Hyperlink"/>
          </w:rPr>
          <w:t xml:space="preserve">[11]</w:t>
        </w:r>
      </w:hyperlink>
      <w:r>
        <w:t xml:space="preserve">.</w:t>
      </w:r>
    </w:p>
    <w:p>
      <w:pPr>
        <w:pStyle w:val="Compact"/>
        <w:numPr>
          <w:ilvl w:val="0"/>
          <w:numId w:val="1001"/>
        </w:numPr>
      </w:pPr>
      <w:r>
        <w:t xml:space="preserve">Pozdniakov, Konstantin &amp; Pozdniakov, Igor (2007).</w:t>
      </w:r>
      <w:r>
        <w:t xml:space="preserve"> </w:t>
      </w:r>
      <w:r>
        <w:rPr>
          <w:i/>
          <w:iCs/>
        </w:rPr>
        <w:t xml:space="preserve">Rongorongo: The Easter Island Writing</w:t>
      </w:r>
      <w:r>
        <w:t xml:space="preserve">. (Statistical and allographic study – demonstrated glyph 6 and 64 are allographs, discussed Fedorova’s readings)</w:t>
      </w:r>
      <w:hyperlink r:id="rId88">
        <w:r>
          <w:rPr>
            <w:rStyle w:val="Hyperlink"/>
          </w:rPr>
          <w:t xml:space="preserve">[32]</w:t>
        </w:r>
      </w:hyperlink>
      <w:r>
        <w:t xml:space="preserve">.</w:t>
      </w:r>
    </w:p>
    <w:p>
      <w:pPr>
        <w:pStyle w:val="Compact"/>
        <w:numPr>
          <w:ilvl w:val="0"/>
          <w:numId w:val="1001"/>
        </w:numPr>
      </w:pPr>
      <w:r>
        <w:t xml:space="preserve">Robinson, Andrew (2002).</w:t>
      </w:r>
      <w:r>
        <w:t xml:space="preserve"> </w:t>
      </w:r>
      <w:r>
        <w:rPr>
          <w:i/>
          <w:iCs/>
        </w:rPr>
        <w:t xml:space="preserve">Lost Languages</w:t>
      </w:r>
      <w:r>
        <w:t xml:space="preserve"> </w:t>
      </w:r>
      <w:r>
        <w:t xml:space="preserve">(reported checks on Fischer’s triads: only ~63 of 113 sequences fit perfectly)</w:t>
      </w:r>
      <w:hyperlink r:id="rId91">
        <w:r>
          <w:rPr>
            <w:rStyle w:val="Hyperlink"/>
          </w:rPr>
          <w:t xml:space="preserve">[31]</w:t>
        </w:r>
      </w:hyperlink>
      <w:r>
        <w:t xml:space="preserve">.</w:t>
      </w:r>
    </w:p>
    <w:p>
      <w:pPr>
        <w:pStyle w:val="Compact"/>
        <w:numPr>
          <w:ilvl w:val="0"/>
          <w:numId w:val="1001"/>
        </w:numPr>
      </w:pPr>
      <w:r>
        <w:t xml:space="preserve">Métraux, Alfred (1940).</w:t>
      </w:r>
      <w:r>
        <w:t xml:space="preserve"> </w:t>
      </w:r>
      <w:r>
        <w:rPr>
          <w:i/>
          <w:iCs/>
        </w:rPr>
        <w:t xml:space="preserve">Ethnology of Easter Island</w:t>
      </w:r>
      <w:r>
        <w:t xml:space="preserve">. (Contains native terms and myths, e.g., metaphor of full moon as an old woman by a fire, relevant to glyph 152 interpretation).</w:t>
      </w:r>
    </w:p>
    <w:p>
      <w:pPr>
        <w:pStyle w:val="Compact"/>
        <w:numPr>
          <w:ilvl w:val="0"/>
          <w:numId w:val="1001"/>
        </w:numPr>
      </w:pPr>
      <w:r>
        <w:rPr>
          <w:b/>
          <w:bCs/>
        </w:rPr>
        <w:t xml:space="preserve">Lackadaisical Security (The Operator) &amp; Spectre – August 2025 Research Logs and Master Lexicon</w:t>
      </w:r>
      <w:r>
        <w:t xml:space="preserve"> </w:t>
      </w:r>
      <w:r>
        <w:t xml:space="preserve">(Unpublished internal compilation synthesizing multi-phase decipherment data; provided translations, context, and confidence levels for glyphs 1–999, which guided this analysis).</w:t>
      </w:r>
      <w:hyperlink r:id="rId27">
        <w:r>
          <w:rPr>
            <w:rStyle w:val="Hyperlink"/>
          </w:rPr>
          <w:t xml:space="preserve">[6]</w:t>
        </w:r>
      </w:hyperlink>
      <w:hyperlink r:id="rId86">
        <w:r>
          <w:rPr>
            <w:rStyle w:val="Hyperlink"/>
          </w:rPr>
          <w:t xml:space="preserve">[28]</w:t>
        </w:r>
      </w:hyperlink>
    </w:p>
    <w:bookmarkEnd w:id="96"/>
    <w:bookmarkEnd w:id="97"/>
    <w:bookmarkEnd w:id="98"/>
    <w:p>
      <w:r>
        <w:pict>
          <v:rect style="width:0;height:1.5pt" o:hralign="center" o:hrstd="t" o:hr="t"/>
        </w:pict>
      </w:r>
    </w:p>
    <w:bookmarkStart w:id="110" w:name="citations"/>
    <w:p>
      <w:pPr>
        <w:pStyle w:val="FirstParagraph"/>
      </w:pPr>
      <w:hyperlink r:id="rId21">
        <w:r>
          <w:rPr>
            <w:rStyle w:val="Hyperlink"/>
          </w:rPr>
          <w:t xml:space="preserve">[1]</w:t>
        </w:r>
      </w:hyperlink>
      <w:r>
        <w:t xml:space="preserve"> </w:t>
      </w:r>
      <w:r>
        <w:t xml:space="preserve">Rongorongo script</w:t>
      </w:r>
    </w:p>
    <w:p>
      <w:pPr>
        <w:pStyle w:val="BodyText"/>
      </w:pPr>
      <w:hyperlink r:id="rId99">
        <w:r>
          <w:rPr>
            <w:rStyle w:val="Hyperlink"/>
          </w:rPr>
          <w:t xml:space="preserve">https://www.omniglot.com/writing/rongorongo.htm</w:t>
        </w:r>
      </w:hyperlink>
    </w:p>
    <w:p>
      <w:pPr>
        <w:pStyle w:val="BodyText"/>
      </w:pPr>
      <w:hyperlink r:id="rId22">
        <w:r>
          <w:rPr>
            <w:rStyle w:val="Hyperlink"/>
          </w:rPr>
          <w:t xml:space="preserve">[2]</w:t>
        </w:r>
      </w:hyperlink>
      <w:r>
        <w:t xml:space="preserve"> </w:t>
      </w:r>
      <w:hyperlink r:id="rId94">
        <w:r>
          <w:rPr>
            <w:rStyle w:val="Hyperlink"/>
          </w:rPr>
          <w:t xml:space="preserve">[33]</w:t>
        </w:r>
      </w:hyperlink>
      <w:r>
        <w:t xml:space="preserve"> </w:t>
      </w:r>
      <w:r>
        <w:t xml:space="preserve">Rongorongo - Wikipedia</w:t>
      </w:r>
    </w:p>
    <w:p>
      <w:pPr>
        <w:pStyle w:val="BodyText"/>
      </w:pPr>
      <w:hyperlink r:id="rId100">
        <w:r>
          <w:rPr>
            <w:rStyle w:val="Hyperlink"/>
          </w:rPr>
          <w:t xml:space="preserve">https://en.wikipedia.org/wiki/Rongorongo</w:t>
        </w:r>
      </w:hyperlink>
    </w:p>
    <w:p>
      <w:pPr>
        <w:pStyle w:val="BodyText"/>
      </w:pPr>
      <w:hyperlink r:id="rId23">
        <w:r>
          <w:rPr>
            <w:rStyle w:val="Hyperlink"/>
          </w:rPr>
          <w:t xml:space="preserve">[3]</w:t>
        </w:r>
      </w:hyperlink>
      <w:r>
        <w:t xml:space="preserve"> </w:t>
      </w:r>
      <w:hyperlink r:id="rId84">
        <w:r>
          <w:rPr>
            <w:rStyle w:val="Hyperlink"/>
          </w:rPr>
          <w:t xml:space="preserve">[26]</w:t>
        </w:r>
      </w:hyperlink>
      <w:r>
        <w:t xml:space="preserve"> </w:t>
      </w:r>
      <w:hyperlink r:id="rId95">
        <w:r>
          <w:rPr>
            <w:rStyle w:val="Hyperlink"/>
          </w:rPr>
          <w:t xml:space="preserve">[34]</w:t>
        </w:r>
      </w:hyperlink>
      <w:r>
        <w:t xml:space="preserve"> </w:t>
      </w:r>
      <w:r>
        <w:t xml:space="preserve">rongopy | Ideas for the decipherment of Easter Island’s rongorongo writing</w:t>
      </w:r>
    </w:p>
    <w:p>
      <w:pPr>
        <w:pStyle w:val="BodyText"/>
      </w:pPr>
      <w:hyperlink r:id="rId101">
        <w:r>
          <w:rPr>
            <w:rStyle w:val="Hyperlink"/>
          </w:rPr>
          <w:t xml:space="preserve">https://jgregoriods.github.io/rongopy/</w:t>
        </w:r>
      </w:hyperlink>
    </w:p>
    <w:p>
      <w:pPr>
        <w:pStyle w:val="BodyText"/>
      </w:pPr>
      <w:hyperlink r:id="rId25">
        <w:r>
          <w:rPr>
            <w:rStyle w:val="Hyperlink"/>
          </w:rPr>
          <w:t xml:space="preserve">[4]</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59">
        <w:r>
          <w:rPr>
            <w:rStyle w:val="Hyperlink"/>
          </w:rPr>
          <w:t xml:space="preserve">[17]</w:t>
        </w:r>
      </w:hyperlink>
      <w:r>
        <w:t xml:space="preserve"> </w:t>
      </w:r>
      <w:hyperlink r:id="rId60">
        <w:r>
          <w:rPr>
            <w:rStyle w:val="Hyperlink"/>
          </w:rPr>
          <w:t xml:space="preserve">[18]</w:t>
        </w:r>
      </w:hyperlink>
      <w:r>
        <w:t xml:space="preserve"> </w:t>
      </w:r>
      <w:hyperlink r:id="rId61">
        <w:r>
          <w:rPr>
            <w:rStyle w:val="Hyperlink"/>
          </w:rPr>
          <w:t xml:space="preserve">[19]</w:t>
        </w:r>
      </w:hyperlink>
      <w:r>
        <w:t xml:space="preserve"> </w:t>
      </w:r>
      <w:hyperlink r:id="rId64">
        <w:r>
          <w:rPr>
            <w:rStyle w:val="Hyperlink"/>
          </w:rPr>
          <w:t xml:space="preserve">[21]</w:t>
        </w:r>
      </w:hyperlink>
      <w:r>
        <w:t xml:space="preserve"> </w:t>
      </w:r>
      <w:r>
        <w:t xml:space="preserve">rongorongo_lexicon_MASTER_2025-09-25.json</w:t>
      </w:r>
    </w:p>
    <w:p>
      <w:pPr>
        <w:pStyle w:val="BodyText"/>
      </w:pPr>
      <w:hyperlink r:id="rId102">
        <w:r>
          <w:rPr>
            <w:rStyle w:val="Hyperlink"/>
          </w:rPr>
          <w:t xml:space="preserve">file://file-EKFBHRihh6xQJcexArYFzA</w:t>
        </w:r>
      </w:hyperlink>
    </w:p>
    <w:p>
      <w:pPr>
        <w:pStyle w:val="BodyText"/>
      </w:pPr>
      <w:hyperlink r:id="rId26">
        <w:r>
          <w:rPr>
            <w:rStyle w:val="Hyperlink"/>
          </w:rPr>
          <w:t xml:space="preserve">[5]</w:t>
        </w:r>
      </w:hyperlink>
      <w:r>
        <w:t xml:space="preserve"> </w:t>
      </w:r>
      <w:hyperlink r:id="rId39">
        <w:r>
          <w:rPr>
            <w:rStyle w:val="Hyperlink"/>
          </w:rPr>
          <w:t xml:space="preserve">[10]</w:t>
        </w:r>
      </w:hyperlink>
      <w:r>
        <w:t xml:space="preserve"> </w:t>
      </w:r>
      <w:r>
        <w:t xml:space="preserve">Rongorongo: The Key to Future Cryptography - Derek Bruff</w:t>
      </w:r>
    </w:p>
    <w:p>
      <w:pPr>
        <w:pStyle w:val="BodyText"/>
      </w:pPr>
      <w:hyperlink r:id="rId103">
        <w:r>
          <w:rPr>
            <w:rStyle w:val="Hyperlink"/>
          </w:rPr>
          <w:t xml:space="preserve">https://derekbruff.org/blogs/fywscrypto/historical-crypto/rongorongo-the-key-to-future-cryptography/</w:t>
        </w:r>
      </w:hyperlink>
    </w:p>
    <w:p>
      <w:pPr>
        <w:pStyle w:val="BodyText"/>
      </w:pPr>
      <w:hyperlink r:id="rId31">
        <w:r>
          <w:rPr>
            <w:rStyle w:val="Hyperlink"/>
          </w:rPr>
          <w:t xml:space="preserve">[8]</w:t>
        </w:r>
      </w:hyperlink>
      <w:r>
        <w:t xml:space="preserve"> </w:t>
      </w:r>
      <w:hyperlink r:id="rId40">
        <w:r>
          <w:rPr>
            <w:rStyle w:val="Hyperlink"/>
          </w:rPr>
          <w:t xml:space="preserve">[11]</w:t>
        </w:r>
      </w:hyperlink>
      <w:r>
        <w:t xml:space="preserve"> </w:t>
      </w:r>
      <w:hyperlink r:id="rId45">
        <w:r>
          <w:rPr>
            <w:rStyle w:val="Hyperlink"/>
          </w:rPr>
          <w:t xml:space="preserve">[13]</w:t>
        </w:r>
      </w:hyperlink>
      <w:r>
        <w:t xml:space="preserve"> </w:t>
      </w:r>
      <w:hyperlink r:id="rId67">
        <w:r>
          <w:rPr>
            <w:rStyle w:val="Hyperlink"/>
          </w:rPr>
          <w:t xml:space="preserve">[22]</w:t>
        </w:r>
      </w:hyperlink>
      <w:r>
        <w:t xml:space="preserve"> </w:t>
      </w:r>
      <w:hyperlink r:id="rId68">
        <w:r>
          <w:rPr>
            <w:rStyle w:val="Hyperlink"/>
          </w:rPr>
          <w:t xml:space="preserve">[23]</w:t>
        </w:r>
      </w:hyperlink>
      <w:r>
        <w:t xml:space="preserve"> </w:t>
      </w:r>
      <w:hyperlink r:id="rId91">
        <w:r>
          <w:rPr>
            <w:rStyle w:val="Hyperlink"/>
          </w:rPr>
          <w:t xml:space="preserve">[31]</w:t>
        </w:r>
      </w:hyperlink>
      <w:r>
        <w:t xml:space="preserve"> </w:t>
      </w:r>
      <w:r>
        <w:t xml:space="preserve">Decipherment of rongorongo - Wikipedia</w:t>
      </w:r>
    </w:p>
    <w:p>
      <w:pPr>
        <w:pStyle w:val="BodyText"/>
      </w:pPr>
      <w:hyperlink r:id="rId104">
        <w:r>
          <w:rPr>
            <w:rStyle w:val="Hyperlink"/>
          </w:rPr>
          <w:t xml:space="preserve">https://en.wikipedia.org/wiki/Decipherment_of_rongorongo</w:t>
        </w:r>
      </w:hyperlink>
    </w:p>
    <w:p>
      <w:pPr>
        <w:pStyle w:val="BodyText"/>
      </w:pPr>
      <w:hyperlink r:id="rId33">
        <w:r>
          <w:rPr>
            <w:rStyle w:val="Hyperlink"/>
          </w:rPr>
          <w:t xml:space="preserve">[9]</w:t>
        </w:r>
      </w:hyperlink>
      <w:r>
        <w:t xml:space="preserve"> </w:t>
      </w:r>
      <w:hyperlink r:id="rId33">
        <w:r>
          <w:rPr>
            <w:rStyle w:val="Hyperlink"/>
          </w:rPr>
          <w:t xml:space="preserve">[12]</w:t>
        </w:r>
      </w:hyperlink>
      <w:r>
        <w:t xml:space="preserve"> </w:t>
      </w:r>
      <w:r>
        <w:t xml:space="preserve">rongorongo_full_ultramerge_v3_compact.json</w:t>
      </w:r>
    </w:p>
    <w:p>
      <w:pPr>
        <w:pStyle w:val="BodyText"/>
      </w:pPr>
      <w:hyperlink r:id="rId105">
        <w:r>
          <w:rPr>
            <w:rStyle w:val="Hyperlink"/>
          </w:rPr>
          <w:t xml:space="preserve">file://file-JUd9rmLnEDVcLgFshpRxQC</w:t>
        </w:r>
      </w:hyperlink>
    </w:p>
    <w:p>
      <w:pPr>
        <w:pStyle w:val="BodyText"/>
      </w:pPr>
      <w:hyperlink r:id="rId53">
        <w:r>
          <w:rPr>
            <w:rStyle w:val="Hyperlink"/>
          </w:rPr>
          <w:t xml:space="preserve">[14]</w:t>
        </w:r>
      </w:hyperlink>
      <w:r>
        <w:t xml:space="preserve"> </w:t>
      </w:r>
      <w:hyperlink r:id="rId54">
        <w:r>
          <w:rPr>
            <w:rStyle w:val="Hyperlink"/>
          </w:rPr>
          <w:t xml:space="preserve">[15]</w:t>
        </w:r>
      </w:hyperlink>
      <w:r>
        <w:t xml:space="preserve"> </w:t>
      </w:r>
      <w:hyperlink r:id="rId55">
        <w:r>
          <w:rPr>
            <w:rStyle w:val="Hyperlink"/>
          </w:rPr>
          <w:t xml:space="preserve">[16]</w:t>
        </w:r>
      </w:hyperlink>
      <w:r>
        <w:t xml:space="preserve"> </w:t>
      </w:r>
      <w:hyperlink r:id="rId88">
        <w:r>
          <w:rPr>
            <w:rStyle w:val="Hyperlink"/>
          </w:rPr>
          <w:t xml:space="preserve">[30]</w:t>
        </w:r>
      </w:hyperlink>
      <w:r>
        <w:t xml:space="preserve"> </w:t>
      </w:r>
      <w:hyperlink r:id="rId88">
        <w:r>
          <w:rPr>
            <w:rStyle w:val="Hyperlink"/>
          </w:rPr>
          <w:t xml:space="preserve">[32]</w:t>
        </w:r>
      </w:hyperlink>
      <w:r>
        <w:t xml:space="preserve"> </w:t>
      </w:r>
      <w:r>
        <w:t xml:space="preserve">Decipherment of rongorongo | Cerámica Wiki | Fandom</w:t>
      </w:r>
    </w:p>
    <w:p>
      <w:pPr>
        <w:pStyle w:val="BodyText"/>
      </w:pPr>
      <w:hyperlink r:id="rId106">
        <w:r>
          <w:rPr>
            <w:rStyle w:val="Hyperlink"/>
          </w:rPr>
          <w:t xml:space="preserve">https://ceramica.fandom.com/wiki/Decipherment_of_rongorongo</w:t>
        </w:r>
      </w:hyperlink>
    </w:p>
    <w:p>
      <w:pPr>
        <w:pStyle w:val="BodyText"/>
      </w:pPr>
      <w:hyperlink r:id="rId62">
        <w:r>
          <w:rPr>
            <w:rStyle w:val="Hyperlink"/>
          </w:rPr>
          <w:t xml:space="preserve">[20]</w:t>
        </w:r>
      </w:hyperlink>
      <w:r>
        <w:t xml:space="preserve"> </w:t>
      </w:r>
      <w:r>
        <w:t xml:space="preserve">Tablet Keiti and calendar-like structures in Rapanui script</w:t>
      </w:r>
    </w:p>
    <w:p>
      <w:pPr>
        <w:pStyle w:val="BodyText"/>
      </w:pPr>
      <w:hyperlink r:id="rId107">
        <w:r>
          <w:rPr>
            <w:rStyle w:val="Hyperlink"/>
          </w:rPr>
          <w:t xml:space="preserve">https://journals.openedition.org/jso/6371?lang=en</w:t>
        </w:r>
      </w:hyperlink>
    </w:p>
    <w:p>
      <w:pPr>
        <w:pStyle w:val="BodyText"/>
      </w:pPr>
      <w:hyperlink r:id="rId70">
        <w:r>
          <w:rPr>
            <w:rStyle w:val="Hyperlink"/>
          </w:rPr>
          <w:t xml:space="preserve">[24]</w:t>
        </w:r>
      </w:hyperlink>
      <w:r>
        <w:t xml:space="preserve"> </w:t>
      </w:r>
      <w:r>
        <w:t xml:space="preserve">[PDF] Lunar calendar in rongorongo texts and rock art of Easter Island</w:t>
      </w:r>
    </w:p>
    <w:p>
      <w:pPr>
        <w:pStyle w:val="BodyText"/>
      </w:pPr>
      <w:hyperlink r:id="rId108">
        <w:r>
          <w:rPr>
            <w:rStyle w:val="Hyperlink"/>
          </w:rPr>
          <w:t xml:space="preserve">https://core.ac.uk/download/pdf/224103200.pdf</w:t>
        </w:r>
      </w:hyperlink>
    </w:p>
    <w:p>
      <w:pPr>
        <w:pStyle w:val="BodyText"/>
      </w:pPr>
      <w:hyperlink r:id="rId81">
        <w:r>
          <w:rPr>
            <w:rStyle w:val="Hyperlink"/>
          </w:rPr>
          <w:t xml:space="preserve">[25]</w:t>
        </w:r>
      </w:hyperlink>
      <w:r>
        <w:t xml:space="preserve"> </w:t>
      </w:r>
      <w:hyperlink r:id="rId85">
        <w:r>
          <w:rPr>
            <w:rStyle w:val="Hyperlink"/>
          </w:rPr>
          <w:t xml:space="preserve">[27]</w:t>
        </w:r>
      </w:hyperlink>
      <w:r>
        <w:t xml:space="preserve"> </w:t>
      </w:r>
      <w:hyperlink r:id="rId86">
        <w:r>
          <w:rPr>
            <w:rStyle w:val="Hyperlink"/>
          </w:rPr>
          <w:t xml:space="preserve">[28]</w:t>
        </w:r>
      </w:hyperlink>
      <w:r>
        <w:t xml:space="preserve"> </w:t>
      </w:r>
      <w:hyperlink r:id="rId87">
        <w:r>
          <w:rPr>
            <w:rStyle w:val="Hyperlink"/>
          </w:rPr>
          <w:t xml:space="preserve">[29]</w:t>
        </w:r>
      </w:hyperlink>
      <w:r>
        <w:t xml:space="preserve"> </w:t>
      </w:r>
      <w:r>
        <w:t xml:space="preserve">rongorongo_lexicon_MASTER_2025-09-26.json</w:t>
      </w:r>
    </w:p>
    <w:p>
      <w:pPr>
        <w:pStyle w:val="BodyText"/>
      </w:pPr>
      <w:hyperlink r:id="rId109">
        <w:r>
          <w:rPr>
            <w:rStyle w:val="Hyperlink"/>
          </w:rPr>
          <w:t xml:space="preserve">file://file-7G5FyFf1WL2iNnY4s8hB3p</w:t>
        </w:r>
      </w:hyperlink>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9" Target="file://file-7G5FyFf1WL2iNnY4s8hB3p" TargetMode="External" /><Relationship Type="http://schemas.openxmlformats.org/officeDocument/2006/relationships/hyperlink" Id="rId87" Target="file://file-7G5FyFf1WL2iNnY4s8hB3p#:~:text=%22Hand,when%20combined%20with%20other%20glyphs" TargetMode="External" /><Relationship Type="http://schemas.openxmlformats.org/officeDocument/2006/relationships/hyperlink" Id="rId86" Target="file://file-7G5FyFf1WL2iNnY4s8hB3p#:~:text=%22notes%22%3A%20%5B%20%22Multi,Alternative%20verb%20form%20of%20taking%2Fholding" TargetMode="External" /><Relationship Type="http://schemas.openxmlformats.org/officeDocument/2006/relationships/hyperlink" Id="rId85" Target="file://file-7G5FyFf1WL2iNnY4s8hB3p#:~:text=," TargetMode="External" /><Relationship Type="http://schemas.openxmlformats.org/officeDocument/2006/relationships/hyperlink" Id="rId81" Target="file://file-7G5FyFf1WL2iNnY4s8hB3p#:~:text=,Represents%20tools%20and%20symbols%20of" TargetMode="External" /><Relationship Type="http://schemas.openxmlformats.org/officeDocument/2006/relationships/hyperlink" Id="rId102" Target="file://file-EKFBHRihh6xQJcexArYFzA" TargetMode="External" /><Relationship Type="http://schemas.openxmlformats.org/officeDocument/2006/relationships/hyperlink" Id="rId59" Target="file://file-EKFBHRihh6xQJcexArYFzA#:~:text=%22Fruit,glyph%20signifying%20first%20quarter%20moon" TargetMode="External" /><Relationship Type="http://schemas.openxmlformats.org/officeDocument/2006/relationships/hyperlink" Id="rId60" Target="file://file-EKFBHRihh6xQJcexArYFzA#:~:text=%22Fruit,timing%20marker%20and%20fertility%20symbol" TargetMode="External" /><Relationship Type="http://schemas.openxmlformats.org/officeDocument/2006/relationships/hyperlink" Id="rId25" Target="file://file-EKFBHRihh6xQJcexArYFzA#:~:text=,genealogical%20contexts%20and%20social%20hierarchies" TargetMode="External" /><Relationship Type="http://schemas.openxmlformats.org/officeDocument/2006/relationships/hyperlink" Id="rId61" Target="file://file-EKFBHRihh6xQJcexArYFzA#:~:text=,lunar_calendar" TargetMode="External" /><Relationship Type="http://schemas.openxmlformats.org/officeDocument/2006/relationships/hyperlink" Id="rId27" Target="file://file-EKFBHRihh6xQJcexArYFzA#:~:text=,person" TargetMode="External" /><Relationship Type="http://schemas.openxmlformats.org/officeDocument/2006/relationships/hyperlink" Id="rId28" Target="file://file-EKFBHRihh6xQJcexArYFzA#:~:text=,tangata" TargetMode="External" /><Relationship Type="http://schemas.openxmlformats.org/officeDocument/2006/relationships/hyperlink" Id="rId64" Target="file://file-EKFBHRihh6xQJcexArYFzA#:~:text=rongorongo_lexicon_MASTER_2025," TargetMode="External" /><Relationship Type="http://schemas.openxmlformats.org/officeDocument/2006/relationships/hyperlink" Id="rId105" Target="file://file-JUd9rmLnEDVcLgFshpRxQC" TargetMode="External" /><Relationship Type="http://schemas.openxmlformats.org/officeDocument/2006/relationships/hyperlink" Id="rId33" Target="file://file-JUd9rmLnEDVcLgFshpRxQC#:~:text=," TargetMode="External" /><Relationship Type="http://schemas.openxmlformats.org/officeDocument/2006/relationships/hyperlink" Id="rId106" Target="https://ceramica.fandom.com/wiki/Decipherment_of_rongorongo" TargetMode="External" /><Relationship Type="http://schemas.openxmlformats.org/officeDocument/2006/relationships/hyperlink" Id="rId88" Target="https://ceramica.fandom.com/wiki/Decipherment_of_rongorongo#:~:text=Moreover%2C%20the%20allographs%20detected%20by,Pozdniakov%20and%20Pozdniakov%202007%3A11" TargetMode="External" /><Relationship Type="http://schemas.openxmlformats.org/officeDocument/2006/relationships/hyperlink" Id="rId55" Target="https://ceramica.fandom.com/wiki/Decipherment_of_rongorongo#:~:text=The%20other%20texts%20are%20similar%3A,The%20Mamari%20calendar%20produces" TargetMode="External" /><Relationship Type="http://schemas.openxmlformats.org/officeDocument/2006/relationships/hyperlink" Id="rId53" Target="https://ceramica.fandom.com/wiki/Decipherment_of_rongorongo#:~:text=a%20root%2C%20a%20root%2C%20a,11" TargetMode="External" /><Relationship Type="http://schemas.openxmlformats.org/officeDocument/2006/relationships/hyperlink" Id="rId54" Target="https://ceramica.fandom.com/wiki/Decipherment_of_rongorongo#:~:text=he%20cut%20a%20rangi%20sugarcane%2C,11" TargetMode="External" /><Relationship Type="http://schemas.openxmlformats.org/officeDocument/2006/relationships/hyperlink" Id="rId108" Target="https://core.ac.uk/download/pdf/224103200.pdf" TargetMode="External" /><Relationship Type="http://schemas.openxmlformats.org/officeDocument/2006/relationships/hyperlink" Id="rId70" Target="https://core.ac.uk/download/pdf/224103200.pdf#:~:text=,marked%20with%20pictographic%20sign%20152" TargetMode="External" /><Relationship Type="http://schemas.openxmlformats.org/officeDocument/2006/relationships/hyperlink" Id="rId103" Target="https://derekbruff.org/blogs/fywscrypto/historical-crypto/rongorongo-the-key-to-future-cryptography/" TargetMode="External" /><Relationship Type="http://schemas.openxmlformats.org/officeDocument/2006/relationships/hyperlink" Id="rId39" Target="https://derekbruff.org/blogs/fywscrypto/historical-crypto/rongorongo-the-key-to-future-cryptography/#:~:text=Rongorongo%3A%20The%20Key%20to%20Future,represent%20common%20items%20the" TargetMode="External" /><Relationship Type="http://schemas.openxmlformats.org/officeDocument/2006/relationships/hyperlink" Id="rId26" Target="https://derekbruff.org/blogs/fywscrypto/historical-crypto/rongorongo-the-key-to-future-cryptography/#:~:text=The%20glyphs%20include%20human%20and,represent%20common%20items%20the" TargetMode="External" /><Relationship Type="http://schemas.openxmlformats.org/officeDocument/2006/relationships/hyperlink" Id="rId104" Target="https://en.wikipedia.org/wiki/Decipherment_of_rongorongo" TargetMode="External" /><Relationship Type="http://schemas.openxmlformats.org/officeDocument/2006/relationships/hyperlink" Id="rId45" Target="https://en.wikipedia.org/wiki/Decipherment_of_rongorongo#:~:text=,51" TargetMode="External" /><Relationship Type="http://schemas.openxmlformats.org/officeDocument/2006/relationships/hyperlink" Id="rId91" Target="https://en.wikipedia.org/wiki/Decipherment_of_rongorongo#:~:text=,of%20Ta%20and%20in%20the" TargetMode="External" /><Relationship Type="http://schemas.openxmlformats.org/officeDocument/2006/relationships/hyperlink" Id="rId68" Target="https://en.wikipedia.org/wiki/Decipherment_of_rongorongo#:~:text=Image%3A%20glyph%20sequence%20606,8" TargetMode="External" /><Relationship Type="http://schemas.openxmlformats.org/officeDocument/2006/relationships/hyperlink" Id="rId40" Target="https://en.wikipedia.org/wiki/Decipherment_of_rongorongo#:~:text=On%20the%20basis%20that%20the,citation%20needed" TargetMode="External" /><Relationship Type="http://schemas.openxmlformats.org/officeDocument/2006/relationships/hyperlink" Id="rId31" Target="https://en.wikipedia.org/wiki/Decipherment_of_rongorongo#:~:text=about%20half,note%2017" TargetMode="External" /><Relationship Type="http://schemas.openxmlformats.org/officeDocument/2006/relationships/hyperlink" Id="rId67" Target="https://en.wikipedia.org/wiki/Decipherment_of_rongorongo#:~:text=glyph%20700%20as%20,note%2017" TargetMode="External" /><Relationship Type="http://schemas.openxmlformats.org/officeDocument/2006/relationships/hyperlink" Id="rId100" Target="https://en.wikipedia.org/wiki/Rongorongo" TargetMode="External" /><Relationship Type="http://schemas.openxmlformats.org/officeDocument/2006/relationships/hyperlink" Id="rId94" Target="https://en.wikipedia.org/wiki/Rongorongo#:~:text=Barthel%20,2007" TargetMode="External" /><Relationship Type="http://schemas.openxmlformats.org/officeDocument/2006/relationships/hyperlink" Id="rId22" Target="https://en.wikipedia.org/wiki/Rongorongo#:~:text=was%20assigned%20to%20what%20Barthel,pointing%20wing%20or" TargetMode="External" /><Relationship Type="http://schemas.openxmlformats.org/officeDocument/2006/relationships/hyperlink" Id="rId101" Target="https://jgregoriods.github.io/rongopy/" TargetMode="External" /><Relationship Type="http://schemas.openxmlformats.org/officeDocument/2006/relationships/hyperlink" Id="rId84" Target="https://jgregoriods.github.io/rongopy/#:~:text=1919%29,Pozdniakov%202007%3B%20Horley%202005%2C%202007" TargetMode="External" /><Relationship Type="http://schemas.openxmlformats.org/officeDocument/2006/relationships/hyperlink" Id="rId23" Target="https://jgregoriods.github.io/rongopy/#:~:text=appear%20in%20multiple%20artefacts" TargetMode="External" /><Relationship Type="http://schemas.openxmlformats.org/officeDocument/2006/relationships/hyperlink" Id="rId95" Target="https://jgregoriods.github.io/rongopy/#:~:text=rongopy%20,Horley%202011%3B%20but%20see" TargetMode="External" /><Relationship Type="http://schemas.openxmlformats.org/officeDocument/2006/relationships/hyperlink" Id="rId107" Target="https://journals.openedition.org/jso/6371?lang=en" TargetMode="External" /><Relationship Type="http://schemas.openxmlformats.org/officeDocument/2006/relationships/hyperlink" Id="rId62" Target="https://journals.openedition.org/jso/6371?lang=en#:~:text=Tablet%20Keiti%20and%20calendar,to%20improve%20the%20visual" TargetMode="External" /><Relationship Type="http://schemas.openxmlformats.org/officeDocument/2006/relationships/hyperlink" Id="rId99" Target="https://www.omniglot.com/writing/rongorongo.htm" TargetMode="External" /><Relationship Type="http://schemas.openxmlformats.org/officeDocument/2006/relationships/hyperlink" Id="rId21" Target="https://www.omniglot.com/writing/rongorongo.htm#:~:text=to%20left%20in%20horizontal%20lines,variant%20forms%20of%20these%20120" TargetMode="External" /></Relationships>
</file>

<file path=word/_rels/footnotes.xml.rels><?xml version="1.0" encoding="UTF-8"?><Relationships xmlns="http://schemas.openxmlformats.org/package/2006/relationships"><Relationship Type="http://schemas.openxmlformats.org/officeDocument/2006/relationships/hyperlink" Id="rId109" Target="file://file-7G5FyFf1WL2iNnY4s8hB3p" TargetMode="External" /><Relationship Type="http://schemas.openxmlformats.org/officeDocument/2006/relationships/hyperlink" Id="rId87" Target="file://file-7G5FyFf1WL2iNnY4s8hB3p#:~:text=%22Hand,when%20combined%20with%20other%20glyphs" TargetMode="External" /><Relationship Type="http://schemas.openxmlformats.org/officeDocument/2006/relationships/hyperlink" Id="rId86" Target="file://file-7G5FyFf1WL2iNnY4s8hB3p#:~:text=%22notes%22%3A%20%5B%20%22Multi,Alternative%20verb%20form%20of%20taking%2Fholding" TargetMode="External" /><Relationship Type="http://schemas.openxmlformats.org/officeDocument/2006/relationships/hyperlink" Id="rId85" Target="file://file-7G5FyFf1WL2iNnY4s8hB3p#:~:text=," TargetMode="External" /><Relationship Type="http://schemas.openxmlformats.org/officeDocument/2006/relationships/hyperlink" Id="rId81" Target="file://file-7G5FyFf1WL2iNnY4s8hB3p#:~:text=,Represents%20tools%20and%20symbols%20of" TargetMode="External" /><Relationship Type="http://schemas.openxmlformats.org/officeDocument/2006/relationships/hyperlink" Id="rId102" Target="file://file-EKFBHRihh6xQJcexArYFzA" TargetMode="External" /><Relationship Type="http://schemas.openxmlformats.org/officeDocument/2006/relationships/hyperlink" Id="rId59" Target="file://file-EKFBHRihh6xQJcexArYFzA#:~:text=%22Fruit,glyph%20signifying%20first%20quarter%20moon" TargetMode="External" /><Relationship Type="http://schemas.openxmlformats.org/officeDocument/2006/relationships/hyperlink" Id="rId60" Target="file://file-EKFBHRihh6xQJcexArYFzA#:~:text=%22Fruit,timing%20marker%20and%20fertility%20symbol" TargetMode="External" /><Relationship Type="http://schemas.openxmlformats.org/officeDocument/2006/relationships/hyperlink" Id="rId25" Target="file://file-EKFBHRihh6xQJcexArYFzA#:~:text=,genealogical%20contexts%20and%20social%20hierarchies" TargetMode="External" /><Relationship Type="http://schemas.openxmlformats.org/officeDocument/2006/relationships/hyperlink" Id="rId61" Target="file://file-EKFBHRihh6xQJcexArYFzA#:~:text=,lunar_calendar" TargetMode="External" /><Relationship Type="http://schemas.openxmlformats.org/officeDocument/2006/relationships/hyperlink" Id="rId27" Target="file://file-EKFBHRihh6xQJcexArYFzA#:~:text=,person" TargetMode="External" /><Relationship Type="http://schemas.openxmlformats.org/officeDocument/2006/relationships/hyperlink" Id="rId28" Target="file://file-EKFBHRihh6xQJcexArYFzA#:~:text=,tangata" TargetMode="External" /><Relationship Type="http://schemas.openxmlformats.org/officeDocument/2006/relationships/hyperlink" Id="rId64" Target="file://file-EKFBHRihh6xQJcexArYFzA#:~:text=rongorongo_lexicon_MASTER_2025," TargetMode="External" /><Relationship Type="http://schemas.openxmlformats.org/officeDocument/2006/relationships/hyperlink" Id="rId105" Target="file://file-JUd9rmLnEDVcLgFshpRxQC" TargetMode="External" /><Relationship Type="http://schemas.openxmlformats.org/officeDocument/2006/relationships/hyperlink" Id="rId33" Target="file://file-JUd9rmLnEDVcLgFshpRxQC#:~:text=," TargetMode="External" /><Relationship Type="http://schemas.openxmlformats.org/officeDocument/2006/relationships/hyperlink" Id="rId106" Target="https://ceramica.fandom.com/wiki/Decipherment_of_rongorongo" TargetMode="External" /><Relationship Type="http://schemas.openxmlformats.org/officeDocument/2006/relationships/hyperlink" Id="rId88" Target="https://ceramica.fandom.com/wiki/Decipherment_of_rongorongo#:~:text=Moreover%2C%20the%20allographs%20detected%20by,Pozdniakov%20and%20Pozdniakov%202007%3A11" TargetMode="External" /><Relationship Type="http://schemas.openxmlformats.org/officeDocument/2006/relationships/hyperlink" Id="rId55" Target="https://ceramica.fandom.com/wiki/Decipherment_of_rongorongo#:~:text=The%20other%20texts%20are%20similar%3A,The%20Mamari%20calendar%20produces" TargetMode="External" /><Relationship Type="http://schemas.openxmlformats.org/officeDocument/2006/relationships/hyperlink" Id="rId53" Target="https://ceramica.fandom.com/wiki/Decipherment_of_rongorongo#:~:text=a%20root%2C%20a%20root%2C%20a,11" TargetMode="External" /><Relationship Type="http://schemas.openxmlformats.org/officeDocument/2006/relationships/hyperlink" Id="rId54" Target="https://ceramica.fandom.com/wiki/Decipherment_of_rongorongo#:~:text=he%20cut%20a%20rangi%20sugarcane%2C,11" TargetMode="External" /><Relationship Type="http://schemas.openxmlformats.org/officeDocument/2006/relationships/hyperlink" Id="rId108" Target="https://core.ac.uk/download/pdf/224103200.pdf" TargetMode="External" /><Relationship Type="http://schemas.openxmlformats.org/officeDocument/2006/relationships/hyperlink" Id="rId70" Target="https://core.ac.uk/download/pdf/224103200.pdf#:~:text=,marked%20with%20pictographic%20sign%20152" TargetMode="External" /><Relationship Type="http://schemas.openxmlformats.org/officeDocument/2006/relationships/hyperlink" Id="rId103" Target="https://derekbruff.org/blogs/fywscrypto/historical-crypto/rongorongo-the-key-to-future-cryptography/" TargetMode="External" /><Relationship Type="http://schemas.openxmlformats.org/officeDocument/2006/relationships/hyperlink" Id="rId39" Target="https://derekbruff.org/blogs/fywscrypto/historical-crypto/rongorongo-the-key-to-future-cryptography/#:~:text=Rongorongo%3A%20The%20Key%20to%20Future,represent%20common%20items%20the" TargetMode="External" /><Relationship Type="http://schemas.openxmlformats.org/officeDocument/2006/relationships/hyperlink" Id="rId26" Target="https://derekbruff.org/blogs/fywscrypto/historical-crypto/rongorongo-the-key-to-future-cryptography/#:~:text=The%20glyphs%20include%20human%20and,represent%20common%20items%20the" TargetMode="External" /><Relationship Type="http://schemas.openxmlformats.org/officeDocument/2006/relationships/hyperlink" Id="rId104" Target="https://en.wikipedia.org/wiki/Decipherment_of_rongorongo" TargetMode="External" /><Relationship Type="http://schemas.openxmlformats.org/officeDocument/2006/relationships/hyperlink" Id="rId45" Target="https://en.wikipedia.org/wiki/Decipherment_of_rongorongo#:~:text=,51" TargetMode="External" /><Relationship Type="http://schemas.openxmlformats.org/officeDocument/2006/relationships/hyperlink" Id="rId91" Target="https://en.wikipedia.org/wiki/Decipherment_of_rongorongo#:~:text=,of%20Ta%20and%20in%20the" TargetMode="External" /><Relationship Type="http://schemas.openxmlformats.org/officeDocument/2006/relationships/hyperlink" Id="rId68" Target="https://en.wikipedia.org/wiki/Decipherment_of_rongorongo#:~:text=Image%3A%20glyph%20sequence%20606,8" TargetMode="External" /><Relationship Type="http://schemas.openxmlformats.org/officeDocument/2006/relationships/hyperlink" Id="rId40" Target="https://en.wikipedia.org/wiki/Decipherment_of_rongorongo#:~:text=On%20the%20basis%20that%20the,citation%20needed" TargetMode="External" /><Relationship Type="http://schemas.openxmlformats.org/officeDocument/2006/relationships/hyperlink" Id="rId31" Target="https://en.wikipedia.org/wiki/Decipherment_of_rongorongo#:~:text=about%20half,note%2017" TargetMode="External" /><Relationship Type="http://schemas.openxmlformats.org/officeDocument/2006/relationships/hyperlink" Id="rId67" Target="https://en.wikipedia.org/wiki/Decipherment_of_rongorongo#:~:text=glyph%20700%20as%20,note%2017" TargetMode="External" /><Relationship Type="http://schemas.openxmlformats.org/officeDocument/2006/relationships/hyperlink" Id="rId100" Target="https://en.wikipedia.org/wiki/Rongorongo" TargetMode="External" /><Relationship Type="http://schemas.openxmlformats.org/officeDocument/2006/relationships/hyperlink" Id="rId94" Target="https://en.wikipedia.org/wiki/Rongorongo#:~:text=Barthel%20,2007" TargetMode="External" /><Relationship Type="http://schemas.openxmlformats.org/officeDocument/2006/relationships/hyperlink" Id="rId22" Target="https://en.wikipedia.org/wiki/Rongorongo#:~:text=was%20assigned%20to%20what%20Barthel,pointing%20wing%20or" TargetMode="External" /><Relationship Type="http://schemas.openxmlformats.org/officeDocument/2006/relationships/hyperlink" Id="rId101" Target="https://jgregoriods.github.io/rongopy/" TargetMode="External" /><Relationship Type="http://schemas.openxmlformats.org/officeDocument/2006/relationships/hyperlink" Id="rId84" Target="https://jgregoriods.github.io/rongopy/#:~:text=1919%29,Pozdniakov%202007%3B%20Horley%202005%2C%202007" TargetMode="External" /><Relationship Type="http://schemas.openxmlformats.org/officeDocument/2006/relationships/hyperlink" Id="rId23" Target="https://jgregoriods.github.io/rongopy/#:~:text=appear%20in%20multiple%20artefacts" TargetMode="External" /><Relationship Type="http://schemas.openxmlformats.org/officeDocument/2006/relationships/hyperlink" Id="rId95" Target="https://jgregoriods.github.io/rongopy/#:~:text=rongopy%20,Horley%202011%3B%20but%20see" TargetMode="External" /><Relationship Type="http://schemas.openxmlformats.org/officeDocument/2006/relationships/hyperlink" Id="rId107" Target="https://journals.openedition.org/jso/6371?lang=en" TargetMode="External" /><Relationship Type="http://schemas.openxmlformats.org/officeDocument/2006/relationships/hyperlink" Id="rId62" Target="https://journals.openedition.org/jso/6371?lang=en#:~:text=Tablet%20Keiti%20and%20calendar,to%20improve%20the%20visual" TargetMode="External" /><Relationship Type="http://schemas.openxmlformats.org/officeDocument/2006/relationships/hyperlink" Id="rId99" Target="https://www.omniglot.com/writing/rongorongo.htm" TargetMode="External" /><Relationship Type="http://schemas.openxmlformats.org/officeDocument/2006/relationships/hyperlink" Id="rId21" Target="https://www.omniglot.com/writing/rongorongo.htm#:~:text=to%20left%20in%20horizontal%20lines,variant%20forms%20of%20these%20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2025-12-20T22:22:10Z</dcterms:created>
  <dcterms:modified xsi:type="dcterms:W3CDTF">2025-12-20T22:22:10Z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