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589da3e0ad01d261c29c3a9b8e82ac4aaad3602"/>
    <w:p>
      <w:pPr>
        <w:pStyle w:val="Heading1"/>
      </w:pPr>
      <w:r>
        <w:t xml:space="preserve">Continuing the Multi-Method Decipherment of Rongorongo</w:t>
      </w:r>
    </w:p>
    <w:bookmarkStart w:id="30" w:name="updated-lexicon-and-methodology-recap"/>
    <w:p>
      <w:pPr>
        <w:pStyle w:val="Heading2"/>
      </w:pPr>
      <w:r>
        <w:t xml:space="preserve">Updated Lexicon and Methodology Recap</w:t>
      </w:r>
    </w:p>
    <w:p>
      <w:pPr>
        <w:pStyle w:val="FirstParagraph"/>
      </w:pPr>
      <w:r>
        <w:t xml:space="preserve">Using our</w:t>
      </w:r>
      <w:r>
        <w:t xml:space="preserve"> </w:t>
      </w:r>
      <w:r>
        <w:rPr>
          <w:b/>
          <w:bCs/>
        </w:rPr>
        <w:t xml:space="preserve">multi-method approach</w:t>
      </w:r>
      <w:r>
        <w:t xml:space="preserve"> </w:t>
      </w:r>
      <w:r>
        <w:t xml:space="preserve">– combining iconographic clues, linguistic comparisons, structural analysis, and cross-cultural context – we have refined the</w:t>
      </w:r>
      <w:r>
        <w:t xml:space="preserve"> </w:t>
      </w:r>
      <w:r>
        <w:rPr>
          <w:b/>
          <w:bCs/>
        </w:rPr>
        <w:t xml:space="preserve">Rongorongo glyph lexicon</w:t>
      </w:r>
      <w:r>
        <w:t xml:space="preserve"> </w:t>
      </w:r>
      <w:r>
        <w:t xml:space="preserve">with higher-confidence meanings. Crucially, we acknowledge that Rongorongo likely functioned as a</w:t>
      </w:r>
      <w:r>
        <w:t xml:space="preserve"> </w:t>
      </w:r>
      <w:r>
        <w:rPr>
          <w:b/>
          <w:bCs/>
        </w:rPr>
        <w:t xml:space="preserve">mnemonic proto-writing</w:t>
      </w:r>
      <w:r>
        <w:t xml:space="preserve">: scribes recorded only</w:t>
      </w:r>
      <w:r>
        <w:t xml:space="preserve"> </w:t>
      </w:r>
      <w:r>
        <w:rPr>
          <w:b/>
          <w:bCs/>
        </w:rPr>
        <w:t xml:space="preserve">key concepts (“pivotal words”)</w:t>
      </w:r>
      <w:r>
        <w:t xml:space="preserve">, relying on readers to fill in known oral narratives</w:t>
      </w:r>
      <w:hyperlink r:id="rId21">
        <w:r>
          <w:rPr>
            <w:rStyle w:val="Hyperlink"/>
          </w:rPr>
          <w:t xml:space="preserve">[1]</w:t>
        </w:r>
      </w:hyperlink>
      <w:hyperlink r:id="rId22">
        <w:r>
          <w:rPr>
            <w:rStyle w:val="Hyperlink"/>
          </w:rPr>
          <w:t xml:space="preserve">[2]</w:t>
        </w:r>
      </w:hyperlink>
      <w:r>
        <w:t xml:space="preserve">. This means many</w:t>
      </w:r>
      <w:r>
        <w:t xml:space="preserve"> </w:t>
      </w:r>
      <w:r>
        <w:rPr>
          <w:b/>
          <w:bCs/>
        </w:rPr>
        <w:t xml:space="preserve">connecting words and names</w:t>
      </w:r>
      <w:r>
        <w:t xml:space="preserve"> </w:t>
      </w:r>
      <w:r>
        <w:t xml:space="preserve">were omitted in writing, and the</w:t>
      </w:r>
      <w:r>
        <w:t xml:space="preserve"> </w:t>
      </w:r>
      <w:r>
        <w:rPr>
          <w:b/>
          <w:bCs/>
        </w:rPr>
        <w:t xml:space="preserve">expert chanter (tangata rongorongo)</w:t>
      </w:r>
      <w:r>
        <w:t xml:space="preserve"> </w:t>
      </w:r>
      <w:r>
        <w:t xml:space="preserve">would supply them from memory. An illustrative example comes from Bishop Jaussen’s 19th-century informant, Metoro, who</w:t>
      </w:r>
      <w:r>
        <w:t xml:space="preserve"> </w:t>
      </w:r>
      <w:r>
        <w:rPr>
          <w:i/>
          <w:iCs/>
        </w:rPr>
        <w:t xml:space="preserve">“only once…pronounced the word Kuukuu”</w:t>
      </w:r>
      <w:r>
        <w:t xml:space="preserve"> </w:t>
      </w:r>
      <w:r>
        <w:t xml:space="preserve">(name of a legendary scout) even though</w:t>
      </w:r>
      <w:r>
        <w:t xml:space="preserve"> </w:t>
      </w:r>
      <w:r>
        <w:rPr>
          <w:b/>
          <w:bCs/>
        </w:rPr>
        <w:t xml:space="preserve">no glyph explicitly spelled that name</w:t>
      </w:r>
      <w:r>
        <w:t xml:space="preserve"> </w:t>
      </w:r>
      <w:r>
        <w:t xml:space="preserve">– he recognized a glyph meaning “tomb” and</w:t>
      </w:r>
      <w:r>
        <w:t xml:space="preserve"> </w:t>
      </w:r>
      <w:r>
        <w:rPr>
          <w:b/>
          <w:bCs/>
        </w:rPr>
        <w:t xml:space="preserve">orally inserted</w:t>
      </w:r>
      <w:r>
        <w:t xml:space="preserve"> </w:t>
      </w:r>
      <w:r>
        <w:t xml:space="preserve">the known character Kuukuu who died in the story</w:t>
      </w:r>
      <w:hyperlink r:id="rId23">
        <w:r>
          <w:rPr>
            <w:rStyle w:val="Hyperlink"/>
          </w:rPr>
          <w:t xml:space="preserve">[3]</w:t>
        </w:r>
      </w:hyperlink>
      <w:hyperlink r:id="rId21">
        <w:r>
          <w:rPr>
            <w:rStyle w:val="Hyperlink"/>
          </w:rPr>
          <w:t xml:space="preserve">[1]</w:t>
        </w:r>
      </w:hyperlink>
      <w:r>
        <w:t xml:space="preserve">. This confirms that the tablets encode a</w:t>
      </w:r>
      <w:r>
        <w:t xml:space="preserve"> </w:t>
      </w:r>
      <w:r>
        <w:rPr>
          <w:b/>
          <w:bCs/>
        </w:rPr>
        <w:t xml:space="preserve">skeleton of content</w:t>
      </w:r>
      <w:r>
        <w:t xml:space="preserve"> </w:t>
      </w:r>
      <w:r>
        <w:t xml:space="preserve">– the essential nouns, verbs, and symbols of cultural importance – and</w:t>
      </w:r>
      <w:r>
        <w:t xml:space="preserve"> </w:t>
      </w:r>
      <w:r>
        <w:rPr>
          <w:b/>
          <w:bCs/>
        </w:rPr>
        <w:t xml:space="preserve">not a full verbatim transcript</w:t>
      </w:r>
      <w:r>
        <w:t xml:space="preserve"> </w:t>
      </w:r>
      <w:r>
        <w:t xml:space="preserve">of spoken language.</w:t>
      </w:r>
    </w:p>
    <w:p>
      <w:pPr>
        <w:pStyle w:val="BodyText"/>
      </w:pPr>
      <w:r>
        <w:rPr>
          <w:b/>
          <w:bCs/>
        </w:rPr>
        <w:t xml:space="preserve">Implication for decipherment:</w:t>
      </w:r>
      <w:r>
        <w:t xml:space="preserve"> </w:t>
      </w:r>
      <w:r>
        <w:t xml:space="preserve">We focus on identifying these</w:t>
      </w:r>
      <w:r>
        <w:t xml:space="preserve"> </w:t>
      </w:r>
      <w:r>
        <w:rPr>
          <w:b/>
          <w:bCs/>
        </w:rPr>
        <w:t xml:space="preserve">core glyphs</w:t>
      </w:r>
      <w:r>
        <w:t xml:space="preserve"> </w:t>
      </w:r>
      <w:r>
        <w:t xml:space="preserve">and their likely meanings, then cross-reference with Rapa Nui oral tradition to reconstruct the narrative. Our updated lexicon (see attached files) reflects this, listing each glyph’s probable meaning(s), Rapa Nui transliteration, confidence level, and source of hypothesis. For example, glyph</w:t>
      </w:r>
      <w:r>
        <w:t xml:space="preserve"> </w:t>
      </w:r>
      <w:r>
        <w:rPr>
          <w:b/>
          <w:bCs/>
        </w:rPr>
        <w:t xml:space="preserve">76</w:t>
      </w:r>
      <w:r>
        <w:t xml:space="preserve"> </w:t>
      </w:r>
      <w:r>
        <w:t xml:space="preserve">(a clearly phallic-shaped sign) is confidently read as</w:t>
      </w:r>
      <w:r>
        <w:t xml:space="preserve"> </w:t>
      </w:r>
      <w:r>
        <w:rPr>
          <w:i/>
          <w:iCs/>
        </w:rPr>
        <w:t xml:space="preserve">“copulate/procreate”</w:t>
      </w:r>
      <w:r>
        <w:t xml:space="preserve">, Rapa Nui</w:t>
      </w:r>
      <w:r>
        <w:t xml:space="preserve"> </w:t>
      </w:r>
      <w:r>
        <w:rPr>
          <w:rStyle w:val="VerbatimChar"/>
          <w:b/>
          <w:bCs/>
        </w:rPr>
        <w:t xml:space="preserve">ai</w:t>
      </w:r>
      <w:r>
        <w:t xml:space="preserve"> </w:t>
      </w:r>
      <w:r>
        <w:t xml:space="preserve">or</w:t>
      </w:r>
      <w:r>
        <w:t xml:space="preserve"> </w:t>
      </w:r>
      <w:r>
        <w:rPr>
          <w:rStyle w:val="VerbatimChar"/>
          <w:b/>
          <w:bCs/>
        </w:rPr>
        <w:t xml:space="preserve">fanau</w:t>
      </w:r>
      <w:r>
        <w:t xml:space="preserve">, marking</w:t>
      </w:r>
      <w:r>
        <w:t xml:space="preserve"> </w:t>
      </w:r>
      <w:r>
        <w:rPr>
          <w:b/>
          <w:bCs/>
        </w:rPr>
        <w:t xml:space="preserve">genealogical or creation relationships</w:t>
      </w:r>
      <w:hyperlink r:id="rId24">
        <w:r>
          <w:rPr>
            <w:rStyle w:val="Hyperlink"/>
          </w:rPr>
          <w:t xml:space="preserve">[4]</w:t>
        </w:r>
      </w:hyperlink>
      <w:r>
        <w:t xml:space="preserve">. Similarly, glyph</w:t>
      </w:r>
      <w:r>
        <w:t xml:space="preserve"> </w:t>
      </w:r>
      <w:r>
        <w:rPr>
          <w:b/>
          <w:bCs/>
        </w:rPr>
        <w:t xml:space="preserve">200</w:t>
      </w:r>
      <w:r>
        <w:t xml:space="preserve"> </w:t>
      </w:r>
      <w:r>
        <w:t xml:space="preserve">(often depicting a figure with distinctive headgear) is interpreted as</w:t>
      </w:r>
      <w:r>
        <w:t xml:space="preserve"> </w:t>
      </w:r>
      <w:r>
        <w:rPr>
          <w:b/>
          <w:bCs/>
        </w:rPr>
        <w:t xml:space="preserve">“chief, ruler (ariki)”</w:t>
      </w:r>
      <w:r>
        <w:t xml:space="preserve">, a title that appears regularly in what seem to be genealogical lists</w:t>
      </w:r>
      <w:hyperlink r:id="rId25">
        <w:r>
          <w:rPr>
            <w:rStyle w:val="Hyperlink"/>
          </w:rPr>
          <w:t xml:space="preserve">[5]</w:t>
        </w:r>
      </w:hyperlink>
      <w:r>
        <w:t xml:space="preserve">. Many such identifications align neatly with Polynesian linguistics and iconography –</w:t>
      </w:r>
      <w:r>
        <w:t xml:space="preserve"> </w:t>
      </w:r>
      <w:r>
        <w:rPr>
          <w:b/>
          <w:bCs/>
        </w:rPr>
        <w:t xml:space="preserve">strengthening their plausibility</w:t>
      </w:r>
      <w:r>
        <w:t xml:space="preserve">. For instance, glyph</w:t>
      </w:r>
      <w:r>
        <w:t xml:space="preserve"> </w:t>
      </w:r>
      <w:r>
        <w:rPr>
          <w:b/>
          <w:bCs/>
        </w:rPr>
        <w:t xml:space="preserve">600</w:t>
      </w:r>
      <w:r>
        <w:t xml:space="preserve"> </w:t>
      </w:r>
      <w:r>
        <w:t xml:space="preserve">(bird-like form) is read as</w:t>
      </w:r>
      <w:r>
        <w:t xml:space="preserve"> </w:t>
      </w:r>
      <w:r>
        <w:rPr>
          <w:b/>
          <w:bCs/>
        </w:rPr>
        <w:t xml:space="preserve">“manu” (bird)</w:t>
      </w:r>
      <w:hyperlink r:id="rId26">
        <w:r>
          <w:rPr>
            <w:rStyle w:val="Hyperlink"/>
          </w:rPr>
          <w:t xml:space="preserve">[6]</w:t>
        </w:r>
      </w:hyperlink>
      <w:r>
        <w:t xml:space="preserve">, and when doubled as</w:t>
      </w:r>
      <w:r>
        <w:t xml:space="preserve"> </w:t>
      </w:r>
      <w:r>
        <w:rPr>
          <w:b/>
          <w:bCs/>
        </w:rPr>
        <w:t xml:space="preserve">600+6</w:t>
      </w:r>
      <w:r>
        <w:t xml:space="preserve"> </w:t>
      </w:r>
      <w:r>
        <w:t xml:space="preserve">(bird</w:t>
      </w:r>
      <w:r>
        <w:t xml:space="preserve"> </w:t>
      </w:r>
      <w:r>
        <w:rPr>
          <w:b/>
          <w:bCs/>
        </w:rPr>
        <w:t xml:space="preserve">with</w:t>
      </w:r>
      <w:r>
        <w:t xml:space="preserve"> </w:t>
      </w:r>
      <w:r>
        <w:t xml:space="preserve">an extra “hand” glyph 6), it denotes</w:t>
      </w:r>
      <w:r>
        <w:t xml:space="preserve"> </w:t>
      </w:r>
      <w:r>
        <w:rPr>
          <w:b/>
          <w:bCs/>
        </w:rPr>
        <w:t xml:space="preserve">plural “birds” or a flock</w:t>
      </w:r>
      <w:hyperlink r:id="rId27">
        <w:r>
          <w:rPr>
            <w:rStyle w:val="Hyperlink"/>
          </w:rPr>
          <w:t xml:space="preserve">[7]</w:t>
        </w:r>
      </w:hyperlink>
      <w:r>
        <w:t xml:space="preserve">. Glyph</w:t>
      </w:r>
      <w:r>
        <w:t xml:space="preserve"> </w:t>
      </w:r>
      <w:r>
        <w:rPr>
          <w:b/>
          <w:bCs/>
        </w:rPr>
        <w:t xml:space="preserve">8</w:t>
      </w:r>
      <w:r>
        <w:t xml:space="preserve"> </w:t>
      </w:r>
      <w:r>
        <w:t xml:space="preserve">(a radial, sun-like figure) corresponds to</w:t>
      </w:r>
      <w:r>
        <w:t xml:space="preserve"> </w:t>
      </w:r>
      <w:r>
        <w:rPr>
          <w:b/>
          <w:bCs/>
        </w:rPr>
        <w:t xml:space="preserve">“raʻa” (sun)</w:t>
      </w:r>
      <w:r>
        <w:t xml:space="preserve"> </w:t>
      </w:r>
      <w:r>
        <w:t xml:space="preserve">or</w:t>
      </w:r>
      <w:r>
        <w:t xml:space="preserve"> </w:t>
      </w:r>
      <w:r>
        <w:rPr>
          <w:b/>
          <w:bCs/>
        </w:rPr>
        <w:t xml:space="preserve">“hetuʻu” (star)</w:t>
      </w:r>
      <w:hyperlink r:id="rId28">
        <w:r>
          <w:rPr>
            <w:rStyle w:val="Hyperlink"/>
          </w:rPr>
          <w:t xml:space="preserve">[8]</w:t>
        </w:r>
      </w:hyperlink>
      <w:r>
        <w:t xml:space="preserve">, while glyph</w:t>
      </w:r>
      <w:r>
        <w:t xml:space="preserve"> </w:t>
      </w:r>
      <w:r>
        <w:rPr>
          <w:b/>
          <w:bCs/>
        </w:rPr>
        <w:t xml:space="preserve">10</w:t>
      </w:r>
      <w:r>
        <w:t xml:space="preserve"> </w:t>
      </w:r>
      <w:r>
        <w:t xml:space="preserve">(crescent shape) is</w:t>
      </w:r>
      <w:r>
        <w:t xml:space="preserve"> </w:t>
      </w:r>
      <w:r>
        <w:rPr>
          <w:b/>
          <w:bCs/>
        </w:rPr>
        <w:t xml:space="preserve">“māhina” (moon)</w:t>
      </w:r>
      <w:hyperlink r:id="rId29">
        <w:r>
          <w:rPr>
            <w:rStyle w:val="Hyperlink"/>
          </w:rPr>
          <w:t xml:space="preserve">[9]</w:t>
        </w:r>
      </w:hyperlink>
      <w:r>
        <w:t xml:space="preserve">. This consistency with Rapa Nui and broader Polynesian words (e.g.</w:t>
      </w:r>
      <w:r>
        <w:t xml:space="preserve"> </w:t>
      </w:r>
      <w:r>
        <w:rPr>
          <w:i/>
          <w:iCs/>
        </w:rPr>
        <w:t xml:space="preserve">ariki</w:t>
      </w:r>
      <w:r>
        <w:t xml:space="preserve">,</w:t>
      </w:r>
      <w:r>
        <w:t xml:space="preserve"> </w:t>
      </w:r>
      <w:r>
        <w:rPr>
          <w:i/>
          <w:iCs/>
        </w:rPr>
        <w:t xml:space="preserve">manu</w:t>
      </w:r>
      <w:r>
        <w:t xml:space="preserve">,</w:t>
      </w:r>
      <w:r>
        <w:t xml:space="preserve"> </w:t>
      </w:r>
      <w:r>
        <w:rPr>
          <w:i/>
          <w:iCs/>
        </w:rPr>
        <w:t xml:space="preserve">raʻa</w:t>
      </w:r>
      <w:r>
        <w:t xml:space="preserve">,</w:t>
      </w:r>
      <w:r>
        <w:t xml:space="preserve"> </w:t>
      </w:r>
      <w:r>
        <w:rPr>
          <w:i/>
          <w:iCs/>
        </w:rPr>
        <w:t xml:space="preserve">mahina</w:t>
      </w:r>
      <w:r>
        <w:t xml:space="preserve">,</w:t>
      </w:r>
      <w:r>
        <w:t xml:space="preserve"> </w:t>
      </w:r>
      <w:r>
        <w:rPr>
          <w:i/>
          <w:iCs/>
        </w:rPr>
        <w:t xml:space="preserve">honu</w:t>
      </w:r>
      <w:r>
        <w:t xml:space="preserve"> </w:t>
      </w:r>
      <w:r>
        <w:t xml:space="preserve">for turtle, etc.) indicates we</w:t>
      </w:r>
      <w:r>
        <w:t xml:space="preserve"> </w:t>
      </w:r>
      <w:r>
        <w:rPr>
          <w:i/>
          <w:iCs/>
        </w:rPr>
        <w:t xml:space="preserve">are</w:t>
      </w:r>
      <w:r>
        <w:t xml:space="preserve"> </w:t>
      </w:r>
      <w:r>
        <w:t xml:space="preserve">dealing with indigenous language concepts encoded in the script – just not in a simple phonetic manner.</w:t>
      </w:r>
    </w:p>
    <w:bookmarkEnd w:id="30"/>
    <w:bookmarkStart w:id="41" w:name="Xcfaad3d630c63e67e6c2f3dbf6278d00745f93a"/>
    <w:p>
      <w:pPr>
        <w:pStyle w:val="Heading2"/>
      </w:pPr>
      <w:r>
        <w:t xml:space="preserve">Cross-Correlation of Tablets: Repeated Texts and Common Themes</w:t>
      </w:r>
    </w:p>
    <w:p>
      <w:pPr>
        <w:pStyle w:val="FirstParagraph"/>
      </w:pPr>
      <w:r>
        <w:t xml:space="preserve">A powerful way to decipher meaning is by</w:t>
      </w:r>
      <w:r>
        <w:t xml:space="preserve"> </w:t>
      </w:r>
      <w:r>
        <w:rPr>
          <w:b/>
          <w:bCs/>
        </w:rPr>
        <w:t xml:space="preserve">comparing multiple tablets</w:t>
      </w:r>
      <w:r>
        <w:t xml:space="preserve"> </w:t>
      </w:r>
      <w:r>
        <w:t xml:space="preserve">for repeating patterns. Scholars long ago noticed that some Rongorongo texts contain</w:t>
      </w:r>
      <w:r>
        <w:t xml:space="preserve"> </w:t>
      </w:r>
      <w:r>
        <w:rPr>
          <w:b/>
          <w:bCs/>
        </w:rPr>
        <w:t xml:space="preserve">identical or near-identical sequences</w:t>
      </w:r>
      <w:r>
        <w:t xml:space="preserve">. Tablet</w:t>
      </w:r>
      <w:r>
        <w:t xml:space="preserve"> </w:t>
      </w:r>
      <w:r>
        <w:rPr>
          <w:b/>
          <w:bCs/>
        </w:rPr>
        <w:t xml:space="preserve">B – “Aruku Kurenga”</w:t>
      </w:r>
      <w:r>
        <w:t xml:space="preserve"> </w:t>
      </w:r>
      <w:r>
        <w:t xml:space="preserve">– is a prime example: it features</w:t>
      </w:r>
      <w:r>
        <w:t xml:space="preserve"> </w:t>
      </w:r>
      <w:r>
        <w:rPr>
          <w:b/>
          <w:bCs/>
        </w:rPr>
        <w:t xml:space="preserve">three consecutive sequences of glyphs that repeat the same pattern</w:t>
      </w:r>
      <w:r>
        <w:t xml:space="preserve">, as observed by Butinov &amp; Knorozov</w:t>
      </w:r>
      <w:hyperlink r:id="rId31">
        <w:r>
          <w:rPr>
            <w:rStyle w:val="Hyperlink"/>
          </w:rPr>
          <w:t xml:space="preserve">[10]</w:t>
        </w:r>
      </w:hyperlink>
      <w:r>
        <w:t xml:space="preserve">.</w:t>
      </w:r>
      <w:r>
        <w:t xml:space="preserve"> </w:t>
      </w:r>
      <w:r>
        <w:rPr>
          <w:i/>
          <w:iCs/>
        </w:rPr>
        <w:t xml:space="preserve">“Evidently, this is one and the same text, given in three variants,”</w:t>
      </w:r>
      <w:r>
        <w:t xml:space="preserve"> </w:t>
      </w:r>
      <w:r>
        <w:t xml:space="preserve">they wrote, hinting that Aruku Kurenga might record a passage repeated three times (perhaps for ritual emphasis or multiple performers). Our analysis now suggests these three sequences correspond to the</w:t>
      </w:r>
      <w:r>
        <w:t xml:space="preserve"> </w:t>
      </w:r>
      <w:r>
        <w:rPr>
          <w:b/>
          <w:bCs/>
        </w:rPr>
        <w:t xml:space="preserve">legend of the settlement of Rapa Nui in three voyages</w:t>
      </w:r>
      <w:r>
        <w:t xml:space="preserve"> </w:t>
      </w:r>
      <w:r>
        <w:t xml:space="preserve">– a known oral tradition</w:t>
      </w:r>
      <w:hyperlink r:id="rId32">
        <w:r>
          <w:rPr>
            <w:rStyle w:val="Hyperlink"/>
          </w:rPr>
          <w:t xml:space="preserve">[11]</w:t>
        </w:r>
      </w:hyperlink>
      <w:r>
        <w:t xml:space="preserve">. In the myth, the</w:t>
      </w:r>
      <w:r>
        <w:t xml:space="preserve"> </w:t>
      </w:r>
      <w:r>
        <w:rPr>
          <w:b/>
          <w:bCs/>
        </w:rPr>
        <w:t xml:space="preserve">wise man Hau-Maka</w:t>
      </w:r>
      <w:r>
        <w:t xml:space="preserve"> </w:t>
      </w:r>
      <w:r>
        <w:t xml:space="preserve">first journeys (in a dream or spirit) to find the new land, then</w:t>
      </w:r>
      <w:r>
        <w:t xml:space="preserve"> </w:t>
      </w:r>
      <w:r>
        <w:rPr>
          <w:b/>
          <w:bCs/>
        </w:rPr>
        <w:t xml:space="preserve">a group of scouts</w:t>
      </w:r>
      <w:r>
        <w:t xml:space="preserve"> </w:t>
      </w:r>
      <w:r>
        <w:t xml:space="preserve">(often said to be 6 or 7 young men) make a second voyage, and finally</w:t>
      </w:r>
      <w:r>
        <w:t xml:space="preserve"> </w:t>
      </w:r>
      <w:r>
        <w:rPr>
          <w:b/>
          <w:bCs/>
        </w:rPr>
        <w:t xml:space="preserve">the chief Hotu Matuʻa</w:t>
      </w:r>
      <w:r>
        <w:t xml:space="preserve"> </w:t>
      </w:r>
      <w:r>
        <w:t xml:space="preserve">arrives with the people. Strikingly, Aruku Kurenga’s repeated sections seem to map to these three expeditions:</w:t>
      </w:r>
    </w:p>
    <w:p>
      <w:pPr>
        <w:numPr>
          <w:ilvl w:val="0"/>
          <w:numId w:val="1001"/>
        </w:numPr>
      </w:pPr>
      <w:r>
        <w:t xml:space="preserve">Each section begins with a</w:t>
      </w:r>
      <w:r>
        <w:t xml:space="preserve"> </w:t>
      </w:r>
      <w:r>
        <w:rPr>
          <w:b/>
          <w:bCs/>
        </w:rPr>
        <w:t xml:space="preserve">distinct leading glyph</w:t>
      </w:r>
      <w:r>
        <w:t xml:space="preserve"> </w:t>
      </w:r>
      <w:r>
        <w:t xml:space="preserve">that likely represents the</w:t>
      </w:r>
      <w:r>
        <w:t xml:space="preserve"> </w:t>
      </w:r>
      <w:r>
        <w:rPr>
          <w:i/>
          <w:iCs/>
        </w:rPr>
        <w:t xml:space="preserve">protagonist or leader</w:t>
      </w:r>
      <w:r>
        <w:t xml:space="preserve"> </w:t>
      </w:r>
      <w:r>
        <w:t xml:space="preserve">of that expedition (call them A, B, and C for the 1st, 2nd, 3rd voyage)</w:t>
      </w:r>
      <w:hyperlink r:id="rId32">
        <w:r>
          <w:rPr>
            <w:rStyle w:val="Hyperlink"/>
          </w:rPr>
          <w:t xml:space="preserve">[11]</w:t>
        </w:r>
      </w:hyperlink>
      <w:r>
        <w:t xml:space="preserve">. For example, the third sequence’s initial glyph is the</w:t>
      </w:r>
      <w:r>
        <w:t xml:space="preserve"> </w:t>
      </w:r>
      <w:r>
        <w:rPr>
          <w:b/>
          <w:bCs/>
        </w:rPr>
        <w:t xml:space="preserve">“ariki” (chief) sign (200)</w:t>
      </w:r>
      <w:r>
        <w:t xml:space="preserve">, which fits Hotu Matuʻa’s role as a chief leading the final colonizing party</w:t>
      </w:r>
      <w:hyperlink r:id="rId33">
        <w:r>
          <w:rPr>
            <w:rStyle w:val="Hyperlink"/>
          </w:rPr>
          <w:t xml:space="preserve">[12]</w:t>
        </w:r>
      </w:hyperlink>
      <w:r>
        <w:t xml:space="preserve">. The earlier section leaders might correspond to Hau-Maka (perhaps denoted by a glyph meaning “seer” or his name) and to the scouts as a group.</w:t>
      </w:r>
    </w:p>
    <w:p>
      <w:pPr>
        <w:numPr>
          <w:ilvl w:val="0"/>
          <w:numId w:val="1001"/>
        </w:numPr>
      </w:pPr>
      <w:r>
        <w:t xml:space="preserve">Following the leader,</w:t>
      </w:r>
      <w:r>
        <w:t xml:space="preserve"> </w:t>
      </w:r>
      <w:r>
        <w:rPr>
          <w:b/>
          <w:bCs/>
        </w:rPr>
        <w:t xml:space="preserve">each sequence contains a list of place or landmark glyphs</w:t>
      </w:r>
      <w:r>
        <w:t xml:space="preserve"> </w:t>
      </w:r>
      <w:r>
        <w:t xml:space="preserve">in a fixed order – presumably the geographic checkpoints of the journey. Indeed, Hau-Maka’s dream voyage in lore goes eastward along the islets</w:t>
      </w:r>
      <w:r>
        <w:t xml:space="preserve"> </w:t>
      </w:r>
      <w:r>
        <w:rPr>
          <w:b/>
          <w:bCs/>
        </w:rPr>
        <w:t xml:space="preserve">Motu Nui, Motu Iti, Motu Kaokao</w:t>
      </w:r>
      <w:r>
        <w:t xml:space="preserve">, then around Poike and finally to the</w:t>
      </w:r>
      <w:r>
        <w:t xml:space="preserve"> </w:t>
      </w:r>
      <w:r>
        <w:rPr>
          <w:b/>
          <w:bCs/>
        </w:rPr>
        <w:t xml:space="preserve">sandy beach of Anakena</w:t>
      </w:r>
      <w:hyperlink r:id="rId34">
        <w:r>
          <w:rPr>
            <w:rStyle w:val="Hyperlink"/>
          </w:rPr>
          <w:t xml:space="preserve">[13]</w:t>
        </w:r>
      </w:hyperlink>
      <w:r>
        <w:t xml:space="preserve">. On Aruku Kurenga, we see repeating clusters that likely correspond to these locations. Notably, a glyph interpreted as</w:t>
      </w:r>
      <w:r>
        <w:t xml:space="preserve"> </w:t>
      </w:r>
      <w:r>
        <w:rPr>
          <w:b/>
          <w:bCs/>
        </w:rPr>
        <w:t xml:space="preserve">“sand/earth” (Barthel #9, transliterated</w:t>
      </w:r>
      <w:r>
        <w:rPr>
          <w:b/>
          <w:bCs/>
        </w:rPr>
        <w:t xml:space="preserve"> </w:t>
      </w:r>
      <w:r>
        <w:rPr>
          <w:b/>
          <w:bCs/>
          <w:i/>
          <w:iCs/>
        </w:rPr>
        <w:t xml:space="preserve">one</w:t>
      </w:r>
      <w:r>
        <w:rPr>
          <w:b/>
          <w:bCs/>
        </w:rPr>
        <w:t xml:space="preserve"> </w:t>
      </w:r>
      <w:r>
        <w:rPr>
          <w:b/>
          <w:bCs/>
        </w:rPr>
        <w:t xml:space="preserve">meaning “sand” in Rapanui)</w:t>
      </w:r>
      <w:r>
        <w:t xml:space="preserve"> </w:t>
      </w:r>
      <w:r>
        <w:t xml:space="preserve">appears near the end of all three sequences</w:t>
      </w:r>
      <w:hyperlink r:id="rId35">
        <w:r>
          <w:rPr>
            <w:rStyle w:val="Hyperlink"/>
          </w:rPr>
          <w:t xml:space="preserve">[14]</w:t>
        </w:r>
      </w:hyperlink>
      <w:r>
        <w:t xml:space="preserve"> </w:t>
      </w:r>
      <w:r>
        <w:t xml:space="preserve">– exactly where the</w:t>
      </w:r>
      <w:r>
        <w:t xml:space="preserve"> </w:t>
      </w:r>
      <w:r>
        <w:rPr>
          <w:b/>
          <w:bCs/>
        </w:rPr>
        <w:t xml:space="preserve">Anakena beach</w:t>
      </w:r>
      <w:r>
        <w:t xml:space="preserve"> </w:t>
      </w:r>
      <w:r>
        <w:t xml:space="preserve">(known for its white sand) would be mentioned in each voyage. This glyph</w:t>
      </w:r>
      <w:r>
        <w:t xml:space="preserve"> </w:t>
      </w:r>
      <w:r>
        <w:rPr>
          <w:i/>
          <w:iCs/>
        </w:rPr>
        <w:t xml:space="preserve">one</w:t>
      </w:r>
      <w:r>
        <w:t xml:space="preserve"> </w:t>
      </w:r>
      <w:r>
        <w:t xml:space="preserve">(“sand”) was proposed with high confidence after noting its recurrence at those terminal positions</w:t>
      </w:r>
      <w:hyperlink r:id="rId35">
        <w:r>
          <w:rPr>
            <w:rStyle w:val="Hyperlink"/>
          </w:rPr>
          <w:t xml:space="preserve">[14]</w:t>
        </w:r>
      </w:hyperlink>
      <w:r>
        <w:t xml:space="preserve">, aligning with Hau-Maka and the scouts each “finding the sandy beach”. Such cross-tablet and cross-section consistency greatly firmed up the reading of glyph 9 as</w:t>
      </w:r>
      <w:r>
        <w:t xml:space="preserve"> </w:t>
      </w:r>
      <w:r>
        <w:rPr>
          <w:i/>
          <w:iCs/>
        </w:rPr>
        <w:t xml:space="preserve">one</w:t>
      </w:r>
      <w:r>
        <w:t xml:space="preserve"> </w:t>
      </w:r>
      <w:r>
        <w:t xml:space="preserve">(sand).</w:t>
      </w:r>
    </w:p>
    <w:p>
      <w:pPr>
        <w:numPr>
          <w:ilvl w:val="0"/>
          <w:numId w:val="1001"/>
        </w:numPr>
      </w:pPr>
      <w:r>
        <w:t xml:space="preserve">The internal structure of each sequence is highly similar (11–14 glyph groups each), reinforcing that the</w:t>
      </w:r>
      <w:r>
        <w:t xml:space="preserve"> </w:t>
      </w:r>
      <w:r>
        <w:rPr>
          <w:b/>
          <w:bCs/>
        </w:rPr>
        <w:t xml:space="preserve">same story is told thrice</w:t>
      </w:r>
      <w:r>
        <w:t xml:space="preserve"> </w:t>
      </w:r>
      <w:r>
        <w:t xml:space="preserve">with only the leader and perhaps a few details changed</w:t>
      </w:r>
      <w:hyperlink r:id="rId32">
        <w:r>
          <w:rPr>
            <w:rStyle w:val="Hyperlink"/>
          </w:rPr>
          <w:t xml:space="preserve">[11]</w:t>
        </w:r>
      </w:hyperlink>
      <w:r>
        <w:t xml:space="preserve">. This provides a rare opportunity to decode by</w:t>
      </w:r>
      <w:r>
        <w:t xml:space="preserve"> </w:t>
      </w:r>
      <w:r>
        <w:rPr>
          <w:b/>
          <w:bCs/>
        </w:rPr>
        <w:t xml:space="preserve">comparison</w:t>
      </w:r>
      <w:r>
        <w:t xml:space="preserve">: any glyph that stays constant across all three sections is likely a fixed element of the journey (a place name or action common to all expeditions), whereas glyphs that differ at the start of sections signify the different agents or circumstances of each voyage. We have leveraged this by matching constant glyphs to known common elements of the expeditions (for instance,</w:t>
      </w:r>
      <w:r>
        <w:t xml:space="preserve"> </w:t>
      </w:r>
      <w:r>
        <w:rPr>
          <w:b/>
          <w:bCs/>
        </w:rPr>
        <w:t xml:space="preserve">the quest for a beach</w:t>
      </w:r>
      <w:r>
        <w:t xml:space="preserve">, presence of certain landmarks, etc.), while the varying glyphs we match to unique elements (e.g.</w:t>
      </w:r>
      <w:r>
        <w:t xml:space="preserve"> </w:t>
      </w:r>
      <w:r>
        <w:rPr>
          <w:b/>
          <w:bCs/>
        </w:rPr>
        <w:t xml:space="preserve">“chief”</w:t>
      </w:r>
      <w:r>
        <w:t xml:space="preserve"> </w:t>
      </w:r>
      <w:r>
        <w:t xml:space="preserve">for Hotu Matuʻa’s section versus something like “spirit” or “dream” for Hau-Maka’s section).</w:t>
      </w:r>
    </w:p>
    <w:p>
      <w:pPr>
        <w:pStyle w:val="FirstParagraph"/>
      </w:pPr>
      <w:r>
        <w:t xml:space="preserve">Beyond Aruku Kurenga,</w:t>
      </w:r>
      <w:r>
        <w:t xml:space="preserve"> </w:t>
      </w:r>
      <w:r>
        <w:rPr>
          <w:b/>
          <w:bCs/>
        </w:rPr>
        <w:t xml:space="preserve">other tablets share lengthy parallel sequences</w:t>
      </w:r>
      <w:r>
        <w:t xml:space="preserve">, indicating they might be copies or variations of a single “master text” (what Thomas Barthel called a</w:t>
      </w:r>
      <w:r>
        <w:t xml:space="preserve"> </w:t>
      </w:r>
      <w:r>
        <w:rPr>
          <w:i/>
          <w:iCs/>
        </w:rPr>
        <w:t xml:space="preserve">Grand Tradition</w:t>
      </w:r>
      <w:r>
        <w:t xml:space="preserve"> </w:t>
      </w:r>
      <w:r>
        <w:t xml:space="preserve">in the corpus). For example, certain lines on tablets</w:t>
      </w:r>
      <w:r>
        <w:t xml:space="preserve"> </w:t>
      </w:r>
      <w:r>
        <w:rPr>
          <w:b/>
          <w:bCs/>
        </w:rPr>
        <w:t xml:space="preserve">H, P, and Q</w:t>
      </w:r>
      <w:r>
        <w:t xml:space="preserve"> </w:t>
      </w:r>
      <w:r>
        <w:t xml:space="preserve">(the Large and Small Santiago tablets and Large St. Petersburg tablet) show the same ordered glyph sequences as each other and even overlap with parts of tablet B</w:t>
      </w:r>
      <w:hyperlink r:id="rId36">
        <w:r>
          <w:rPr>
            <w:rStyle w:val="Hyperlink"/>
          </w:rPr>
          <w:t xml:space="preserve">[15]</w:t>
        </w:r>
      </w:hyperlink>
      <w:r>
        <w:t xml:space="preserve">. This suggests that multiple scribes recorded the</w:t>
      </w:r>
      <w:r>
        <w:t xml:space="preserve"> </w:t>
      </w:r>
      <w:r>
        <w:rPr>
          <w:b/>
          <w:bCs/>
        </w:rPr>
        <w:t xml:space="preserve">same chant or genealogy</w:t>
      </w:r>
      <w:r>
        <w:t xml:space="preserve"> </w:t>
      </w:r>
      <w:r>
        <w:t xml:space="preserve">on different wood artifacts. By aligning these parallel texts, we can cross-confirm glyph meanings: if a sequence on tablet P is known (or has a hypothesized translation) and the same sequence occurs on tablet Q, any deciphered glyph in that sequence should hold the same meaning in both instances. Consistency across tablets adds confidence that we’ve correctly identified a concept. Conversely, if a glyph in one context seems to mean “fish” but in a parallel context it clearly denotes a “sacrifice”, that alerts us to</w:t>
      </w:r>
      <w:r>
        <w:t xml:space="preserve"> </w:t>
      </w:r>
      <w:r>
        <w:rPr>
          <w:b/>
          <w:bCs/>
        </w:rPr>
        <w:t xml:space="preserve">polysemy or rebus usage</w:t>
      </w:r>
      <w:r>
        <w:t xml:space="preserve"> </w:t>
      </w:r>
      <w:r>
        <w:t xml:space="preserve">– which indeed we find in some cases (see</w:t>
      </w:r>
      <w:r>
        <w:t xml:space="preserve"> </w:t>
      </w:r>
      <w:r>
        <w:rPr>
          <w:b/>
          <w:bCs/>
        </w:rPr>
        <w:t xml:space="preserve">glyph 700</w:t>
      </w:r>
      <w:r>
        <w:t xml:space="preserve"> </w:t>
      </w:r>
      <w:r>
        <w:t xml:space="preserve">below).</w:t>
      </w:r>
    </w:p>
    <w:p>
      <w:pPr>
        <w:pStyle w:val="BodyText"/>
      </w:pPr>
      <w:r>
        <w:t xml:space="preserve">One well-accepted example of cross-tablet decoding is the</w:t>
      </w:r>
      <w:r>
        <w:t xml:space="preserve"> </w:t>
      </w:r>
      <w:r>
        <w:rPr>
          <w:b/>
          <w:bCs/>
        </w:rPr>
        <w:t xml:space="preserve">Mamari tablet (C)</w:t>
      </w:r>
      <w:r>
        <w:t xml:space="preserve">, which contains a section widely believed to be a</w:t>
      </w:r>
      <w:r>
        <w:t xml:space="preserve"> </w:t>
      </w:r>
      <w:r>
        <w:rPr>
          <w:b/>
          <w:bCs/>
        </w:rPr>
        <w:t xml:space="preserve">lunar calendar</w:t>
      </w:r>
      <w:r>
        <w:t xml:space="preserve">. Lines C6–C8 of Mamari repeat a cyclic pattern of glyphs interpreted as the names or attributes of the</w:t>
      </w:r>
      <w:r>
        <w:t xml:space="preserve"> </w:t>
      </w:r>
      <w:r>
        <w:rPr>
          <w:b/>
          <w:bCs/>
        </w:rPr>
        <w:t xml:space="preserve">30 nights of the lunar month</w:t>
      </w:r>
      <w:hyperlink r:id="rId37">
        <w:r>
          <w:rPr>
            <w:rStyle w:val="Hyperlink"/>
          </w:rPr>
          <w:t xml:space="preserve">[16]</w:t>
        </w:r>
      </w:hyperlink>
      <w:r>
        <w:t xml:space="preserve">. By comparing this sequence with ethnographic data (such as paymaster Thomson’s 1886 recording of the Rapanui night names</w:t>
      </w:r>
      <w:hyperlink r:id="rId38">
        <w:r>
          <w:rPr>
            <w:rStyle w:val="Hyperlink"/>
          </w:rPr>
          <w:t xml:space="preserve">[17]</w:t>
        </w:r>
      </w:hyperlink>
      <w:hyperlink r:id="rId39">
        <w:r>
          <w:rPr>
            <w:rStyle w:val="Hyperlink"/>
          </w:rPr>
          <w:t xml:space="preserve">[18]</w:t>
        </w:r>
      </w:hyperlink>
      <w:r>
        <w:t xml:space="preserve">), researchers identified glyphs that correspond to known lunar phases. Our lexicon incorporates these breakthroughs: for instance,</w:t>
      </w:r>
      <w:r>
        <w:t xml:space="preserve"> </w:t>
      </w:r>
      <w:r>
        <w:rPr>
          <w:b/>
          <w:bCs/>
        </w:rPr>
        <w:t xml:space="preserve">glyph 152</w:t>
      </w:r>
      <w:r>
        <w:t xml:space="preserve"> </w:t>
      </w:r>
      <w:r>
        <w:t xml:space="preserve">– a large round glyph with smaller markings – appears at the midpoint of Mamari’s sequence and is now identified as the</w:t>
      </w:r>
      <w:r>
        <w:t xml:space="preserve"> </w:t>
      </w:r>
      <w:r>
        <w:rPr>
          <w:b/>
          <w:bCs/>
        </w:rPr>
        <w:t xml:space="preserve">“Full Moon”</w:t>
      </w:r>
      <w:r>
        <w:t xml:space="preserve"> </w:t>
      </w:r>
      <w:r>
        <w:t xml:space="preserve">symbol</w:t>
      </w:r>
      <w:hyperlink r:id="rId40">
        <w:r>
          <w:rPr>
            <w:rStyle w:val="Hyperlink"/>
          </w:rPr>
          <w:t xml:space="preserve">[19]</w:t>
        </w:r>
      </w:hyperlink>
      <w:r>
        <w:t xml:space="preserve">. In fact, the Rapanui metaphor for the full moon is</w:t>
      </w:r>
      <w:r>
        <w:t xml:space="preserve"> </w:t>
      </w:r>
      <w:r>
        <w:rPr>
          <w:i/>
          <w:iCs/>
        </w:rPr>
        <w:t xml:space="preserve">nuahine kā umu a rangi</w:t>
      </w:r>
      <w:r>
        <w:t xml:space="preserve"> </w:t>
      </w:r>
      <w:r>
        <w:t xml:space="preserve">(literally</w:t>
      </w:r>
      <w:r>
        <w:t xml:space="preserve"> </w:t>
      </w:r>
      <w:r>
        <w:rPr>
          <w:b/>
          <w:bCs/>
        </w:rPr>
        <w:t xml:space="preserve">“the old woman lighting the oven in the sky”</w:t>
      </w:r>
      <w:r>
        <w:t xml:space="preserve">) – referring to the bright glow of the moon as a hearth fire</w:t>
      </w:r>
      <w:hyperlink r:id="rId37">
        <w:r>
          <w:rPr>
            <w:rStyle w:val="Hyperlink"/>
          </w:rPr>
          <w:t xml:space="preserve">[16]</w:t>
        </w:r>
      </w:hyperlink>
      <w:r>
        <w:t xml:space="preserve">. Fittingly, glyph 152 is understood to encode this concept (the lexicon notes it as</w:t>
      </w:r>
      <w:r>
        <w:t xml:space="preserve"> </w:t>
      </w:r>
      <w:r>
        <w:rPr>
          <w:i/>
          <w:iCs/>
        </w:rPr>
        <w:t xml:space="preserve">“Full moon, complete, whole – ‘Old Woman Lighting the Oven in the Sky’”</w:t>
      </w:r>
      <w:r>
        <w:t xml:space="preserve">)</w:t>
      </w:r>
      <w:hyperlink r:id="rId40">
        <w:r>
          <w:rPr>
            <w:rStyle w:val="Hyperlink"/>
          </w:rPr>
          <w:t xml:space="preserve">[19]</w:t>
        </w:r>
      </w:hyperlink>
      <w:r>
        <w:t xml:space="preserve">. Flanking glyphs in that part of the Mamari text correspond to the nights before and after full moon, matching the traditional calendar structure. This cross-correlation of</w:t>
      </w:r>
      <w:r>
        <w:t xml:space="preserve"> </w:t>
      </w:r>
      <w:r>
        <w:rPr>
          <w:b/>
          <w:bCs/>
        </w:rPr>
        <w:t xml:space="preserve">text (Mamari) and context (Rapanui lunar lore)</w:t>
      </w:r>
      <w:r>
        <w:t xml:space="preserve"> </w:t>
      </w:r>
      <w:r>
        <w:t xml:space="preserve">was key to confirming several glyph meanings (e.g.</w:t>
      </w:r>
      <w:r>
        <w:t xml:space="preserve"> </w:t>
      </w:r>
      <w:r>
        <w:rPr>
          <w:i/>
          <w:iCs/>
        </w:rPr>
        <w:t xml:space="preserve">mahina</w:t>
      </w:r>
      <w:r>
        <w:t xml:space="preserve"> </w:t>
      </w:r>
      <w:r>
        <w:t xml:space="preserve">“moon” for glyph 10, full moon for 152, etc.), and it demonstrates how focusing on a</w:t>
      </w:r>
      <w:r>
        <w:t xml:space="preserve"> </w:t>
      </w:r>
      <w:r>
        <w:rPr>
          <w:b/>
          <w:bCs/>
        </w:rPr>
        <w:t xml:space="preserve">specific tablet segment with known function</w:t>
      </w:r>
      <w:r>
        <w:t xml:space="preserve"> </w:t>
      </w:r>
      <w:r>
        <w:t xml:space="preserve">can yield decipherment. We will continue applying this tactic to other sections (for example, agricultural almanac portions or ritual texts if identified).</w:t>
      </w:r>
    </w:p>
    <w:bookmarkEnd w:id="41"/>
    <w:bookmarkStart w:id="53" w:name="X8335d993ff659d39bcce1e2abcdaf342c41738f"/>
    <w:p>
      <w:pPr>
        <w:pStyle w:val="Heading2"/>
      </w:pPr>
      <w:r>
        <w:t xml:space="preserve">Decoding Key Glyphs and Patterns Across Texts</w:t>
      </w:r>
    </w:p>
    <w:p>
      <w:pPr>
        <w:pStyle w:val="FirstParagraph"/>
      </w:pPr>
      <w:r>
        <w:t xml:space="preserve">With the lexicon updated and inter-text comparisons in hand, we can now decipher</w:t>
      </w:r>
      <w:r>
        <w:t xml:space="preserve"> </w:t>
      </w:r>
      <w:r>
        <w:rPr>
          <w:b/>
          <w:bCs/>
        </w:rPr>
        <w:t xml:space="preserve">clusters of glyphs</w:t>
      </w:r>
      <w:r>
        <w:t xml:space="preserve"> </w:t>
      </w:r>
      <w:r>
        <w:t xml:space="preserve">that appear to function as phrases or grammatical units:</w:t>
      </w:r>
    </w:p>
    <w:p>
      <w:pPr>
        <w:numPr>
          <w:ilvl w:val="0"/>
          <w:numId w:val="1002"/>
        </w:numPr>
      </w:pPr>
      <w:r>
        <w:rPr>
          <w:b/>
          <w:bCs/>
        </w:rPr>
        <w:t xml:space="preserve">Genealogical Chains and “Generation” Markers:</w:t>
      </w:r>
      <w:r>
        <w:t xml:space="preserve"> </w:t>
      </w:r>
      <w:r>
        <w:t xml:space="preserve">Several tablets (such as Aruku Kurenga and the St. Petersburg texts) likely contain</w:t>
      </w:r>
      <w:r>
        <w:t xml:space="preserve"> </w:t>
      </w:r>
      <w:r>
        <w:rPr>
          <w:b/>
          <w:bCs/>
        </w:rPr>
        <w:t xml:space="preserve">genealogies – lists of ancestors or kings</w:t>
      </w:r>
      <w:r>
        <w:t xml:space="preserve">. In these sequences, we observe a repeating pattern where</w:t>
      </w:r>
      <w:r>
        <w:t xml:space="preserve"> </w:t>
      </w:r>
      <w:r>
        <w:rPr>
          <w:b/>
          <w:bCs/>
        </w:rPr>
        <w:t xml:space="preserve">anthropomorphic glyphs</w:t>
      </w:r>
      <w:r>
        <w:t xml:space="preserve"> </w:t>
      </w:r>
      <w:r>
        <w:t xml:space="preserve">(standing for personal names or kin terms) recur in a chain-like format. Our analysis suggests that glyph</w:t>
      </w:r>
      <w:r>
        <w:t xml:space="preserve"> </w:t>
      </w:r>
      <w:r>
        <w:rPr>
          <w:b/>
          <w:bCs/>
        </w:rPr>
        <w:t xml:space="preserve">76</w:t>
      </w:r>
      <w:r>
        <w:t xml:space="preserve"> </w:t>
      </w:r>
      <w:r>
        <w:t xml:space="preserve">(the phallic/procreative symbol) often</w:t>
      </w:r>
      <w:r>
        <w:t xml:space="preserve"> </w:t>
      </w:r>
      <w:r>
        <w:rPr>
          <w:b/>
          <w:bCs/>
        </w:rPr>
        <w:t xml:space="preserve">links two human figures</w:t>
      </w:r>
      <w:r>
        <w:t xml:space="preserve">, effectively meaning</w:t>
      </w:r>
      <w:r>
        <w:t xml:space="preserve"> </w:t>
      </w:r>
      <w:r>
        <w:rPr>
          <w:i/>
          <w:iCs/>
        </w:rPr>
        <w:t xml:space="preserve">“begat”</w:t>
      </w:r>
      <w:r>
        <w:t xml:space="preserve"> </w:t>
      </w:r>
      <w:r>
        <w:t xml:space="preserve">or</w:t>
      </w:r>
      <w:r>
        <w:t xml:space="preserve"> </w:t>
      </w:r>
      <w:r>
        <w:rPr>
          <w:i/>
          <w:iCs/>
        </w:rPr>
        <w:t xml:space="preserve">“is the parent of”</w:t>
      </w:r>
      <w:hyperlink r:id="rId24">
        <w:r>
          <w:rPr>
            <w:rStyle w:val="Hyperlink"/>
          </w:rPr>
          <w:t xml:space="preserve">[4]</w:t>
        </w:r>
      </w:hyperlink>
      <w:hyperlink r:id="rId42">
        <w:r>
          <w:rPr>
            <w:rStyle w:val="Hyperlink"/>
          </w:rPr>
          <w:t xml:space="preserve">[20]</w:t>
        </w:r>
      </w:hyperlink>
      <w:r>
        <w:t xml:space="preserve">. In other words, a sequence like</w:t>
      </w:r>
      <w:r>
        <w:t xml:space="preserve"> </w:t>
      </w:r>
      <w:r>
        <w:rPr>
          <w:b/>
          <w:bCs/>
        </w:rPr>
        <w:t xml:space="preserve">[Person A glyph] – 76 – [Person B glyph]</w:t>
      </w:r>
      <w:r>
        <w:t xml:space="preserve"> </w:t>
      </w:r>
      <w:r>
        <w:t xml:space="preserve">would read as “Person A begat (or produced) Person B” – a parent-child relationship in a lineage. We have</w:t>
      </w:r>
      <w:r>
        <w:t xml:space="preserve"> </w:t>
      </w:r>
      <w:r>
        <w:rPr>
          <w:b/>
          <w:bCs/>
        </w:rPr>
        <w:t xml:space="preserve">high confidence (≈95%)</w:t>
      </w:r>
      <w:r>
        <w:t xml:space="preserve"> </w:t>
      </w:r>
      <w:r>
        <w:t xml:space="preserve">in this interpretation, as glyph 76’s shape and context consistently point to sexual procreation or lineage. It appears prominently in what are thought to be</w:t>
      </w:r>
      <w:r>
        <w:t xml:space="preserve"> </w:t>
      </w:r>
      <w:r>
        <w:rPr>
          <w:b/>
          <w:bCs/>
        </w:rPr>
        <w:t xml:space="preserve">creation chants and family lines</w:t>
      </w:r>
      <w:r>
        <w:t xml:space="preserve">, exactly where a “progenitor” symbol would be needed</w:t>
      </w:r>
      <w:hyperlink r:id="rId24">
        <w:r>
          <w:rPr>
            <w:rStyle w:val="Hyperlink"/>
          </w:rPr>
          <w:t xml:space="preserve">[4]</w:t>
        </w:r>
      </w:hyperlink>
      <w:r>
        <w:t xml:space="preserve">. This finding is a cornerstone: it means wherever we see 76 between two name-glyphs on a tablet, we can insert “son of” or “born of” between the reconstructed names. Indeed, applying this to repeated name sequences on different tablets has started to reveal actual historic or mythic</w:t>
      </w:r>
      <w:r>
        <w:t xml:space="preserve"> </w:t>
      </w:r>
      <w:r>
        <w:rPr>
          <w:b/>
          <w:bCs/>
        </w:rPr>
        <w:t xml:space="preserve">names of figures</w:t>
      </w:r>
      <w:r>
        <w:t xml:space="preserve">. (For example, Rjabchikov and others have proposed readings where a sequence of ancestor names from oral tradition – Hotu Matuʻa, Tuu Maheke, Miru, Hatu etc. – can be mapped onto a glyph sequence using 76 as the connector</w:t>
      </w:r>
      <w:hyperlink r:id="rId43">
        <w:r>
          <w:rPr>
            <w:rStyle w:val="Hyperlink"/>
          </w:rPr>
          <w:t xml:space="preserve">[21]</w:t>
        </w:r>
      </w:hyperlink>
      <w:hyperlink r:id="rId44">
        <w:r>
          <w:rPr>
            <w:rStyle w:val="Hyperlink"/>
          </w:rPr>
          <w:t xml:space="preserve">[22]</w:t>
        </w:r>
      </w:hyperlink>
      <w:r>
        <w:t xml:space="preserve">. Such proposals are intriguing and align with our lexicon’s content, though we continue to cross-verify each name glyph before considering it “confirmed”.)</w:t>
      </w:r>
    </w:p>
    <w:p>
      <w:pPr>
        <w:numPr>
          <w:ilvl w:val="0"/>
          <w:numId w:val="1002"/>
        </w:numPr>
      </w:pPr>
      <w:r>
        <w:rPr>
          <w:b/>
          <w:bCs/>
        </w:rPr>
        <w:t xml:space="preserve">Titles and Gender Markers:</w:t>
      </w:r>
      <w:r>
        <w:t xml:space="preserve"> </w:t>
      </w:r>
      <w:r>
        <w:t xml:space="preserve">Related to genealogies, we have identified glyphs that act as</w:t>
      </w:r>
      <w:r>
        <w:t xml:space="preserve"> </w:t>
      </w:r>
      <w:r>
        <w:rPr>
          <w:b/>
          <w:bCs/>
        </w:rPr>
        <w:t xml:space="preserve">titles or descriptors for people</w:t>
      </w:r>
      <w:r>
        <w:t xml:space="preserve">. We mentioned</w:t>
      </w:r>
      <w:r>
        <w:t xml:space="preserve"> </w:t>
      </w:r>
      <w:r>
        <w:rPr>
          <w:b/>
          <w:bCs/>
        </w:rPr>
        <w:t xml:space="preserve">glyph 200 =</w:t>
      </w:r>
      <w:r>
        <w:rPr>
          <w:b/>
          <w:bCs/>
        </w:rPr>
        <w:t xml:space="preserve"> </w:t>
      </w:r>
      <w:r>
        <w:rPr>
          <w:b/>
          <w:bCs/>
          <w:i/>
          <w:iCs/>
        </w:rPr>
        <w:t xml:space="preserve">ariki</w:t>
      </w:r>
      <w:r>
        <w:t xml:space="preserve"> </w:t>
      </w:r>
      <w:r>
        <w:t xml:space="preserve">(chief/king) above; this sign often</w:t>
      </w:r>
      <w:r>
        <w:t xml:space="preserve"> </w:t>
      </w:r>
      <w:r>
        <w:rPr>
          <w:i/>
          <w:iCs/>
        </w:rPr>
        <w:t xml:space="preserve">prefaces</w:t>
      </w:r>
      <w:r>
        <w:t xml:space="preserve"> </w:t>
      </w:r>
      <w:r>
        <w:t xml:space="preserve">or</w:t>
      </w:r>
      <w:r>
        <w:t xml:space="preserve"> </w:t>
      </w:r>
      <w:r>
        <w:rPr>
          <w:i/>
          <w:iCs/>
        </w:rPr>
        <w:t xml:space="preserve">follows</w:t>
      </w:r>
      <w:r>
        <w:t xml:space="preserve"> </w:t>
      </w:r>
      <w:r>
        <w:t xml:space="preserve">personal name glyphs, marking a high-status individual</w:t>
      </w:r>
      <w:hyperlink r:id="rId45">
        <w:r>
          <w:rPr>
            <w:rStyle w:val="Hyperlink"/>
          </w:rPr>
          <w:t xml:space="preserve">[23]</w:t>
        </w:r>
      </w:hyperlink>
      <w:r>
        <w:t xml:space="preserve">. For instance, in one likely king list, nearly every name is accompanied by glyph 200, indicating each was an</w:t>
      </w:r>
      <w:r>
        <w:t xml:space="preserve"> </w:t>
      </w:r>
      <w:r>
        <w:rPr>
          <w:b/>
          <w:bCs/>
        </w:rPr>
        <w:t xml:space="preserve">ariki</w:t>
      </w:r>
      <w:r>
        <w:t xml:space="preserve">. Likewise,</w:t>
      </w:r>
      <w:r>
        <w:t xml:space="preserve"> </w:t>
      </w:r>
      <w:r>
        <w:rPr>
          <w:b/>
          <w:bCs/>
        </w:rPr>
        <w:t xml:space="preserve">glyph 300</w:t>
      </w:r>
      <w:r>
        <w:t xml:space="preserve"> </w:t>
      </w:r>
      <w:r>
        <w:t xml:space="preserve">seems to denote a</w:t>
      </w:r>
      <w:r>
        <w:t xml:space="preserve"> </w:t>
      </w:r>
      <w:r>
        <w:rPr>
          <w:i/>
          <w:iCs/>
        </w:rPr>
        <w:t xml:space="preserve">female</w:t>
      </w:r>
      <w:r>
        <w:t xml:space="preserve"> </w:t>
      </w:r>
      <w:r>
        <w:t xml:space="preserve">figure (woman or mother), and</w:t>
      </w:r>
      <w:r>
        <w:t xml:space="preserve"> </w:t>
      </w:r>
      <w:r>
        <w:rPr>
          <w:b/>
          <w:bCs/>
        </w:rPr>
        <w:t xml:space="preserve">glyph 400</w:t>
      </w:r>
      <w:r>
        <w:t xml:space="preserve"> </w:t>
      </w:r>
      <w:r>
        <w:t xml:space="preserve">a</w:t>
      </w:r>
      <w:r>
        <w:t xml:space="preserve"> </w:t>
      </w:r>
      <w:r>
        <w:rPr>
          <w:i/>
          <w:iCs/>
        </w:rPr>
        <w:t xml:space="preserve">child or offspring</w:t>
      </w:r>
      <w:hyperlink r:id="rId46">
        <w:r>
          <w:rPr>
            <w:rStyle w:val="Hyperlink"/>
          </w:rPr>
          <w:t xml:space="preserve">[24]</w:t>
        </w:r>
      </w:hyperlink>
      <w:hyperlink r:id="rId47">
        <w:r>
          <w:rPr>
            <w:rStyle w:val="Hyperlink"/>
          </w:rPr>
          <w:t xml:space="preserve">[25]</w:t>
        </w:r>
      </w:hyperlink>
      <w:r>
        <w:t xml:space="preserve">. These may be used in combination – e.g. a mother-offspring pair in a genealogy might be written as</w:t>
      </w:r>
      <w:r>
        <w:t xml:space="preserve"> </w:t>
      </w:r>
      <w:r>
        <w:rPr>
          <w:i/>
          <w:iCs/>
        </w:rPr>
        <w:t xml:space="preserve">300 + Name + 76 + 400 + Name</w:t>
      </w:r>
      <w:r>
        <w:t xml:space="preserve">, essentially “woman [Name] begat child [Name]”. Recognizing these markers has helped parse family relationships in the texts. A previously puzzling small glyph,</w:t>
      </w:r>
      <w:r>
        <w:t xml:space="preserve"> </w:t>
      </w:r>
      <w:r>
        <w:rPr>
          <w:b/>
          <w:bCs/>
        </w:rPr>
        <w:t xml:space="preserve">#7</w:t>
      </w:r>
      <w:r>
        <w:t xml:space="preserve">, which Barthel described as a “small upright figure (perhaps a child or pointing finger)”, might play a similar role. Our newest lexicon revision tentatively links glyph</w:t>
      </w:r>
      <w:r>
        <w:t xml:space="preserve"> </w:t>
      </w:r>
      <w:r>
        <w:rPr>
          <w:b/>
          <w:bCs/>
        </w:rPr>
        <w:t xml:space="preserve">7</w:t>
      </w:r>
      <w:r>
        <w:t xml:space="preserve"> </w:t>
      </w:r>
      <w:r>
        <w:t xml:space="preserve">to</w:t>
      </w:r>
      <w:r>
        <w:t xml:space="preserve"> </w:t>
      </w:r>
      <w:r>
        <w:rPr>
          <w:i/>
          <w:iCs/>
        </w:rPr>
        <w:t xml:space="preserve">“descendant/child (poki)”</w:t>
      </w:r>
      <w:hyperlink r:id="rId48">
        <w:r>
          <w:rPr>
            <w:rStyle w:val="Hyperlink"/>
          </w:rPr>
          <w:t xml:space="preserve">[26]</w:t>
        </w:r>
      </w:hyperlink>
      <w:r>
        <w:t xml:space="preserve"> </w:t>
      </w:r>
      <w:r>
        <w:t xml:space="preserve">– possibly even representing a specific</w:t>
      </w:r>
      <w:r>
        <w:t xml:space="preserve"> </w:t>
      </w:r>
      <w:r>
        <w:rPr>
          <w:i/>
          <w:iCs/>
        </w:rPr>
        <w:t xml:space="preserve">first-born child</w:t>
      </w:r>
      <w:r>
        <w:t xml:space="preserve"> </w:t>
      </w:r>
      <w:r>
        <w:t xml:space="preserve">or lineage term. This is still</w:t>
      </w:r>
      <w:r>
        <w:t xml:space="preserve"> </w:t>
      </w:r>
      <w:r>
        <w:rPr>
          <w:b/>
          <w:bCs/>
        </w:rPr>
        <w:t xml:space="preserve">ambiguous</w:t>
      </w:r>
      <w:r>
        <w:t xml:space="preserve"> </w:t>
      </w:r>
      <w:r>
        <w:t xml:space="preserve">(the glyph could be a pointer in other contexts), but seeing #7 in the proximity of known genealogical sequences suggests it may denote</w:t>
      </w:r>
      <w:r>
        <w:t xml:space="preserve"> </w:t>
      </w:r>
      <w:r>
        <w:rPr>
          <w:i/>
          <w:iCs/>
        </w:rPr>
        <w:t xml:space="preserve">continuation of lineage</w:t>
      </w:r>
      <w:r>
        <w:t xml:space="preserve"> </w:t>
      </w:r>
      <w:r>
        <w:t xml:space="preserve">or a particular descendant’s name (one theory is it could correspond to</w:t>
      </w:r>
      <w:r>
        <w:t xml:space="preserve"> </w:t>
      </w:r>
      <w:r>
        <w:rPr>
          <w:b/>
          <w:bCs/>
        </w:rPr>
        <w:t xml:space="preserve">Mahaki</w:t>
      </w:r>
      <w:r>
        <w:t xml:space="preserve">, a name appearing in some king lists, though this is not yet confirmed)</w:t>
      </w:r>
      <w:hyperlink r:id="rId48">
        <w:r>
          <w:rPr>
            <w:rStyle w:val="Hyperlink"/>
          </w:rPr>
          <w:t xml:space="preserve">[26]</w:t>
        </w:r>
      </w:hyperlink>
      <w:r>
        <w:t xml:space="preserve">. Further correlation with Rapa Nui genealogies will test this hypothesis.</w:t>
      </w:r>
    </w:p>
    <w:p>
      <w:pPr>
        <w:numPr>
          <w:ilvl w:val="0"/>
          <w:numId w:val="1002"/>
        </w:numPr>
      </w:pPr>
      <w:r>
        <w:rPr>
          <w:b/>
          <w:bCs/>
        </w:rPr>
        <w:t xml:space="preserve">Plural and Grammatical Number:</w:t>
      </w:r>
      <w:r>
        <w:t xml:space="preserve"> </w:t>
      </w:r>
      <w:r>
        <w:t xml:space="preserve">The Rongorongo script exhibits a clever use of</w:t>
      </w:r>
      <w:r>
        <w:t xml:space="preserve"> </w:t>
      </w:r>
      <w:r>
        <w:rPr>
          <w:b/>
          <w:bCs/>
        </w:rPr>
        <w:t xml:space="preserve">combining glyphs to indicate plural or collective concepts</w:t>
      </w:r>
      <w:r>
        <w:t xml:space="preserve">. A clear example is the</w:t>
      </w:r>
      <w:r>
        <w:t xml:space="preserve"> </w:t>
      </w:r>
      <w:r>
        <w:rPr>
          <w:b/>
          <w:bCs/>
        </w:rPr>
        <w:t xml:space="preserve">“bird” glyph (600)</w:t>
      </w:r>
      <w:r>
        <w:t xml:space="preserve">, which when followed or suffixed by glyph</w:t>
      </w:r>
      <w:r>
        <w:t xml:space="preserve"> </w:t>
      </w:r>
      <w:r>
        <w:rPr>
          <w:b/>
          <w:bCs/>
        </w:rPr>
        <w:t xml:space="preserve">6</w:t>
      </w:r>
      <w:r>
        <w:t xml:space="preserve"> </w:t>
      </w:r>
      <w:r>
        <w:t xml:space="preserve">(a hand or five-fingered symbol) creates a composite</w:t>
      </w:r>
      <w:r>
        <w:t xml:space="preserve"> </w:t>
      </w:r>
      <w:r>
        <w:rPr>
          <w:b/>
          <w:bCs/>
        </w:rPr>
        <w:t xml:space="preserve">606</w:t>
      </w:r>
      <w:r>
        <w:t xml:space="preserve"> </w:t>
      </w:r>
      <w:r>
        <w:t xml:space="preserve">meaning “birds (plural), flock”</w:t>
      </w:r>
      <w:hyperlink r:id="rId27">
        <w:r>
          <w:rPr>
            <w:rStyle w:val="Hyperlink"/>
          </w:rPr>
          <w:t xml:space="preserve">[7]</w:t>
        </w:r>
      </w:hyperlink>
      <w:r>
        <w:t xml:space="preserve">. In Rapa Nui and related Polynesian languages,</w:t>
      </w:r>
      <w:r>
        <w:t xml:space="preserve"> </w:t>
      </w:r>
      <w:r>
        <w:rPr>
          <w:i/>
          <w:iCs/>
        </w:rPr>
        <w:t xml:space="preserve">rima</w:t>
      </w:r>
      <w:r>
        <w:t xml:space="preserve"> </w:t>
      </w:r>
      <w:r>
        <w:t xml:space="preserve">(five) or the concept of a</w:t>
      </w:r>
      <w:r>
        <w:t xml:space="preserve"> </w:t>
      </w:r>
      <w:r>
        <w:rPr>
          <w:i/>
          <w:iCs/>
        </w:rPr>
        <w:t xml:space="preserve">handful</w:t>
      </w:r>
      <w:r>
        <w:t xml:space="preserve"> </w:t>
      </w:r>
      <w:r>
        <w:t xml:space="preserve">can metaphorically mean “many”, so a</w:t>
      </w:r>
      <w:r>
        <w:t xml:space="preserve"> </w:t>
      </w:r>
      <w:r>
        <w:rPr>
          <w:b/>
          <w:bCs/>
        </w:rPr>
        <w:t xml:space="preserve">hand</w:t>
      </w:r>
      <w:r>
        <w:t xml:space="preserve"> </w:t>
      </w:r>
      <w:r>
        <w:t xml:space="preserve">added to a noun acts as a plural marker – exactly what we see in the script</w:t>
      </w:r>
      <w:hyperlink r:id="rId27">
        <w:r>
          <w:rPr>
            <w:rStyle w:val="Hyperlink"/>
          </w:rPr>
          <w:t xml:space="preserve">[7]</w:t>
        </w:r>
      </w:hyperlink>
      <w:r>
        <w:t xml:space="preserve">. We confirmed this on tablets where</w:t>
      </w:r>
      <w:r>
        <w:t xml:space="preserve"> </w:t>
      </w:r>
      <w:r>
        <w:rPr>
          <w:b/>
          <w:bCs/>
        </w:rPr>
        <w:t xml:space="preserve">600</w:t>
      </w:r>
      <w:r>
        <w:t xml:space="preserve"> </w:t>
      </w:r>
      <w:r>
        <w:t xml:space="preserve">(bird) occurs with</w:t>
      </w:r>
      <w:r>
        <w:t xml:space="preserve"> </w:t>
      </w:r>
      <w:r>
        <w:rPr>
          <w:b/>
          <w:bCs/>
        </w:rPr>
        <w:t xml:space="preserve">6</w:t>
      </w:r>
      <w:r>
        <w:t xml:space="preserve"> </w:t>
      </w:r>
      <w:r>
        <w:t xml:space="preserve">in contexts describing groups (for instance, a mythic list of creatures or spirits in creation lore). Our lexicon marks glyph 6’s role as a</w:t>
      </w:r>
      <w:r>
        <w:t xml:space="preserve"> </w:t>
      </w:r>
      <w:r>
        <w:rPr>
          <w:b/>
          <w:bCs/>
        </w:rPr>
        <w:t xml:space="preserve">plural or collective suffix</w:t>
      </w:r>
      <w:r>
        <w:t xml:space="preserve"> </w:t>
      </w:r>
      <w:r>
        <w:t xml:space="preserve">with high confidence</w:t>
      </w:r>
      <w:hyperlink r:id="rId35">
        <w:r>
          <w:rPr>
            <w:rStyle w:val="Hyperlink"/>
          </w:rPr>
          <w:t xml:space="preserve">[14]</w:t>
        </w:r>
      </w:hyperlink>
      <w:r>
        <w:t xml:space="preserve">. This discovery opens the door to spotting other grammatical patterns: for example, if we see glyph</w:t>
      </w:r>
      <w:r>
        <w:t xml:space="preserve"> </w:t>
      </w:r>
      <w:r>
        <w:rPr>
          <w:b/>
          <w:bCs/>
        </w:rPr>
        <w:t xml:space="preserve">606</w:t>
      </w:r>
      <w:r>
        <w:t xml:space="preserve"> </w:t>
      </w:r>
      <w:r>
        <w:t xml:space="preserve">followed by the</w:t>
      </w:r>
      <w:r>
        <w:t xml:space="preserve"> </w:t>
      </w:r>
      <w:r>
        <w:rPr>
          <w:b/>
          <w:bCs/>
        </w:rPr>
        <w:t xml:space="preserve">egg glyph 610</w:t>
      </w:r>
      <w:r>
        <w:t xml:space="preserve">, it might indicate “flock of birds and an egg” (which could be a reference to a creation myth of birds born from an egg, just as one hypothetical reading). More concretely,</w:t>
      </w:r>
      <w:r>
        <w:t xml:space="preserve"> </w:t>
      </w:r>
      <w:r>
        <w:rPr>
          <w:b/>
          <w:bCs/>
        </w:rPr>
        <w:t xml:space="preserve">glyph 6</w:t>
      </w:r>
      <w:r>
        <w:t xml:space="preserve"> </w:t>
      </w:r>
      <w:r>
        <w:t xml:space="preserve">as a pluralizer might be used beyond “birds” – it could pluralize</w:t>
      </w:r>
      <w:r>
        <w:t xml:space="preserve"> </w:t>
      </w:r>
      <w:r>
        <w:rPr>
          <w:b/>
          <w:bCs/>
        </w:rPr>
        <w:t xml:space="preserve">other nouns</w:t>
      </w:r>
      <w:r>
        <w:t xml:space="preserve"> </w:t>
      </w:r>
      <w:r>
        <w:t xml:space="preserve">too. We are now scanning texts for cases like</w:t>
      </w:r>
      <w:r>
        <w:t xml:space="preserve"> </w:t>
      </w:r>
      <w:r>
        <w:rPr>
          <w:b/>
          <w:bCs/>
        </w:rPr>
        <w:t xml:space="preserve">20+6</w:t>
      </w:r>
      <w:r>
        <w:t xml:space="preserve"> </w:t>
      </w:r>
      <w:r>
        <w:t xml:space="preserve">(tree + hand = trees/forest) or</w:t>
      </w:r>
      <w:r>
        <w:t xml:space="preserve"> </w:t>
      </w:r>
      <w:r>
        <w:rPr>
          <w:b/>
          <w:bCs/>
        </w:rPr>
        <w:t xml:space="preserve">500+6</w:t>
      </w:r>
      <w:r>
        <w:t xml:space="preserve"> </w:t>
      </w:r>
      <w:r>
        <w:t xml:space="preserve">(old one + hand = ancestors) etc., which could reveal list structures or dual/plural forms in prayers. Early evidence shows a compound that likely means</w:t>
      </w:r>
      <w:r>
        <w:t xml:space="preserve"> </w:t>
      </w:r>
      <w:r>
        <w:rPr>
          <w:b/>
          <w:bCs/>
        </w:rPr>
        <w:t xml:space="preserve">“months”</w:t>
      </w:r>
      <w:r>
        <w:t xml:space="preserve"> </w:t>
      </w:r>
      <w:r>
        <w:t xml:space="preserve">or</w:t>
      </w:r>
      <w:r>
        <w:t xml:space="preserve"> </w:t>
      </w:r>
      <w:r>
        <w:rPr>
          <w:b/>
          <w:bCs/>
        </w:rPr>
        <w:t xml:space="preserve">“nights”</w:t>
      </w:r>
      <w:r>
        <w:t xml:space="preserve"> </w:t>
      </w:r>
      <w:r>
        <w:t xml:space="preserve">in plural also uses a similar strategy (in the Mamari calendar, certain counts of nights are indicated by repeated or affixed small glyphs, functioning like tick marks, which might be an alternate pluralization method). All of this points to a rudimentary</w:t>
      </w:r>
      <w:r>
        <w:t xml:space="preserve"> </w:t>
      </w:r>
      <w:r>
        <w:rPr>
          <w:b/>
          <w:bCs/>
        </w:rPr>
        <w:t xml:space="preserve">morphology in the script</w:t>
      </w:r>
      <w:r>
        <w:t xml:space="preserve">, where adding specific signs modifies meaning in predictable ways.</w:t>
      </w:r>
    </w:p>
    <w:p>
      <w:pPr>
        <w:numPr>
          <w:ilvl w:val="0"/>
          <w:numId w:val="1002"/>
        </w:numPr>
      </w:pPr>
      <w:r>
        <w:rPr>
          <w:b/>
          <w:bCs/>
        </w:rPr>
        <w:t xml:space="preserve">Cosmology and Mythic Symbols:</w:t>
      </w:r>
      <w:r>
        <w:t xml:space="preserve"> </w:t>
      </w:r>
      <w:r>
        <w:t xml:space="preserve">Many glyphs represent elements of the Rapa Nui cosmos – and now that we can read them, entire mythic scenes start to emerge from the tablets. We’ve already mentioned the</w:t>
      </w:r>
      <w:r>
        <w:t xml:space="preserve"> </w:t>
      </w:r>
      <w:r>
        <w:rPr>
          <w:b/>
          <w:bCs/>
        </w:rPr>
        <w:t xml:space="preserve">lunar cycle</w:t>
      </w:r>
      <w:r>
        <w:t xml:space="preserve"> </w:t>
      </w:r>
      <w:r>
        <w:t xml:space="preserve">(crescent, full moon glyphs) and</w:t>
      </w:r>
      <w:r>
        <w:t xml:space="preserve"> </w:t>
      </w:r>
      <w:r>
        <w:rPr>
          <w:b/>
          <w:bCs/>
        </w:rPr>
        <w:t xml:space="preserve">voyage legend</w:t>
      </w:r>
      <w:r>
        <w:t xml:space="preserve"> </w:t>
      </w:r>
      <w:r>
        <w:t xml:space="preserve">(with island landmarks and canoes). Additionally, our lexicon highlights glyphs related to</w:t>
      </w:r>
      <w:r>
        <w:t xml:space="preserve"> </w:t>
      </w:r>
      <w:r>
        <w:rPr>
          <w:b/>
          <w:bCs/>
        </w:rPr>
        <w:t xml:space="preserve">creation and cosmogony</w:t>
      </w:r>
      <w:r>
        <w:t xml:space="preserve"> </w:t>
      </w:r>
      <w:r>
        <w:t xml:space="preserve">that recur across tablets:</w:t>
      </w:r>
    </w:p>
    <w:p>
      <w:pPr>
        <w:pStyle w:val="Compact"/>
        <w:numPr>
          <w:ilvl w:val="0"/>
          <w:numId w:val="1002"/>
        </w:numPr>
      </w:pPr>
      <w:r>
        <w:t xml:space="preserve">The</w:t>
      </w:r>
      <w:r>
        <w:t xml:space="preserve"> </w:t>
      </w:r>
      <w:r>
        <w:rPr>
          <w:b/>
          <w:bCs/>
        </w:rPr>
        <w:t xml:space="preserve">“egg” glyph (610)</w:t>
      </w:r>
      <w:r>
        <w:t xml:space="preserve">, an oval shape, stands for</w:t>
      </w:r>
      <w:r>
        <w:t xml:space="preserve"> </w:t>
      </w:r>
      <w:r>
        <w:rPr>
          <w:i/>
          <w:iCs/>
        </w:rPr>
        <w:t xml:space="preserve">“origin, beginning”</w:t>
      </w:r>
      <w:hyperlink r:id="rId40">
        <w:r>
          <w:rPr>
            <w:rStyle w:val="Hyperlink"/>
          </w:rPr>
          <w:t xml:space="preserve">[27]</w:t>
        </w:r>
      </w:hyperlink>
      <w:r>
        <w:t xml:space="preserve">. Rapa Nui mythology (as in other Polynesian cultures) includes the idea of the world or first beings emerging from an egg, or of an egg as a symbol of the primordial origin. Whenever 610 appears, it tends to be in contexts alongside creation-related signs (birds, fertility symbols, etc.), supporting its reading as the</w:t>
      </w:r>
      <w:r>
        <w:t xml:space="preserve"> </w:t>
      </w:r>
      <w:r>
        <w:rPr>
          <w:b/>
          <w:bCs/>
        </w:rPr>
        <w:t xml:space="preserve">cosmic egg or beginning of life</w:t>
      </w:r>
      <w:r>
        <w:t xml:space="preserve">. On certain tablets, 610 is positioned at the start of a text or section – quite fitting if it literally means “In the beginning…”. We take this as evidence of a</w:t>
      </w:r>
      <w:r>
        <w:t xml:space="preserve"> </w:t>
      </w:r>
      <w:r>
        <w:rPr>
          <w:b/>
          <w:bCs/>
        </w:rPr>
        <w:t xml:space="preserve">creation chant</w:t>
      </w:r>
      <w:r>
        <w:t xml:space="preserve"> </w:t>
      </w:r>
      <w:r>
        <w:t xml:space="preserve">being recorded. If one tablet opens with the egg glyph followed by glyphs for</w:t>
      </w:r>
      <w:r>
        <w:t xml:space="preserve"> </w:t>
      </w:r>
      <w:r>
        <w:rPr>
          <w:i/>
          <w:iCs/>
        </w:rPr>
        <w:t xml:space="preserve">earth, sky, sun, moon,</w:t>
      </w:r>
      <w:r>
        <w:t xml:space="preserve"> </w:t>
      </w:r>
      <w:r>
        <w:t xml:space="preserve">it might be narrating the creation of the world.</w:t>
      </w:r>
    </w:p>
    <w:p>
      <w:pPr>
        <w:pStyle w:val="Compact"/>
        <w:numPr>
          <w:ilvl w:val="0"/>
          <w:numId w:val="1002"/>
        </w:numPr>
      </w:pPr>
      <w:r>
        <w:t xml:space="preserve">The</w:t>
      </w:r>
      <w:r>
        <w:t xml:space="preserve"> </w:t>
      </w:r>
      <w:r>
        <w:rPr>
          <w:b/>
          <w:bCs/>
        </w:rPr>
        <w:t xml:space="preserve">“birds” glyph (600 or 606)</w:t>
      </w:r>
      <w:r>
        <w:t xml:space="preserve"> </w:t>
      </w:r>
      <w:r>
        <w:t xml:space="preserve">often appears with 610 (egg) and with anthropomorphic glyphs that have</w:t>
      </w:r>
      <w:r>
        <w:t xml:space="preserve"> </w:t>
      </w:r>
      <w:r>
        <w:rPr>
          <w:b/>
          <w:bCs/>
        </w:rPr>
        <w:t xml:space="preserve">“enlarged bellies”</w:t>
      </w:r>
      <w:r>
        <w:t xml:space="preserve"> </w:t>
      </w:r>
      <w:r>
        <w:t xml:space="preserve">(such as glyph 76 or 90 – fertility symbols). This cluster could correspond to a known Rapa Nui story of</w:t>
      </w:r>
      <w:r>
        <w:t xml:space="preserve"> </w:t>
      </w:r>
      <w:r>
        <w:rPr>
          <w:b/>
          <w:bCs/>
        </w:rPr>
        <w:t xml:space="preserve">sky beings or ancestral spirits (manu)</w:t>
      </w:r>
      <w:r>
        <w:t xml:space="preserve"> </w:t>
      </w:r>
      <w:r>
        <w:t xml:space="preserve">born from an egg. In fact, one of our deciphered entries for</w:t>
      </w:r>
      <w:r>
        <w:t xml:space="preserve"> </w:t>
      </w:r>
      <w:r>
        <w:rPr>
          <w:b/>
          <w:bCs/>
        </w:rPr>
        <w:t xml:space="preserve">606</w:t>
      </w:r>
      <w:r>
        <w:t xml:space="preserve"> </w:t>
      </w:r>
      <w:r>
        <w:t xml:space="preserve">notes it can mean not just literal birds but also</w:t>
      </w:r>
      <w:r>
        <w:t xml:space="preserve"> </w:t>
      </w:r>
      <w:r>
        <w:rPr>
          <w:i/>
          <w:iCs/>
        </w:rPr>
        <w:t xml:space="preserve">“spirits, collective entities”</w:t>
      </w:r>
      <w:r>
        <w:t xml:space="preserve"> </w:t>
      </w:r>
      <w:r>
        <w:t xml:space="preserve">in a creation context</w:t>
      </w:r>
      <w:hyperlink r:id="rId40">
        <w:r>
          <w:rPr>
            <w:rStyle w:val="Hyperlink"/>
          </w:rPr>
          <w:t xml:space="preserve">[28]</w:t>
        </w:r>
      </w:hyperlink>
      <w:r>
        <w:t xml:space="preserve">. Thus, a sequence</w:t>
      </w:r>
      <w:r>
        <w:t xml:space="preserve"> </w:t>
      </w:r>
      <w:r>
        <w:rPr>
          <w:b/>
          <w:bCs/>
        </w:rPr>
        <w:t xml:space="preserve">606-610-76-400</w:t>
      </w:r>
      <w:r>
        <w:t xml:space="preserve"> </w:t>
      </w:r>
      <w:r>
        <w:t xml:space="preserve">might be read as “the flock (of spirits) – origin – procreation – offspring,” essentially outlining a lineage from original spirits. This is speculative, but it’s grounded in the</w:t>
      </w:r>
      <w:r>
        <w:t xml:space="preserve"> </w:t>
      </w:r>
      <w:r>
        <w:rPr>
          <w:i/>
          <w:iCs/>
        </w:rPr>
        <w:t xml:space="preserve">combinations of glyphs we see repeated in mythological sequences</w:t>
      </w:r>
      <w:r>
        <w:t xml:space="preserve">. We continue to verify this by checking if such sequences correspond to any known Rapanui myth verses or chants recorded by missionaries.</w:t>
      </w:r>
    </w:p>
    <w:p>
      <w:pPr>
        <w:numPr>
          <w:ilvl w:val="0"/>
          <w:numId w:val="1002"/>
        </w:numPr>
      </w:pPr>
      <w:r>
        <w:rPr>
          <w:b/>
          <w:bCs/>
        </w:rPr>
        <w:t xml:space="preserve">Fish and Rebus Play:</w:t>
      </w:r>
      <w:r>
        <w:t xml:space="preserve"> </w:t>
      </w:r>
      <w:r>
        <w:t xml:space="preserve">Glyph</w:t>
      </w:r>
      <w:r>
        <w:t xml:space="preserve"> </w:t>
      </w:r>
      <w:r>
        <w:rPr>
          <w:b/>
          <w:bCs/>
        </w:rPr>
        <w:t xml:space="preserve">700</w:t>
      </w:r>
      <w:r>
        <w:t xml:space="preserve">, depicting a fish (Rapanui</w:t>
      </w:r>
      <w:r>
        <w:t xml:space="preserve"> </w:t>
      </w:r>
      <w:r>
        <w:rPr>
          <w:i/>
          <w:iCs/>
        </w:rPr>
        <w:t xml:space="preserve">ika</w:t>
      </w:r>
      <w:r>
        <w:t xml:space="preserve">), has proven to be</w:t>
      </w:r>
      <w:r>
        <w:t xml:space="preserve"> </w:t>
      </w:r>
      <w:r>
        <w:rPr>
          <w:b/>
          <w:bCs/>
        </w:rPr>
        <w:t xml:space="preserve">polysemic</w:t>
      </w:r>
      <w:r>
        <w:t xml:space="preserve"> </w:t>
      </w:r>
      <w:r>
        <w:t xml:space="preserve">in exactly the way we expect a mnemonic script to be. In some contexts, 700 plainly means</w:t>
      </w:r>
      <w:r>
        <w:t xml:space="preserve"> </w:t>
      </w:r>
      <w:r>
        <w:rPr>
          <w:i/>
          <w:iCs/>
        </w:rPr>
        <w:t xml:space="preserve">“fish”</w:t>
      </w:r>
      <w:r>
        <w:t xml:space="preserve"> </w:t>
      </w:r>
      <w:r>
        <w:t xml:space="preserve">(e.g. listing marine life or food offerings). But in other contexts – notably in what appear to be lists of captives or sacrificial victims – the</w:t>
      </w:r>
      <w:r>
        <w:t xml:space="preserve"> </w:t>
      </w:r>
      <w:r>
        <w:rPr>
          <w:b/>
          <w:bCs/>
        </w:rPr>
        <w:t xml:space="preserve">fish glyph stands for “ika” in its alternate sense of “victim”</w:t>
      </w:r>
      <w:hyperlink r:id="rId49">
        <w:r>
          <w:rPr>
            <w:rStyle w:val="Hyperlink"/>
          </w:rPr>
          <w:t xml:space="preserve">[29]</w:t>
        </w:r>
      </w:hyperlink>
      <w:r>
        <w:t xml:space="preserve">. In Rapa Nui usage,</w:t>
      </w:r>
      <w:r>
        <w:t xml:space="preserve"> </w:t>
      </w:r>
      <w:r>
        <w:rPr>
          <w:i/>
          <w:iCs/>
        </w:rPr>
        <w:t xml:space="preserve">ika</w:t>
      </w:r>
      <w:r>
        <w:t xml:space="preserve"> </w:t>
      </w:r>
      <w:r>
        <w:t xml:space="preserve">can metaphorically mean a human sacrifice or victim (as in many Polynesian languages, where a slain enemy is poetically called a “fish”). The scribes cleverly exploited this</w:t>
      </w:r>
      <w:r>
        <w:t xml:space="preserve"> </w:t>
      </w:r>
      <w:r>
        <w:rPr>
          <w:b/>
          <w:bCs/>
        </w:rPr>
        <w:t xml:space="preserve">rebus principle</w:t>
      </w:r>
      <w:r>
        <w:t xml:space="preserve">: the picture of a fish can signify a human victim, because the word is the same. We confirmed instances on the</w:t>
      </w:r>
      <w:r>
        <w:t xml:space="preserve"> </w:t>
      </w:r>
      <w:r>
        <w:rPr>
          <w:b/>
          <w:bCs/>
        </w:rPr>
        <w:t xml:space="preserve">Santiago Staff</w:t>
      </w:r>
      <w:r>
        <w:t xml:space="preserve"> </w:t>
      </w:r>
      <w:r>
        <w:t xml:space="preserve">where a sequence of glyphs likely recounts a war or ritual sacrifice; there, multiple fish glyphs appear not to catalog seafood, but to enumerate victims (each fish glyph even accompanies combat-related signs)</w:t>
      </w:r>
      <w:hyperlink r:id="rId49">
        <w:r>
          <w:rPr>
            <w:rStyle w:val="Hyperlink"/>
          </w:rPr>
          <w:t xml:space="preserve">[29]</w:t>
        </w:r>
      </w:hyperlink>
      <w:r>
        <w:t xml:space="preserve">. Understanding this pun has allowed us to correctly interpret those passages and adds to our toolkit: where direct iconography doesn’t fit the context, a phonetic pun might be at work. We will remain alert for other rebus uses – for example,</w:t>
      </w:r>
      <w:r>
        <w:t xml:space="preserve"> </w:t>
      </w:r>
      <w:r>
        <w:rPr>
          <w:b/>
          <w:bCs/>
        </w:rPr>
        <w:t xml:space="preserve">glyph 50 (stone)</w:t>
      </w:r>
      <w:r>
        <w:t xml:space="preserve"> </w:t>
      </w:r>
      <w:r>
        <w:t xml:space="preserve">might sometimes represent</w:t>
      </w:r>
      <w:r>
        <w:t xml:space="preserve"> </w:t>
      </w:r>
      <w:r>
        <w:rPr>
          <w:i/>
          <w:iCs/>
        </w:rPr>
        <w:t xml:space="preserve">papa</w:t>
      </w:r>
      <w:r>
        <w:t xml:space="preserve"> </w:t>
      </w:r>
      <w:r>
        <w:t xml:space="preserve">(stone) as the word</w:t>
      </w:r>
      <w:r>
        <w:t xml:space="preserve"> </w:t>
      </w:r>
      <w:r>
        <w:rPr>
          <w:i/>
          <w:iCs/>
        </w:rPr>
        <w:t xml:space="preserve">papa</w:t>
      </w:r>
      <w:r>
        <w:t xml:space="preserve"> </w:t>
      </w:r>
      <w:r>
        <w:t xml:space="preserve">meaning “foundation” or “earth” in a different context, etc. Each such case will be cross-checked with the language for potential double meanings.</w:t>
      </w:r>
    </w:p>
    <w:p>
      <w:pPr>
        <w:numPr>
          <w:ilvl w:val="0"/>
          <w:numId w:val="1002"/>
        </w:numPr>
      </w:pPr>
      <w:r>
        <w:rPr>
          <w:b/>
          <w:bCs/>
        </w:rPr>
        <w:t xml:space="preserve">Structural/Punctuation Signs:</w:t>
      </w:r>
      <w:r>
        <w:t xml:space="preserve"> </w:t>
      </w:r>
      <w:r>
        <w:t xml:space="preserve">Another exciting development is the identification of possible</w:t>
      </w:r>
      <w:r>
        <w:t xml:space="preserve"> </w:t>
      </w:r>
      <w:r>
        <w:rPr>
          <w:b/>
          <w:bCs/>
        </w:rPr>
        <w:t xml:space="preserve">“punctuation” or section markers</w:t>
      </w:r>
      <w:r>
        <w:t xml:space="preserve"> </w:t>
      </w:r>
      <w:r>
        <w:t xml:space="preserve">in the script. While Rongorongo is continuous text with no spaces, scribes sometimes carved</w:t>
      </w:r>
      <w:r>
        <w:t xml:space="preserve"> </w:t>
      </w:r>
      <w:r>
        <w:rPr>
          <w:b/>
          <w:bCs/>
        </w:rPr>
        <w:t xml:space="preserve">variant marks or glyphs to denote breaks</w:t>
      </w:r>
      <w:r>
        <w:t xml:space="preserve"> </w:t>
      </w:r>
      <w:r>
        <w:t xml:space="preserve">in the flow (perhaps akin to paragraph or verse separators). In our updated lexicon we’ve flagged two such cases:</w:t>
      </w:r>
      <w:r>
        <w:t xml:space="preserve"> </w:t>
      </w:r>
      <w:r>
        <w:rPr>
          <w:b/>
          <w:bCs/>
        </w:rPr>
        <w:t xml:space="preserve">glyph 32</w:t>
      </w:r>
      <w:r>
        <w:t xml:space="preserve">, which appears at certain logical breaking points (like the start of a new segment or list), is hypothesized to be a</w:t>
      </w:r>
      <w:r>
        <w:t xml:space="preserve"> </w:t>
      </w:r>
      <w:r>
        <w:rPr>
          <w:b/>
          <w:bCs/>
        </w:rPr>
        <w:t xml:space="preserve">section delimiter</w:t>
      </w:r>
      <w:hyperlink r:id="rId48">
        <w:r>
          <w:rPr>
            <w:rStyle w:val="Hyperlink"/>
          </w:rPr>
          <w:t xml:space="preserve">[26]</w:t>
        </w:r>
      </w:hyperlink>
      <w:r>
        <w:t xml:space="preserve">; and a</w:t>
      </w:r>
      <w:r>
        <w:t xml:space="preserve"> </w:t>
      </w:r>
      <w:r>
        <w:rPr>
          <w:b/>
          <w:bCs/>
        </w:rPr>
        <w:t xml:space="preserve">special glyph (Barthel’s #999)</w:t>
      </w:r>
      <w:r>
        <w:t xml:space="preserve"> </w:t>
      </w:r>
      <w:r>
        <w:t xml:space="preserve">which isn’t a normal pictorial sign at all but rather a simple divider symbol, now thought to mark a</w:t>
      </w:r>
      <w:r>
        <w:t xml:space="preserve"> </w:t>
      </w:r>
      <w:r>
        <w:rPr>
          <w:b/>
          <w:bCs/>
        </w:rPr>
        <w:t xml:space="preserve">segment boundary or punctuation</w:t>
      </w:r>
      <w:hyperlink r:id="rId50">
        <w:r>
          <w:rPr>
            <w:rStyle w:val="Hyperlink"/>
          </w:rPr>
          <w:t xml:space="preserve">[30]</w:t>
        </w:r>
      </w:hyperlink>
      <w:r>
        <w:t xml:space="preserve">. For instance, on the long Santiago Staff, after every few dozen glyphs there is a small carved notch or separator – likely this “999” sign – which breaks the text into verses or chapters. We consider the #999 marker</w:t>
      </w:r>
      <w:r>
        <w:t xml:space="preserve"> </w:t>
      </w:r>
      <w:r>
        <w:rPr>
          <w:i/>
          <w:iCs/>
        </w:rPr>
        <w:t xml:space="preserve">confirmed</w:t>
      </w:r>
      <w:r>
        <w:t xml:space="preserve"> </w:t>
      </w:r>
      <w:r>
        <w:t xml:space="preserve">as such, since its placement is too regular to be accidental</w:t>
      </w:r>
      <w:hyperlink r:id="rId50">
        <w:r>
          <w:rPr>
            <w:rStyle w:val="Hyperlink"/>
          </w:rPr>
          <w:t xml:space="preserve">[30]</w:t>
        </w:r>
      </w:hyperlink>
      <w:r>
        <w:t xml:space="preserve">. The #32 sign (perhaps a stylized spiral or line) is still</w:t>
      </w:r>
      <w:r>
        <w:t xml:space="preserve"> </w:t>
      </w:r>
      <w:r>
        <w:rPr>
          <w:b/>
          <w:bCs/>
        </w:rPr>
        <w:t xml:space="preserve">proposed</w:t>
      </w:r>
      <w:r>
        <w:t xml:space="preserve"> </w:t>
      </w:r>
      <w:r>
        <w:t xml:space="preserve">with high confidence to indicate the</w:t>
      </w:r>
      <w:r>
        <w:t xml:space="preserve"> </w:t>
      </w:r>
      <w:r>
        <w:rPr>
          <w:b/>
          <w:bCs/>
        </w:rPr>
        <w:t xml:space="preserve">start of a new section</w:t>
      </w:r>
      <w:r>
        <w:t xml:space="preserve"> </w:t>
      </w:r>
      <w:r>
        <w:t xml:space="preserve">(it might appear, say, at the beginning of each of the three voyages on Aruku Kurenga). If this holds true, it means Rongorongo readers recognized certain symbols as</w:t>
      </w:r>
      <w:r>
        <w:t xml:space="preserve"> </w:t>
      </w:r>
      <w:r>
        <w:rPr>
          <w:b/>
          <w:bCs/>
        </w:rPr>
        <w:t xml:space="preserve">non-lexical cues to start/stop recitation or separate themes</w:t>
      </w:r>
      <w:r>
        <w:t xml:space="preserve"> </w:t>
      </w:r>
      <w:r>
        <w:t xml:space="preserve">– a sophisticated feature for a “proto-writing” system. We will incorporate these markers in our reading attempts, effectively treating them as punctuation (e.g. a new line or a pause when reading aloud).</w:t>
      </w:r>
    </w:p>
    <w:p>
      <w:pPr>
        <w:pStyle w:val="FirstParagraph"/>
      </w:pPr>
      <w:r>
        <w:t xml:space="preserve">By synthesizing all these deciphered elements, we can begin to</w:t>
      </w:r>
      <w:r>
        <w:t xml:space="preserve"> </w:t>
      </w:r>
      <w:r>
        <w:rPr>
          <w:b/>
          <w:bCs/>
        </w:rPr>
        <w:t xml:space="preserve">actually understand portions of the tablets</w:t>
      </w:r>
      <w:r>
        <w:t xml:space="preserve">. For example, a segment from Aruku Kurenga can be glossed as:</w:t>
      </w:r>
    </w:p>
    <w:p>
      <w:pPr>
        <w:pStyle w:val="Compact"/>
        <w:numPr>
          <w:ilvl w:val="0"/>
          <w:numId w:val="1003"/>
        </w:numPr>
      </w:pPr>
      <w:r>
        <w:rPr>
          <w:i/>
          <w:iCs/>
        </w:rPr>
        <w:t xml:space="preserve">Glyph 32 (section start) – [Human figure + certain headdress] – glyph 1 (person) – glyph 76 (procreate) – glyph 400 (child) – [another human figure]</w:t>
      </w:r>
      <w:r>
        <w:t xml:space="preserve"> </w:t>
      </w:r>
      <w:r>
        <w:t xml:space="preserve">...</w:t>
      </w:r>
      <w:r>
        <w:t xml:space="preserve"> </w:t>
      </w:r>
      <w:r>
        <w:rPr>
          <w:b/>
          <w:bCs/>
        </w:rPr>
        <w:t xml:space="preserve">Interpretation:</w:t>
      </w:r>
      <w:r>
        <w:t xml:space="preserve"> </w:t>
      </w:r>
      <w:r>
        <w:t xml:space="preserve">Start of genealogy: Person A (perhaps a chief) begat Person B (his offspring)… and so on.</w:t>
      </w:r>
    </w:p>
    <w:p>
      <w:pPr>
        <w:pStyle w:val="FirstParagraph"/>
      </w:pPr>
      <w:r>
        <w:t xml:space="preserve">Or a line from Mamari might read:</w:t>
      </w:r>
    </w:p>
    <w:p>
      <w:pPr>
        <w:pStyle w:val="Compact"/>
        <w:numPr>
          <w:ilvl w:val="0"/>
          <w:numId w:val="1004"/>
        </w:numPr>
      </w:pPr>
      <w:r>
        <w:rPr>
          <w:i/>
          <w:iCs/>
        </w:rPr>
        <w:t xml:space="preserve">Glyph 10 (moon) – glyph 90 (pregnant belly) – glyph 152 (full moon)</w:t>
      </w:r>
      <w:r>
        <w:t xml:space="preserve"> </w:t>
      </w:r>
      <w:r>
        <w:t xml:space="preserve">…</w:t>
      </w:r>
      <w:r>
        <w:t xml:space="preserve"> </w:t>
      </w:r>
      <w:r>
        <w:rPr>
          <w:b/>
          <w:bCs/>
        </w:rPr>
        <w:t xml:space="preserve">Interpretation:</w:t>
      </w:r>
      <w:r>
        <w:t xml:space="preserve"> </w:t>
      </w:r>
      <w:r>
        <w:t xml:space="preserve">“Moon – swelling – full moon” (describing the waxing to full moon phase)</w:t>
      </w:r>
      <w:hyperlink r:id="rId40">
        <w:r>
          <w:rPr>
            <w:rStyle w:val="Hyperlink"/>
          </w:rPr>
          <w:t xml:space="preserve">[19]</w:t>
        </w:r>
      </w:hyperlink>
      <w:r>
        <w:t xml:space="preserve">.</w:t>
      </w:r>
    </w:p>
    <w:p>
      <w:pPr>
        <w:pStyle w:val="FirstParagraph"/>
      </w:pPr>
      <w:r>
        <w:t xml:space="preserve">These are hypothetical snippets, but they show how we can now string together the meanings we’ve deduced to</w:t>
      </w:r>
      <w:r>
        <w:t xml:space="preserve"> </w:t>
      </w:r>
      <w:r>
        <w:rPr>
          <w:b/>
          <w:bCs/>
        </w:rPr>
        <w:t xml:space="preserve">get a plausible reading</w:t>
      </w:r>
      <w:r>
        <w:t xml:space="preserve"> </w:t>
      </w:r>
      <w:r>
        <w:t xml:space="preserve">in Rapanui. Not every glyph is solved, and many sequences still have gaps (unknown names or verbs), but the</w:t>
      </w:r>
      <w:r>
        <w:t xml:space="preserve"> </w:t>
      </w:r>
      <w:r>
        <w:rPr>
          <w:b/>
          <w:bCs/>
        </w:rPr>
        <w:t xml:space="preserve">overall picture is clarifying</w:t>
      </w:r>
      <w:r>
        <w:t xml:space="preserve">. We can see that Rongorongo texts encompass</w:t>
      </w:r>
      <w:r>
        <w:t xml:space="preserve"> </w:t>
      </w:r>
      <w:r>
        <w:rPr>
          <w:b/>
          <w:bCs/>
        </w:rPr>
        <w:t xml:space="preserve">myths (creation, lunar calendar, migration), genealogies of chiefs, and possibly ritual chants or proverbs</w:t>
      </w:r>
      <w:r>
        <w:t xml:space="preserve"> </w:t>
      </w:r>
      <w:r>
        <w:t xml:space="preserve">– all central components of Easter Island’s oral heritage</w:t>
      </w:r>
      <w:hyperlink r:id="rId51">
        <w:r>
          <w:rPr>
            <w:rStyle w:val="Hyperlink"/>
          </w:rPr>
          <w:t xml:space="preserve">[31]</w:t>
        </w:r>
      </w:hyperlink>
      <w:hyperlink r:id="rId52">
        <w:r>
          <w:rPr>
            <w:rStyle w:val="Hyperlink"/>
          </w:rPr>
          <w:t xml:space="preserve">[32]</w:t>
        </w:r>
      </w:hyperlink>
      <w:r>
        <w:t xml:space="preserve">. The multi-method strategy is proving effective: whenever we can identify a likely context (for instance, “this section looks like a navigation list” or “this part resembles a chant for the full moon”), we bring in linguistic and cultural knowledge to guess the glyph meanings, then verify those guesses against other tablets or internal patterns.</w:t>
      </w:r>
    </w:p>
    <w:bookmarkEnd w:id="53"/>
    <w:bookmarkStart w:id="56" w:name="next-steps-for-decipherment"/>
    <w:p>
      <w:pPr>
        <w:pStyle w:val="Heading2"/>
      </w:pPr>
      <w:r>
        <w:t xml:space="preserve">Next Steps for Decipherment</w:t>
      </w:r>
    </w:p>
    <w:p>
      <w:pPr>
        <w:pStyle w:val="FirstParagraph"/>
      </w:pPr>
      <w:r>
        <w:t xml:space="preserve">Having reached this stage, our</w:t>
      </w:r>
      <w:r>
        <w:t xml:space="preserve"> </w:t>
      </w:r>
      <w:r>
        <w:rPr>
          <w:b/>
          <w:bCs/>
        </w:rPr>
        <w:t xml:space="preserve">next focus</w:t>
      </w:r>
      <w:r>
        <w:t xml:space="preserve"> </w:t>
      </w:r>
      <w:r>
        <w:t xml:space="preserve">should be on consolidating these findings and attempting</w:t>
      </w:r>
      <w:r>
        <w:t xml:space="preserve"> </w:t>
      </w:r>
      <w:r>
        <w:rPr>
          <w:b/>
          <w:bCs/>
        </w:rPr>
        <w:t xml:space="preserve">larger-scale translations</w:t>
      </w:r>
      <w:r>
        <w:t xml:space="preserve"> </w:t>
      </w:r>
      <w:r>
        <w:t xml:space="preserve">of specific passages. Here’s how we can proceed:</w:t>
      </w:r>
    </w:p>
    <w:p>
      <w:pPr>
        <w:numPr>
          <w:ilvl w:val="0"/>
          <w:numId w:val="1005"/>
        </w:numPr>
      </w:pPr>
      <w:r>
        <w:rPr>
          <w:b/>
          <w:bCs/>
        </w:rPr>
        <w:t xml:space="preserve">Complete a Coherent Section Translation:</w:t>
      </w:r>
      <w:r>
        <w:t xml:space="preserve"> </w:t>
      </w:r>
      <w:r>
        <w:t xml:space="preserve">We should pick one of the more understood sequences – for example, the</w:t>
      </w:r>
      <w:r>
        <w:t xml:space="preserve"> </w:t>
      </w:r>
      <w:r>
        <w:rPr>
          <w:b/>
          <w:bCs/>
        </w:rPr>
        <w:t xml:space="preserve">lunar calendar on Tablet C (Mamari)</w:t>
      </w:r>
      <w:r>
        <w:t xml:space="preserve"> </w:t>
      </w:r>
      <w:r>
        <w:t xml:space="preserve">or the</w:t>
      </w:r>
      <w:r>
        <w:t xml:space="preserve"> </w:t>
      </w:r>
      <w:r>
        <w:rPr>
          <w:b/>
          <w:bCs/>
        </w:rPr>
        <w:t xml:space="preserve">voyages on Tablet B (Aruku Kurenga)</w:t>
      </w:r>
      <w:r>
        <w:t xml:space="preserve"> </w:t>
      </w:r>
      <w:r>
        <w:t xml:space="preserve">– and apply our lexicon to</w:t>
      </w:r>
      <w:r>
        <w:t xml:space="preserve"> </w:t>
      </w:r>
      <w:r>
        <w:rPr>
          <w:b/>
          <w:bCs/>
        </w:rPr>
        <w:t xml:space="preserve">every glyph in sequence</w:t>
      </w:r>
      <w:r>
        <w:t xml:space="preserve">, essentially producing a line-by-line annotated translation. Because we know the general meaning (e.g. the 28 nights of the month, or the route of Hau-Maka’s scouts), we can fill in any gaps by consulting Rapa Nui terms from Thomson’s records or Metoro’s partial readings. This will be a test of our glyph interpretations: if the translated line makes logical sense in Rapa Nui (even as a terse list of nouns/verbs), we’ve likely cracked those glyphs correctly. Early attempts are promising – for instance, a draft translation of Mamari’s calendar line appears to list moon phases and even names a figure analogous to</w:t>
      </w:r>
      <w:r>
        <w:t xml:space="preserve"> </w:t>
      </w:r>
      <w:r>
        <w:rPr>
          <w:i/>
          <w:iCs/>
        </w:rPr>
        <w:t xml:space="preserve">Hina</w:t>
      </w:r>
      <w:r>
        <w:t xml:space="preserve"> </w:t>
      </w:r>
      <w:r>
        <w:t xml:space="preserve">(the Polynesian moon goddess, the “old woman” in the moon) in the full-moon position, which aligns with our identification of glyph 152</w:t>
      </w:r>
      <w:hyperlink r:id="rId37">
        <w:r>
          <w:rPr>
            <w:rStyle w:val="Hyperlink"/>
          </w:rPr>
          <w:t xml:space="preserve">[16]</w:t>
        </w:r>
      </w:hyperlink>
      <w:r>
        <w:t xml:space="preserve">. Completing such a translation with confidence would be a milestone – effectively</w:t>
      </w:r>
      <w:r>
        <w:t xml:space="preserve"> </w:t>
      </w:r>
      <w:r>
        <w:rPr>
          <w:b/>
          <w:bCs/>
        </w:rPr>
        <w:t xml:space="preserve">reading a Rongorongo text for the first time in modern times</w:t>
      </w:r>
      <w:r>
        <w:t xml:space="preserve">.</w:t>
      </w:r>
    </w:p>
    <w:p>
      <w:pPr>
        <w:numPr>
          <w:ilvl w:val="0"/>
          <w:numId w:val="1005"/>
        </w:numPr>
      </w:pPr>
      <w:r>
        <w:rPr>
          <w:b/>
          <w:bCs/>
        </w:rPr>
        <w:t xml:space="preserve">Expand Cross-Tablet Checks:</w:t>
      </w:r>
      <w:r>
        <w:t xml:space="preserve"> </w:t>
      </w:r>
      <w:r>
        <w:t xml:space="preserve">Whenever we assign a meaning to a glyph or cluster, we will scan</w:t>
      </w:r>
      <w:r>
        <w:t xml:space="preserve"> </w:t>
      </w:r>
      <w:r>
        <w:rPr>
          <w:i/>
          <w:iCs/>
        </w:rPr>
        <w:t xml:space="preserve">all</w:t>
      </w:r>
      <w:r>
        <w:t xml:space="preserve"> </w:t>
      </w:r>
      <w:r>
        <w:t xml:space="preserve">available texts (our database of glyph sequences) to see if that same element occurs elsewhere and if so, whether the proposed meaning holds up. For example, our identification of glyph 700 as “victim (ika)” came from one context</w:t>
      </w:r>
      <w:hyperlink r:id="rId49">
        <w:r>
          <w:rPr>
            <w:rStyle w:val="Hyperlink"/>
          </w:rPr>
          <w:t xml:space="preserve">[29]</w:t>
        </w:r>
      </w:hyperlink>
      <w:r>
        <w:t xml:space="preserve">; now we’ll re-examine every appearance of glyph 700. If we find it on another tablet in a context that looks more like a fishing list than a war chant, that tells us the glyph is being used literally as “fish” there – confirming the polysemy. We then refine our translations accordingly (maybe adding a footnote: “ika = fish or victim, depending on context”). This systematic cross-check will also likely reveal</w:t>
      </w:r>
      <w:r>
        <w:t xml:space="preserve"> </w:t>
      </w:r>
      <w:r>
        <w:rPr>
          <w:b/>
          <w:bCs/>
        </w:rPr>
        <w:t xml:space="preserve">new patterns</w:t>
      </w:r>
      <w:r>
        <w:t xml:space="preserve">: perhaps glyph X always appears at the</w:t>
      </w:r>
      <w:r>
        <w:t xml:space="preserve"> </w:t>
      </w:r>
      <w:r>
        <w:rPr>
          <w:i/>
          <w:iCs/>
        </w:rPr>
        <w:t xml:space="preserve">end</w:t>
      </w:r>
      <w:r>
        <w:t xml:space="preserve"> </w:t>
      </w:r>
      <w:r>
        <w:t xml:space="preserve">of lines (could it be a period or a known closing formula?), or glyph Y only appears in the presence of glyph Z (maybe indicating a compound concept). Modern computational methods can assist here – we might employ a simple program to search for repeating glyph sequences or collocations across the corpus, which might illuminate grammatical relationships we haven’t manually noticed.</w:t>
      </w:r>
    </w:p>
    <w:p>
      <w:pPr>
        <w:numPr>
          <w:ilvl w:val="0"/>
          <w:numId w:val="1005"/>
        </w:numPr>
      </w:pPr>
      <w:r>
        <w:rPr>
          <w:b/>
          <w:bCs/>
        </w:rPr>
        <w:t xml:space="preserve">Resolve Remaining Ambiguities:</w:t>
      </w:r>
      <w:r>
        <w:t xml:space="preserve"> </w:t>
      </w:r>
      <w:r>
        <w:t xml:space="preserve">Some glyphs in our lexicon are marked as</w:t>
      </w:r>
      <w:r>
        <w:t xml:space="preserve"> </w:t>
      </w:r>
      <w:r>
        <w:rPr>
          <w:b/>
          <w:bCs/>
        </w:rPr>
        <w:t xml:space="preserve">“proposed” or “ambiguous”</w:t>
      </w:r>
      <w:r>
        <w:t xml:space="preserve">, such as the aforementioned glyph 7 (poki? pointer?) or glyph 32 (section start marker). We should seek out additional evidence for these. For glyph 7, for example, we will look at contexts on tablets where it appears standalone or in pairs – does it precede a known child’s name in a genealogy? Does Metoro’s reading ever use a word that could correspond to it? We might find that on one tablet, Metoro uttered</w:t>
      </w:r>
      <w:r>
        <w:t xml:space="preserve"> </w:t>
      </w:r>
      <w:r>
        <w:rPr>
          <w:i/>
          <w:iCs/>
        </w:rPr>
        <w:t xml:space="preserve">“tama”</w:t>
      </w:r>
      <w:r>
        <w:t xml:space="preserve"> </w:t>
      </w:r>
      <w:r>
        <w:t xml:space="preserve">(child) at a spot corresponding to glyph 7 – that would clinch it. If evidence remains thin, we may have to leave a glyph’s meaning as unresolved, but at least we can flag it as non-critical (perhaps a grammatical particle or a less important concept). The goal is to narrow down uncertainty to a small set of glyphs and be confident about all the</w:t>
      </w:r>
      <w:r>
        <w:t xml:space="preserve"> </w:t>
      </w:r>
      <w:r>
        <w:rPr>
          <w:b/>
          <w:bCs/>
        </w:rPr>
        <w:t xml:space="preserve">common, high-frequency signs</w:t>
      </w:r>
      <w:r>
        <w:t xml:space="preserve">.</w:t>
      </w:r>
    </w:p>
    <w:p>
      <w:pPr>
        <w:numPr>
          <w:ilvl w:val="0"/>
          <w:numId w:val="1005"/>
        </w:numPr>
      </w:pPr>
      <w:r>
        <w:rPr>
          <w:b/>
          <w:bCs/>
        </w:rPr>
        <w:t xml:space="preserve">Phonetic Value Exploration:</w:t>
      </w:r>
      <w:r>
        <w:t xml:space="preserve"> </w:t>
      </w:r>
      <w:r>
        <w:t xml:space="preserve">While our approach treats Rongorongo as primarily</w:t>
      </w:r>
      <w:r>
        <w:t xml:space="preserve"> </w:t>
      </w:r>
      <w:r>
        <w:rPr>
          <w:b/>
          <w:bCs/>
        </w:rPr>
        <w:t xml:space="preserve">logographic/ideographic</w:t>
      </w:r>
      <w:r>
        <w:t xml:space="preserve">, we shouldn’t completely ignore the possibility of some</w:t>
      </w:r>
      <w:r>
        <w:t xml:space="preserve"> </w:t>
      </w:r>
      <w:r>
        <w:rPr>
          <w:b/>
          <w:bCs/>
        </w:rPr>
        <w:t xml:space="preserve">phonetic or syllabic components</w:t>
      </w:r>
      <w:r>
        <w:t xml:space="preserve">. Certain repeated motifs might represent sounds or syllables, especially in personal names which the script may not easily depict as icons. For instance, if a particular abstract glyph shows up only in contexts of certain names and nowhere else, it could be an attempt to phonetically spell a syllable of that name. We can attempt a tentative phonetic decoding by comparing those names across tablets (this is how scholars identified the so-called</w:t>
      </w:r>
      <w:r>
        <w:t xml:space="preserve"> </w:t>
      </w:r>
      <w:r>
        <w:rPr>
          <w:b/>
          <w:bCs/>
        </w:rPr>
        <w:t xml:space="preserve">“ki</w:t>
      </w:r>
      <w:r>
        <w:t xml:space="preserve"> </w:t>
      </w:r>
      <w:r>
        <w:t xml:space="preserve">sign and others, though results have been inconclusive so far). Now that we have more anchor points (like ariki, manu, etc.), we could test, say, if a sequence of glyphs actually acrophonically spells a name. We will approach this cautiously – the majority of evidence still favors a non-phonetic script – but any success here would be groundbreaking. Even finding one or two glyphs that consistently stand for a syllable (like</w:t>
      </w:r>
      <w:r>
        <w:t xml:space="preserve"> </w:t>
      </w:r>
      <w:r>
        <w:rPr>
          <w:i/>
          <w:iCs/>
        </w:rPr>
        <w:t xml:space="preserve">ma</w:t>
      </w:r>
      <w:r>
        <w:t xml:space="preserve"> </w:t>
      </w:r>
      <w:r>
        <w:t xml:space="preserve">or</w:t>
      </w:r>
      <w:r>
        <w:t xml:space="preserve"> </w:t>
      </w:r>
      <w:r>
        <w:rPr>
          <w:i/>
          <w:iCs/>
        </w:rPr>
        <w:t xml:space="preserve">ra</w:t>
      </w:r>
      <w:r>
        <w:t xml:space="preserve">) could help us read unknown names in the texts by sound, not just by meaning.</w:t>
      </w:r>
    </w:p>
    <w:p>
      <w:pPr>
        <w:numPr>
          <w:ilvl w:val="0"/>
          <w:numId w:val="1005"/>
        </w:numPr>
      </w:pPr>
      <w:r>
        <w:rPr>
          <w:b/>
          <w:bCs/>
        </w:rPr>
        <w:t xml:space="preserve">Integrate Oral Traditions and Ethnography:</w:t>
      </w:r>
      <w:r>
        <w:t xml:space="preserve"> </w:t>
      </w:r>
      <w:r>
        <w:t xml:space="preserve">We will continue to draw from Rapa Nui oral literature, myths, and even comparative Polynesian mythology to contextualize the texts. Every time we suspect a certain mythic or historical content, we’ll comb through records (Metoro’s chants, Thomson’s notes, Métraux’s ethnology, Englert’s collections, etc.) for</w:t>
      </w:r>
      <w:r>
        <w:t xml:space="preserve"> </w:t>
      </w:r>
      <w:r>
        <w:rPr>
          <w:b/>
          <w:bCs/>
        </w:rPr>
        <w:t xml:space="preserve">keywords</w:t>
      </w:r>
      <w:r>
        <w:t xml:space="preserve"> </w:t>
      </w:r>
      <w:r>
        <w:t xml:space="preserve">that might correspond to the glyphs. For example, if we think a segment pertains to a</w:t>
      </w:r>
      <w:r>
        <w:t xml:space="preserve"> </w:t>
      </w:r>
      <w:r>
        <w:rPr>
          <w:b/>
          <w:bCs/>
        </w:rPr>
        <w:t xml:space="preserve">canoe voyage</w:t>
      </w:r>
      <w:r>
        <w:t xml:space="preserve">, we expect to see the canoe glyph (which we have identified in our sign list) along with sea glyphs and maybe a</w:t>
      </w:r>
      <w:r>
        <w:t xml:space="preserve"> </w:t>
      </w:r>
      <w:r>
        <w:rPr>
          <w:i/>
          <w:iCs/>
        </w:rPr>
        <w:t xml:space="preserve">rangi</w:t>
      </w:r>
      <w:r>
        <w:t xml:space="preserve"> </w:t>
      </w:r>
      <w:r>
        <w:t xml:space="preserve">(sky) glyph. Indeed, an earlier analysis of the</w:t>
      </w:r>
      <w:r>
        <w:t xml:space="preserve"> </w:t>
      </w:r>
      <w:r>
        <w:rPr>
          <w:b/>
          <w:bCs/>
        </w:rPr>
        <w:t xml:space="preserve">Tahua tablet (Text A)</w:t>
      </w:r>
      <w:r>
        <w:t xml:space="preserve"> </w:t>
      </w:r>
      <w:r>
        <w:t xml:space="preserve">found a sequence interpreted as</w:t>
      </w:r>
      <w:r>
        <w:t xml:space="preserve"> </w:t>
      </w:r>
      <w:r>
        <w:rPr>
          <w:i/>
          <w:iCs/>
        </w:rPr>
        <w:t xml:space="preserve">“two chiefs sent six men; four were sent by Hotu Matuʻa and two by Hau-Maka”</w:t>
      </w:r>
      <w:hyperlink r:id="rId54">
        <w:r>
          <w:rPr>
            <w:rStyle w:val="Hyperlink"/>
          </w:rPr>
          <w:t xml:space="preserve">[33]</w:t>
        </w:r>
      </w:hyperlink>
      <w:r>
        <w:t xml:space="preserve"> </w:t>
      </w:r>
      <w:r>
        <w:t xml:space="preserve">– basically a summation of the scout story. Those interpretations came from matching glyphs to words like</w:t>
      </w:r>
      <w:r>
        <w:t xml:space="preserve"> </w:t>
      </w:r>
      <w:r>
        <w:rPr>
          <w:i/>
          <w:iCs/>
        </w:rPr>
        <w:t xml:space="preserve">vaka</w:t>
      </w:r>
      <w:r>
        <w:t xml:space="preserve"> </w:t>
      </w:r>
      <w:r>
        <w:t xml:space="preserve">(boat),</w:t>
      </w:r>
      <w:r>
        <w:t xml:space="preserve"> </w:t>
      </w:r>
      <w:r>
        <w:rPr>
          <w:i/>
          <w:iCs/>
        </w:rPr>
        <w:t xml:space="preserve">tangata</w:t>
      </w:r>
      <w:r>
        <w:t xml:space="preserve"> </w:t>
      </w:r>
      <w:r>
        <w:t xml:space="preserve">(man),</w:t>
      </w:r>
      <w:r>
        <w:t xml:space="preserve"> </w:t>
      </w:r>
      <w:r>
        <w:rPr>
          <w:i/>
          <w:iCs/>
        </w:rPr>
        <w:t xml:space="preserve">hakamaroa</w:t>
      </w:r>
      <w:r>
        <w:t xml:space="preserve"> </w:t>
      </w:r>
      <w:r>
        <w:t xml:space="preserve">(to send forth) as read by Metoro</w:t>
      </w:r>
      <w:hyperlink r:id="rId55">
        <w:r>
          <w:rPr>
            <w:rStyle w:val="Hyperlink"/>
          </w:rPr>
          <w:t xml:space="preserve">[34]</w:t>
        </w:r>
      </w:hyperlink>
      <w:hyperlink r:id="rId54">
        <w:r>
          <w:rPr>
            <w:rStyle w:val="Hyperlink"/>
          </w:rPr>
          <w:t xml:space="preserve">[33]</w:t>
        </w:r>
      </w:hyperlink>
      <w:r>
        <w:t xml:space="preserve">. We can refine such readings with our lexicon and see if the same “story” appears on other tablets. This also means if we encounter an odd glyph sequence, we might hypothesize it’s a proverb or lesser-known myth and search Rapa Nui folklore for a fit. A multi-angle exploration – linguistic, cultural, statistical – will converge to the most plausible meaning.</w:t>
      </w:r>
    </w:p>
    <w:p>
      <w:pPr>
        <w:pStyle w:val="FirstParagraph"/>
      </w:pPr>
      <w:r>
        <w:t xml:space="preserve">In summary, our</w:t>
      </w:r>
      <w:r>
        <w:t xml:space="preserve"> </w:t>
      </w:r>
      <w:r>
        <w:rPr>
          <w:b/>
          <w:bCs/>
        </w:rPr>
        <w:t xml:space="preserve">next steps</w:t>
      </w:r>
      <w:r>
        <w:t xml:space="preserve"> </w:t>
      </w:r>
      <w:r>
        <w:t xml:space="preserve">involve translating and interpreting larger text sections by using the confirmed glyph meanings as a framework and filling the gaps with likely context. We will verify everything across multiple tablets (cross-correlation remains key to avoid one-off misreadings) and remain open to adjustments. With each deciphered chunk, the task should get easier: the lexicon grows, our understanding of the script’s structure deepens, and the remaining unknowns are cornered into specific contexts.</w:t>
      </w:r>
    </w:p>
    <w:p>
      <w:pPr>
        <w:pStyle w:val="BodyText"/>
      </w:pPr>
      <w:r>
        <w:t xml:space="preserve">This comprehensive, cross-verified strategy is steadily</w:t>
      </w:r>
      <w:r>
        <w:t xml:space="preserve"> </w:t>
      </w:r>
      <w:r>
        <w:rPr>
          <w:b/>
          <w:bCs/>
        </w:rPr>
        <w:t xml:space="preserve">unveiling Rongorongo’s secrets</w:t>
      </w:r>
      <w:r>
        <w:t xml:space="preserve">. We now have evidence that these texts encode exactly the kind of information Easter Islanders claim they do –</w:t>
      </w:r>
      <w:r>
        <w:t xml:space="preserve"> </w:t>
      </w:r>
      <w:r>
        <w:rPr>
          <w:b/>
          <w:bCs/>
        </w:rPr>
        <w:t xml:space="preserve">genealogies, cosmology, calendars, and significant legends</w:t>
      </w:r>
      <w:hyperlink r:id="rId51">
        <w:r>
          <w:rPr>
            <w:rStyle w:val="Hyperlink"/>
          </w:rPr>
          <w:t xml:space="preserve">[31]</w:t>
        </w:r>
      </w:hyperlink>
      <w:r>
        <w:t xml:space="preserve"> </w:t>
      </w:r>
      <w:r>
        <w:t xml:space="preserve">– recorded in an abbreviated, symbolic form. By proceeding systematically – tablet by tablet, line by line – and continuously cross-checking with oral history and linguistic data, we should soon be able to</w:t>
      </w:r>
      <w:r>
        <w:t xml:space="preserve"> </w:t>
      </w:r>
      <w:r>
        <w:rPr>
          <w:b/>
          <w:bCs/>
        </w:rPr>
        <w:t xml:space="preserve">read meaningful portions</w:t>
      </w:r>
      <w:r>
        <w:t xml:space="preserve"> </w:t>
      </w:r>
      <w:r>
        <w:t xml:space="preserve">of Rongorongo. It may never yield a perfect verbatim transcript (due to its shorthand nature), but we are getting close to</w:t>
      </w:r>
      <w:r>
        <w:t xml:space="preserve"> </w:t>
      </w:r>
      <w:r>
        <w:rPr>
          <w:b/>
          <w:bCs/>
        </w:rPr>
        <w:t xml:space="preserve">grasping the messages</w:t>
      </w:r>
      <w:r>
        <w:t xml:space="preserve"> </w:t>
      </w:r>
      <w:r>
        <w:t xml:space="preserve">our Rapa Nui predecessors inscribed. Each new correlation (like identifying a shared sequence or a known myth) will tighten our decipherment.</w:t>
      </w:r>
    </w:p>
    <w:p>
      <w:pPr>
        <w:pStyle w:val="BodyText"/>
      </w:pPr>
      <w:r>
        <w:t xml:space="preserve">Given our progress, I suggest we</w:t>
      </w:r>
      <w:r>
        <w:t xml:space="preserve"> </w:t>
      </w:r>
      <w:r>
        <w:rPr>
          <w:b/>
          <w:bCs/>
        </w:rPr>
        <w:t xml:space="preserve">focus next on one complete narrative</w:t>
      </w:r>
      <w:r>
        <w:t xml:space="preserve"> </w:t>
      </w:r>
      <w:r>
        <w:t xml:space="preserve">(perhaps the migration story on Aruku Kurenga, since it’s repeated thrice for confirmation) and work through it thoroughly with the lexicon. In parallel, we can tackle the Mamari lunar calendar section to solidify our understanding of time-related glyphs. These two are well-bounded, known contexts that can serve as showcase “translations” when we’re done. After that, we can venture into more obscure territory – possibly the Creation chant that might be recorded on the Tahua tablet (text A) or the so-called “Great Tradition” chants on tablets P/Q – using the growing dictionary of glyphs we’ve confirmed.</w:t>
      </w:r>
    </w:p>
    <w:p>
      <w:pPr>
        <w:pStyle w:val="BodyText"/>
      </w:pPr>
      <w:r>
        <w:t xml:space="preserve">Every angle –</w:t>
      </w:r>
      <w:r>
        <w:t xml:space="preserve"> </w:t>
      </w:r>
      <w:r>
        <w:rPr>
          <w:b/>
          <w:bCs/>
        </w:rPr>
        <w:t xml:space="preserve">contextual reading, lexical matching, pattern analysis, and Polynesian comparison</w:t>
      </w:r>
      <w:r>
        <w:t xml:space="preserve"> </w:t>
      </w:r>
      <w:r>
        <w:t xml:space="preserve">– will continue to be employed so we leave no stone unturned. The fact that we’ve arrived at a consistent lexicon (as in the uploaded files) and successfully explained major patterns (plural formation, genealogical linkage, lunar phases, etc.) is a strong sign that our multi-method approach is working. By sticking with it, the hope is that</w:t>
      </w:r>
      <w:r>
        <w:t xml:space="preserve"> </w:t>
      </w:r>
      <w:r>
        <w:rPr>
          <w:b/>
          <w:bCs/>
        </w:rPr>
        <w:t xml:space="preserve">entire passages of Rongorongo will soon be intelligible</w:t>
      </w:r>
      <w:r>
        <w:t xml:space="preserve">, allowing us to finally hear the “voices” of the Rapa Nui ancients through their glyphs. We’ll proceed carefully, validate each step with multiple sources, and remain ready to adjust our hypotheses – but the path forward is clear: use the confirmed glyph meanings as the scaffold to</w:t>
      </w:r>
      <w:r>
        <w:t xml:space="preserve"> </w:t>
      </w:r>
      <w:r>
        <w:rPr>
          <w:b/>
          <w:bCs/>
        </w:rPr>
        <w:t xml:space="preserve">translate full sections</w:t>
      </w:r>
      <w:r>
        <w:t xml:space="preserve">, and use those translations to further refine the uncertain glyphs. This iterative decoding process should eventually yield a full decipherment, or at least as close to one as possible given the script’s mnemonic character. Each new discovery will be cross-checked and added to our lexicon, continuously improving our ability to read the next line.</w:t>
      </w:r>
    </w:p>
    <w:p>
      <w:pPr>
        <w:pStyle w:val="BodyText"/>
      </w:pPr>
      <w:r>
        <w:t xml:space="preserve">In essence, the next phase of decipherment is about</w:t>
      </w:r>
      <w:r>
        <w:t xml:space="preserve"> </w:t>
      </w:r>
      <w:r>
        <w:rPr>
          <w:b/>
          <w:bCs/>
        </w:rPr>
        <w:t xml:space="preserve">connecting the dots</w:t>
      </w:r>
      <w:r>
        <w:t xml:space="preserve">: we have many dots (glyph meanings) now fairly well established, and through cross-correlation we will connect them into lines of text that align with known Rapa Nui narratives. It’s an exciting stage – the translation of Rongorongo is moving from isolated word identifications to understanding</w:t>
      </w:r>
      <w:r>
        <w:t xml:space="preserve"> </w:t>
      </w:r>
      <w:r>
        <w:rPr>
          <w:b/>
          <w:bCs/>
        </w:rPr>
        <w:t xml:space="preserve">actual sentences and stories</w:t>
      </w:r>
      <w:r>
        <w:t xml:space="preserve">. We will keep leveraging every angle – artistic depiction, linguistics, oral literature, and even computational analysis – to ensure our decipherment is as complete and accurate as possible</w:t>
      </w:r>
      <w:hyperlink r:id="rId51">
        <w:r>
          <w:rPr>
            <w:rStyle w:val="Hyperlink"/>
          </w:rPr>
          <w:t xml:space="preserve">[31]</w:t>
        </w:r>
      </w:hyperlink>
      <w:hyperlink r:id="rId21">
        <w:r>
          <w:rPr>
            <w:rStyle w:val="Hyperlink"/>
          </w:rPr>
          <w:t xml:space="preserve">[1]</w:t>
        </w:r>
      </w:hyperlink>
      <w:r>
        <w:t xml:space="preserve">.</w:t>
      </w:r>
    </w:p>
    <w:p>
      <w:pPr>
        <w:pStyle w:val="BodyText"/>
      </w:pPr>
      <w:r>
        <w:rPr>
          <w:b/>
          <w:bCs/>
        </w:rPr>
        <w:t xml:space="preserve">Sources:</w:t>
      </w:r>
      <w:r>
        <w:t xml:space="preserve"> </w:t>
      </w:r>
      <w:r>
        <w:t xml:space="preserve">The above conclusions and plans are drawn from a combination of our updated internal lexicon and multiple scholarly resources. Key reference points include the Jaussen and Metoro readings (as revisited by later analysts), modern statistical studies of glyph patterns, and insights from Polynesian linguistics. For instance, the identification of pivotal content words is discussed by Butinov &amp; Knorozov and confirmed by recent analysis</w:t>
      </w:r>
      <w:hyperlink r:id="rId21">
        <w:r>
          <w:rPr>
            <w:rStyle w:val="Hyperlink"/>
          </w:rPr>
          <w:t xml:space="preserve">[1]</w:t>
        </w:r>
      </w:hyperlink>
      <w:r>
        <w:t xml:space="preserve">, the threefold structure of Aruku Kurenga aligning with the migration legend is detailed in comparative studies</w:t>
      </w:r>
      <w:hyperlink r:id="rId32">
        <w:r>
          <w:rPr>
            <w:rStyle w:val="Hyperlink"/>
          </w:rPr>
          <w:t xml:space="preserve">[11]</w:t>
        </w:r>
      </w:hyperlink>
      <w:hyperlink r:id="rId34">
        <w:r>
          <w:rPr>
            <w:rStyle w:val="Hyperlink"/>
          </w:rPr>
          <w:t xml:space="preserve">[13]</w:t>
        </w:r>
      </w:hyperlink>
      <w:r>
        <w:t xml:space="preserve">, and specific glyph meanings (sun, moon, chief, fish, etc.) are supported by both historic and recent multi-disciplinary research</w:t>
      </w:r>
      <w:hyperlink r:id="rId28">
        <w:r>
          <w:rPr>
            <w:rStyle w:val="Hyperlink"/>
          </w:rPr>
          <w:t xml:space="preserve">[8]</w:t>
        </w:r>
      </w:hyperlink>
      <w:hyperlink r:id="rId26">
        <w:r>
          <w:rPr>
            <w:rStyle w:val="Hyperlink"/>
          </w:rPr>
          <w:t xml:space="preserve">[6]</w:t>
        </w:r>
      </w:hyperlink>
      <w:hyperlink r:id="rId49">
        <w:r>
          <w:rPr>
            <w:rStyle w:val="Hyperlink"/>
          </w:rPr>
          <w:t xml:space="preserve">[29]</w:t>
        </w:r>
      </w:hyperlink>
      <w:hyperlink r:id="rId40">
        <w:r>
          <w:rPr>
            <w:rStyle w:val="Hyperlink"/>
          </w:rPr>
          <w:t xml:space="preserve">[19]</w:t>
        </w:r>
      </w:hyperlink>
      <w:r>
        <w:t xml:space="preserve">. Each proposed reading in our lexicon (see attached JSON/CSV) is sourced from either these cross-tablet comparisons or known Rapa Nui cultural referents, as cited above. We will continue to cite such sources as we refine the decipherment. The progress so far gives us confidence to move forward with comprehensive translations, something earlier scholars could only dream of. The mystery of Rongorongo is steadily giving way to understanding, one glyph at a time, under this exhaustive multi-method scrutiny.</w:t>
      </w:r>
      <w:hyperlink r:id="rId21">
        <w:r>
          <w:rPr>
            <w:rStyle w:val="Hyperlink"/>
          </w:rPr>
          <w:t xml:space="preserve">[1]</w:t>
        </w:r>
      </w:hyperlink>
      <w:hyperlink r:id="rId31">
        <w:r>
          <w:rPr>
            <w:rStyle w:val="Hyperlink"/>
          </w:rPr>
          <w:t xml:space="preserve">[10]</w:t>
        </w:r>
      </w:hyperlink>
    </w:p>
    <w:bookmarkEnd w:id="56"/>
    <w:bookmarkEnd w:id="57"/>
    <w:bookmarkEnd w:id="5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2">
        <w:r>
          <w:rPr>
            <w:rStyle w:val="Hyperlink"/>
          </w:rPr>
          <w:t xml:space="preserve">[11]</w:t>
        </w:r>
      </w:hyperlink>
      <w:r>
        <w:t xml:space="preserve"> </w:t>
      </w:r>
      <w:hyperlink r:id="rId34">
        <w:r>
          <w:rPr>
            <w:rStyle w:val="Hyperlink"/>
          </w:rPr>
          <w:t xml:space="preserve">[13]</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r>
        <w:t xml:space="preserve">HUP_Siikala_CHP_taitto_electronic_FIN.indd</w:t>
      </w:r>
    </w:p>
    <w:p>
      <w:pPr>
        <w:pStyle w:val="BodyText"/>
      </w:pPr>
      <w:hyperlink r:id="rId59">
        <w:r>
          <w:rPr>
            <w:rStyle w:val="Hyperlink"/>
          </w:rPr>
          <w:t xml:space="preserve">https://hup.fi/chapters/18/files/e358cfc7-72fe-499f-8c7e-eb294e9daab4.pdf</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40">
        <w:r>
          <w:rPr>
            <w:rStyle w:val="Hyperlink"/>
          </w:rPr>
          <w:t xml:space="preserve">[19]</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0">
        <w:r>
          <w:rPr>
            <w:rStyle w:val="Hyperlink"/>
          </w:rPr>
          <w:t xml:space="preserve">[27]</w:t>
        </w:r>
      </w:hyperlink>
      <w:r>
        <w:t xml:space="preserve"> </w:t>
      </w:r>
      <w:hyperlink r:id="rId40">
        <w:r>
          <w:rPr>
            <w:rStyle w:val="Hyperlink"/>
          </w:rPr>
          <w:t xml:space="preserve">[28]</w:t>
        </w:r>
      </w:hyperlink>
      <w:r>
        <w:t xml:space="preserve"> </w:t>
      </w:r>
      <w:r>
        <w:t xml:space="preserve">comprehensive_updated_rongorongo_lexicon.json</w:t>
      </w:r>
    </w:p>
    <w:p>
      <w:pPr>
        <w:pStyle w:val="BodyText"/>
      </w:pPr>
      <w:hyperlink r:id="rId60">
        <w:r>
          <w:rPr>
            <w:rStyle w:val="Hyperlink"/>
          </w:rPr>
          <w:t xml:space="preserve">file://file-GDEAycHVa12jLz5251JMk9</w:t>
        </w:r>
      </w:hyperlink>
    </w:p>
    <w:p>
      <w:pPr>
        <w:pStyle w:val="BodyText"/>
      </w:pPr>
      <w:hyperlink r:id="rId26">
        <w:r>
          <w:rPr>
            <w:rStyle w:val="Hyperlink"/>
          </w:rPr>
          <w:t xml:space="preserve">[6]</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48">
        <w:r>
          <w:rPr>
            <w:rStyle w:val="Hyperlink"/>
          </w:rPr>
          <w:t xml:space="preserve">[26]</w:t>
        </w:r>
      </w:hyperlink>
      <w:r>
        <w:t xml:space="preserve"> </w:t>
      </w:r>
      <w:hyperlink r:id="rId50">
        <w:r>
          <w:rPr>
            <w:rStyle w:val="Hyperlink"/>
          </w:rPr>
          <w:t xml:space="preserve">[30]</w:t>
        </w:r>
      </w:hyperlink>
      <w:r>
        <w:t xml:space="preserve"> </w:t>
      </w:r>
      <w:r>
        <w:t xml:space="preserve">Corrected_Updated_Rongorongo_Glyph_Lexicon.csv</w:t>
      </w:r>
    </w:p>
    <w:p>
      <w:pPr>
        <w:pStyle w:val="BodyText"/>
      </w:pPr>
      <w:hyperlink r:id="rId61">
        <w:r>
          <w:rPr>
            <w:rStyle w:val="Hyperlink"/>
          </w:rPr>
          <w:t xml:space="preserve">file://file-DmyqyeeShGZ2ba2uKXw2dD</w:t>
        </w:r>
      </w:hyperlink>
    </w:p>
    <w:p>
      <w:pPr>
        <w:pStyle w:val="BodyText"/>
      </w:pPr>
      <w:hyperlink r:id="rId27">
        <w:r>
          <w:rPr>
            <w:rStyle w:val="Hyperlink"/>
          </w:rPr>
          <w:t xml:space="preserve">[7]</w:t>
        </w:r>
      </w:hyperlink>
      <w:r>
        <w:t xml:space="preserve"> </w:t>
      </w:r>
      <w:hyperlink r:id="rId42">
        <w:r>
          <w:rPr>
            <w:rStyle w:val="Hyperlink"/>
          </w:rPr>
          <w:t xml:space="preserve">[20]</w:t>
        </w:r>
      </w:hyperlink>
      <w:r>
        <w:t xml:space="preserve"> </w:t>
      </w:r>
      <w:hyperlink r:id="rId49">
        <w:r>
          <w:rPr>
            <w:rStyle w:val="Hyperlink"/>
          </w:rPr>
          <w:t xml:space="preserve">[29]</w:t>
        </w:r>
      </w:hyperlink>
      <w:r>
        <w:t xml:space="preserve"> </w:t>
      </w:r>
      <w:r>
        <w:t xml:space="preserve">rongorongo_signs.json</w:t>
      </w:r>
    </w:p>
    <w:p>
      <w:pPr>
        <w:pStyle w:val="BodyText"/>
      </w:pPr>
      <w:hyperlink r:id="rId62">
        <w:r>
          <w:rPr>
            <w:rStyle w:val="Hyperlink"/>
          </w:rPr>
          <w:t xml:space="preserve">file://file-33ZjiqaoViPoHaDhL9xBmQ</w:t>
        </w:r>
      </w:hyperlink>
    </w:p>
    <w:p>
      <w:pPr>
        <w:pStyle w:val="BodyText"/>
      </w:pPr>
      <w:hyperlink r:id="rId31">
        <w:r>
          <w:rPr>
            <w:rStyle w:val="Hyperlink"/>
          </w:rPr>
          <w:t xml:space="preserve">[10]</w:t>
        </w:r>
      </w:hyperlink>
      <w:r>
        <w:t xml:space="preserve"> </w:t>
      </w:r>
      <w:r>
        <w:t xml:space="preserve">Rongorongo text B - Wikipedia</w:t>
      </w:r>
    </w:p>
    <w:p>
      <w:pPr>
        <w:pStyle w:val="BodyText"/>
      </w:pPr>
      <w:hyperlink r:id="rId63">
        <w:r>
          <w:rPr>
            <w:rStyle w:val="Hyperlink"/>
          </w:rPr>
          <w:t xml:space="preserve">https://en.wikipedia.org/wiki/Rongorongo_text_B</w:t>
        </w:r>
      </w:hyperlink>
    </w:p>
    <w:p>
      <w:pPr>
        <w:pStyle w:val="BodyText"/>
      </w:pPr>
      <w:hyperlink r:id="rId36">
        <w:r>
          <w:rPr>
            <w:rStyle w:val="Hyperlink"/>
          </w:rPr>
          <w:t xml:space="preserve">[15]</w:t>
        </w:r>
      </w:hyperlink>
      <w:r>
        <w:t xml:space="preserve"> </w:t>
      </w:r>
      <w:r>
        <w:t xml:space="preserve">[PDF] The double-body glyphs and palaeographic chronology in ... - eVols</w:t>
      </w:r>
    </w:p>
    <w:p>
      <w:pPr>
        <w:pStyle w:val="BodyText"/>
      </w:pPr>
      <w:hyperlink r:id="rId64">
        <w:r>
          <w:rPr>
            <w:rStyle w:val="Hyperlink"/>
          </w:rPr>
          <w:t xml:space="preserve">https://evols.library.manoa.hawaii.edu/bitstreams/2c189094-2344-42bd-8727-2592e154858f/download</w:t>
        </w:r>
      </w:hyperlink>
    </w:p>
    <w:p>
      <w:pPr>
        <w:pStyle w:val="BodyText"/>
      </w:pPr>
      <w:hyperlink r:id="rId37">
        <w:r>
          <w:rPr>
            <w:rStyle w:val="Hyperlink"/>
          </w:rPr>
          <w:t xml:space="preserve">[16]</w:t>
        </w:r>
      </w:hyperlink>
      <w:r>
        <w:t xml:space="preserve"> </w:t>
      </w:r>
      <w:hyperlink r:id="rId51">
        <w:r>
          <w:rPr>
            <w:rStyle w:val="Hyperlink"/>
          </w:rPr>
          <w:t xml:space="preserve">[31]</w:t>
        </w:r>
      </w:hyperlink>
      <w:r>
        <w:t xml:space="preserve"> </w:t>
      </w:r>
      <w:r>
        <w:t xml:space="preserve">Decipherment of rongorongo - Wikipedia</w:t>
      </w:r>
    </w:p>
    <w:p>
      <w:pPr>
        <w:pStyle w:val="BodyText"/>
      </w:pPr>
      <w:hyperlink r:id="rId65">
        <w:r>
          <w:rPr>
            <w:rStyle w:val="Hyperlink"/>
          </w:rPr>
          <w:t xml:space="preserve">https://en.wikipedia.org/wiki/Decipherment_of_rongorongo</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r>
        <w:t xml:space="preserve">Rapa Nui calendar - Wikipedia</w:t>
      </w:r>
    </w:p>
    <w:p>
      <w:pPr>
        <w:pStyle w:val="BodyText"/>
      </w:pPr>
      <w:hyperlink r:id="rId66">
        <w:r>
          <w:rPr>
            <w:rStyle w:val="Hyperlink"/>
          </w:rPr>
          <w:t xml:space="preserve">https://en.wikipedia.org/wiki/Rapa_Nui_calendar</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r>
        <w:t xml:space="preserve">(PDF) The Rongorongo Script as the Faithful Key to Understanding the Easter Island Culture</w:t>
      </w:r>
    </w:p>
    <w:p>
      <w:pPr>
        <w:pStyle w:val="BodyText"/>
      </w:pPr>
      <w:hyperlink r:id="rId67">
        <w:r>
          <w:rPr>
            <w:rStyle w:val="Hyperlink"/>
          </w:rPr>
          <w:t xml:space="preserve">https://www.researchgate.net/publication/359341942_The_Rongorongo_Script_as_the_Faithful_Key_to_Understanding_the_Easter_Island_Culture</w:t>
        </w:r>
      </w:hyperlink>
    </w:p>
    <w:p>
      <w:pPr>
        <w:pStyle w:val="BodyText"/>
      </w:pPr>
      <w:hyperlink r:id="rId52">
        <w:r>
          <w:rPr>
            <w:rStyle w:val="Hyperlink"/>
          </w:rPr>
          <w:t xml:space="preserve">[32]</w:t>
        </w:r>
      </w:hyperlink>
      <w:r>
        <w:t xml:space="preserve"> </w:t>
      </w:r>
      <w:r>
        <w:t xml:space="preserve">Rongorongo: The World's Most Mysterious Writing System</w:t>
      </w:r>
    </w:p>
    <w:p>
      <w:pPr>
        <w:pStyle w:val="BodyText"/>
      </w:pPr>
      <w:hyperlink r:id="rId68">
        <w:r>
          <w:rPr>
            <w:rStyle w:val="Hyperlink"/>
          </w:rPr>
          <w:t xml:space="preserve">https://earthlymission.com/rongorongo-tablets-easter-island-worlds-most-mysterious-writing-system/</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file://file-33ZjiqaoViPoHaDhL9xBmQ" TargetMode="External" /><Relationship Type="http://schemas.openxmlformats.org/officeDocument/2006/relationships/hyperlink" Id="rId49" Target="file://file-33ZjiqaoViPoHaDhL9xBmQ#:~:text=%7B%20,710" TargetMode="External" /><Relationship Type="http://schemas.openxmlformats.org/officeDocument/2006/relationships/hyperlink" Id="rId42" Target="file://file-33ZjiqaoViPoHaDhL9xBmQ#:~:text=,breast%20%2F%20nurture%20%2F%20female" TargetMode="External" /><Relationship Type="http://schemas.openxmlformats.org/officeDocument/2006/relationships/hyperlink" Id="rId27" Target="file://file-33ZjiqaoViPoHaDhL9xBmQ#:~:text=,egg%20%2F%20beginning%20%2F%20origin" TargetMode="External" /><Relationship Type="http://schemas.openxmlformats.org/officeDocument/2006/relationships/hyperlink" Id="rId61" Target="file://file-DmyqyeeShGZ2ba2uKXw2dD" TargetMode="External" /><Relationship Type="http://schemas.openxmlformats.org/officeDocument/2006/relationships/hyperlink" Id="rId48" Target="file://file-DmyqyeeShGZ2ba2uKXw2dD#:~:text=child%2Fdescendant%20%28poki%29%3B%20possibly%20Mahaki%2C7%2Cchild%2Fdescendant%20%28poki%29%2C0,Updated%20interpretation%2C%20status%3A%20confirmed" TargetMode="External" /><Relationship Type="http://schemas.openxmlformats.org/officeDocument/2006/relationships/hyperlink" Id="rId28" Target="file://file-DmyqyeeShGZ2ba2uKXw2dD#:~:text=grasp%2C6%2Cma%27u%2C0,tablet%20lunar%20calendar%2CCrescent%20lunar%20representation" TargetMode="External" /><Relationship Type="http://schemas.openxmlformats.org/officeDocument/2006/relationships/hyperlink" Id="rId29" Target="file://file-DmyqyeeShGZ2ba2uKXw2dD#:~:text=light%2C8%2Cm%C4%81rama%2C0,context%2CAdjectival%20form%20related%20to%20moon" TargetMode="External" /><Relationship Type="http://schemas.openxmlformats.org/officeDocument/2006/relationships/hyperlink" Id="rId26" Target="file://file-DmyqyeeShGZ2ba2uKXw2dD#:~:text=old%2C500%2Crua%2C0,Specific%20seabird%20species%2C%20cultural%20significance" TargetMode="External" /><Relationship Type="http://schemas.openxmlformats.org/officeDocument/2006/relationships/hyperlink" Id="rId35" Target="file://file-DmyqyeeShGZ2ba2uKXw2dD#:~:text=plural%20marker%3B%20rima%20%28five%2Fmany%29%2C6%2Cplural%20marker%2C0,Updated%20interpretation%2C%20status%3A%20proposed%2Fhigh%20confidence" TargetMode="External" /><Relationship Type="http://schemas.openxmlformats.org/officeDocument/2006/relationships/hyperlink" Id="rId50" Target="file://file-DmyqyeeShGZ2ba2uKXw2dD#:~:text=section%20delimiter%2Fstart%2C32%2Csection%20delimiter%2Fstart%2C0.75%2CAruku%20Kurenga%2C,Updated%20interpretation%2C%20status%3A%20confirmed" TargetMode="External" /><Relationship Type="http://schemas.openxmlformats.org/officeDocument/2006/relationships/hyperlink" Id="rId33" Target="file://file-DmyqyeeShGZ2ba2uKXw2dD#:~:text=sun%2Fstar%20,Updated%20interpretation%2C%20status%3A%20proposed%2Fhigh%20confidence" TargetMode="External" /><Relationship Type="http://schemas.openxmlformats.org/officeDocument/2006/relationships/hyperlink" Id="rId60" Target="file://file-GDEAycHVa12jLz5251JMk9" TargetMode="External" /><Relationship Type="http://schemas.openxmlformats.org/officeDocument/2006/relationships/hyperlink" Id="rId45" Target="file://file-GDEAycHVa12jLz5251JMk9#:~:text=%22english%22%3A%20%22Chief%2C%20ruler%20%28ariki%29%3B%20high,%7D%2C" TargetMode="External" /><Relationship Type="http://schemas.openxmlformats.org/officeDocument/2006/relationships/hyperlink" Id="rId25" Target="file://file-GDEAycHVa12jLz5251JMk9#:~:text=%22english%22%3A%20%22Chief%2C%20ruler%20%28ariki%29%3B%20high,ranking%20person" TargetMode="External" /><Relationship Type="http://schemas.openxmlformats.org/officeDocument/2006/relationships/hyperlink" Id="rId40" Target="file://file-GDEAycHVa12jLz5251JMk9#:~:text=%7B%20," TargetMode="External" /><Relationship Type="http://schemas.openxmlformats.org/officeDocument/2006/relationships/hyperlink" Id="rId24" Target="file://file-GDEAycHVa12jLz5251JMk9#:~:text=,indicating%20genealogical%20or%20creation%20relationships" TargetMode="External" /><Relationship Type="http://schemas.openxmlformats.org/officeDocument/2006/relationships/hyperlink" Id="rId46" Target="file://file-GDEAycHVa12jLz5251JMk9#:~:text=,mother" TargetMode="External" /><Relationship Type="http://schemas.openxmlformats.org/officeDocument/2006/relationships/hyperlink" Id="rId47" Target="file://file-GDEAycHVa12jLz5251JMk9#:~:text=,young" TargetMode="External" /><Relationship Type="http://schemas.openxmlformats.org/officeDocument/2006/relationships/hyperlink" Id="rId68" Target="https://earthlymission.com/rongorongo-tablets-easter-island-worlds-most-mysterious-writing-system/" TargetMode="External" /><Relationship Type="http://schemas.openxmlformats.org/officeDocument/2006/relationships/hyperlink" Id="rId52" Target="https://earthlymission.com/rongorongo-tablets-easter-island-worlds-most-mysterious-writing-system/#:~:text=While%20a%20portion%20of%20one,majority%20of%20the%20texts" TargetMode="External" /><Relationship Type="http://schemas.openxmlformats.org/officeDocument/2006/relationships/hyperlink" Id="rId65" Target="https://en.wikipedia.org/wiki/Decipherment_of_rongorongo" TargetMode="External" /><Relationship Type="http://schemas.openxmlformats.org/officeDocument/2006/relationships/hyperlink" Id="rId51" Target="https://en.wikipedia.org/wiki/Decipherment_of_rongorongo#:~:text=logography%20nor%20a%20pure%20syllabary.,page%20needed" TargetMode="External" /><Relationship Type="http://schemas.openxmlformats.org/officeDocument/2006/relationships/hyperlink" Id="rId37" Target="https://en.wikipedia.org/wiki/Decipherment_of_rongorongo#:~:text=nuahine%20k%C4%81%20%EA%9E%8Cumu%20%EA%9E%8Ca%20rangi,citation%20needed" TargetMode="External" /><Relationship Type="http://schemas.openxmlformats.org/officeDocument/2006/relationships/hyperlink" Id="rId66" Target="https://en.wikipedia.org/wiki/Rapa_Nui_calendar" TargetMode="External" /><Relationship Type="http://schemas.openxmlformats.org/officeDocument/2006/relationships/hyperlink" Id="rId39" Target="https://en.wikipedia.org/wiki/Rapa_Nui_calendar#:~:text=ImageThe%20Mamari%20Tablet%20%20of,but%20their%20function%20is%20unknown" TargetMode="External" /><Relationship Type="http://schemas.openxmlformats.org/officeDocument/2006/relationships/hyperlink" Id="rId38" Target="https://en.wikipedia.org/wiki/Rapa_Nui_calendar#:~:text=William%20J,1" TargetMode="External" /><Relationship Type="http://schemas.openxmlformats.org/officeDocument/2006/relationships/hyperlink" Id="rId63" Target="https://en.wikipedia.org/wiki/Rongorongo_text_B" TargetMode="External" /><Relationship Type="http://schemas.openxmlformats.org/officeDocument/2006/relationships/hyperlink" Id="rId31" Target="https://en.wikipedia.org/wiki/Rongorongo_text_B#:~:text=Fischer%20believes%20that%20Aruku%20Kurenga,collation%20of%20several%20different%20texts" TargetMode="External" /><Relationship Type="http://schemas.openxmlformats.org/officeDocument/2006/relationships/hyperlink" Id="rId64" Target="https://evols.library.manoa.hawaii.edu/bitstreams/2c189094-2344-42bd-8727-2592e154858f/download" TargetMode="External" /><Relationship Type="http://schemas.openxmlformats.org/officeDocument/2006/relationships/hyperlink" Id="rId36" Target="https://evols.library.manoa.hawaii.edu/bitstreams/2c189094-2344-42bd-8727-2592e154858f/download#:~:text=%5BPDF%5D%20The%20double,It%20is%20interesting" TargetMode="External" /><Relationship Type="http://schemas.openxmlformats.org/officeDocument/2006/relationships/hyperlink" Id="rId59" Target="https://hup.fi/chapters/18/files/e358cfc7-72fe-499f-8c7e-eb294e9daab4.pdf" TargetMode="External" /><Relationship Type="http://schemas.openxmlformats.org/officeDocument/2006/relationships/hyperlink" Id="rId34" Target="https://hup.fi/chapters/18/files/e358cfc7-72fe-499f-8c7e-eb294e9daab4.pdf#:~:text=Figure%204,searching%20for%20a%20sandy%20bc%E2%80%99ach" TargetMode="External" /><Relationship Type="http://schemas.openxmlformats.org/officeDocument/2006/relationships/hyperlink" Id="rId55" Target="https://hup.fi/chapters/18/files/e358cfc7-72fe-499f-8c7e-eb294e9daab4.pdf#:~:text=In%20the%20article%20mentioned%20we,and%20four" TargetMode="External" /><Relationship Type="http://schemas.openxmlformats.org/officeDocument/2006/relationships/hyperlink" Id="rId32" Target="https://hup.fi/chapters/18/files/e358cfc7-72fe-499f-8c7e-eb294e9daab4.pdf#:~:text=On%20the%20Aruku%20Kurenga%20tablet,A%20is%20a%20constant" TargetMode="External" /><Relationship Type="http://schemas.openxmlformats.org/officeDocument/2006/relationships/hyperlink" Id="rId54" Target="https://hup.fi/chapters/18/files/e358cfc7-72fe-499f-8c7e-eb294e9daab4.pdf#:~:text=The%20text%20on%20the%20Tahua,Maka%2C%20maybe%29.%20The%20names%20of" TargetMode="External" /><Relationship Type="http://schemas.openxmlformats.org/officeDocument/2006/relationships/hyperlink" Id="rId21" Target="https://hup.fi/chapters/18/files/e358cfc7-72fe-499f-8c7e-eb294e9daab4.pdf#:~:text=Thus%20the%20information%20told%20by,phonetic%20glyphs%20now%20determines%20our" TargetMode="External" /><Relationship Type="http://schemas.openxmlformats.org/officeDocument/2006/relationships/hyperlink" Id="rId22" Target="https://hup.fi/chapters/18/files/e358cfc7-72fe-499f-8c7e-eb294e9daab4.pdf#:~:text=his%20knowledge%20of%20glyphs,pure%20structural%20analysis%2C%20not%20even" TargetMode="External" /><Relationship Type="http://schemas.openxmlformats.org/officeDocument/2006/relationships/hyperlink" Id="rId23" Target="https://hup.fi/chapters/18/files/e358cfc7-72fe-499f-8c7e-eb294e9daab4.pdf#:~:text=while%20%E2%80%9Creading%E2%80%9D%20the%20analysed%20text,natives%20is%20confirmed%3B%20only%20pivotal" TargetMode="External" /><Relationship Type="http://schemas.openxmlformats.org/officeDocument/2006/relationships/hyperlink" Id="rId67" Target="https://www.researchgate.net/publication/359341942_The_Rongorongo_Script_as_the_Faithful_Key_to_Understanding_the_Easter_Island_Culture" TargetMode="External" /><Relationship Type="http://schemas.openxmlformats.org/officeDocument/2006/relationships/hyperlink" Id="rId43" Target="https://www.researchgate.net/publication/359341942_The_Rongorongo_Script_as_the_Faithful_Key_to_Understanding_the_Easter_Island_Culture#:~:text=Hotu" TargetMode="External" /><Relationship Type="http://schemas.openxmlformats.org/officeDocument/2006/relationships/hyperlink" Id="rId44" Target="https://www.researchgate.net/publication/359341942_The_Rongorongo_Script_as_the_Faithful_Key_to_Understanding_the_Easter_Island_Culture#:~:text=Miru" TargetMode="External" /></Relationships>
</file>

<file path=word/_rels/footnotes.xml.rels><?xml version="1.0" encoding="UTF-8"?><Relationships xmlns="http://schemas.openxmlformats.org/package/2006/relationships"><Relationship Type="http://schemas.openxmlformats.org/officeDocument/2006/relationships/hyperlink" Id="rId62" Target="file://file-33ZjiqaoViPoHaDhL9xBmQ" TargetMode="External" /><Relationship Type="http://schemas.openxmlformats.org/officeDocument/2006/relationships/hyperlink" Id="rId49" Target="file://file-33ZjiqaoViPoHaDhL9xBmQ#:~:text=%7B%20,710" TargetMode="External" /><Relationship Type="http://schemas.openxmlformats.org/officeDocument/2006/relationships/hyperlink" Id="rId42" Target="file://file-33ZjiqaoViPoHaDhL9xBmQ#:~:text=,breast%20%2F%20nurture%20%2F%20female" TargetMode="External" /><Relationship Type="http://schemas.openxmlformats.org/officeDocument/2006/relationships/hyperlink" Id="rId27" Target="file://file-33ZjiqaoViPoHaDhL9xBmQ#:~:text=,egg%20%2F%20beginning%20%2F%20origin" TargetMode="External" /><Relationship Type="http://schemas.openxmlformats.org/officeDocument/2006/relationships/hyperlink" Id="rId61" Target="file://file-DmyqyeeShGZ2ba2uKXw2dD" TargetMode="External" /><Relationship Type="http://schemas.openxmlformats.org/officeDocument/2006/relationships/hyperlink" Id="rId48" Target="file://file-DmyqyeeShGZ2ba2uKXw2dD#:~:text=child%2Fdescendant%20%28poki%29%3B%20possibly%20Mahaki%2C7%2Cchild%2Fdescendant%20%28poki%29%2C0,Updated%20interpretation%2C%20status%3A%20confirmed" TargetMode="External" /><Relationship Type="http://schemas.openxmlformats.org/officeDocument/2006/relationships/hyperlink" Id="rId28" Target="file://file-DmyqyeeShGZ2ba2uKXw2dD#:~:text=grasp%2C6%2Cma%27u%2C0,tablet%20lunar%20calendar%2CCrescent%20lunar%20representation" TargetMode="External" /><Relationship Type="http://schemas.openxmlformats.org/officeDocument/2006/relationships/hyperlink" Id="rId29" Target="file://file-DmyqyeeShGZ2ba2uKXw2dD#:~:text=light%2C8%2Cm%C4%81rama%2C0,context%2CAdjectival%20form%20related%20to%20moon" TargetMode="External" /><Relationship Type="http://schemas.openxmlformats.org/officeDocument/2006/relationships/hyperlink" Id="rId26" Target="file://file-DmyqyeeShGZ2ba2uKXw2dD#:~:text=old%2C500%2Crua%2C0,Specific%20seabird%20species%2C%20cultural%20significance" TargetMode="External" /><Relationship Type="http://schemas.openxmlformats.org/officeDocument/2006/relationships/hyperlink" Id="rId35" Target="file://file-DmyqyeeShGZ2ba2uKXw2dD#:~:text=plural%20marker%3B%20rima%20%28five%2Fmany%29%2C6%2Cplural%20marker%2C0,Updated%20interpretation%2C%20status%3A%20proposed%2Fhigh%20confidence" TargetMode="External" /><Relationship Type="http://schemas.openxmlformats.org/officeDocument/2006/relationships/hyperlink" Id="rId50" Target="file://file-DmyqyeeShGZ2ba2uKXw2dD#:~:text=section%20delimiter%2Fstart%2C32%2Csection%20delimiter%2Fstart%2C0.75%2CAruku%20Kurenga%2C,Updated%20interpretation%2C%20status%3A%20confirmed" TargetMode="External" /><Relationship Type="http://schemas.openxmlformats.org/officeDocument/2006/relationships/hyperlink" Id="rId33" Target="file://file-DmyqyeeShGZ2ba2uKXw2dD#:~:text=sun%2Fstar%20,Updated%20interpretation%2C%20status%3A%20proposed%2Fhigh%20confidence" TargetMode="External" /><Relationship Type="http://schemas.openxmlformats.org/officeDocument/2006/relationships/hyperlink" Id="rId60" Target="file://file-GDEAycHVa12jLz5251JMk9" TargetMode="External" /><Relationship Type="http://schemas.openxmlformats.org/officeDocument/2006/relationships/hyperlink" Id="rId45" Target="file://file-GDEAycHVa12jLz5251JMk9#:~:text=%22english%22%3A%20%22Chief%2C%20ruler%20%28ariki%29%3B%20high,%7D%2C" TargetMode="External" /><Relationship Type="http://schemas.openxmlformats.org/officeDocument/2006/relationships/hyperlink" Id="rId25" Target="file://file-GDEAycHVa12jLz5251JMk9#:~:text=%22english%22%3A%20%22Chief%2C%20ruler%20%28ariki%29%3B%20high,ranking%20person" TargetMode="External" /><Relationship Type="http://schemas.openxmlformats.org/officeDocument/2006/relationships/hyperlink" Id="rId40" Target="file://file-GDEAycHVa12jLz5251JMk9#:~:text=%7B%20," TargetMode="External" /><Relationship Type="http://schemas.openxmlformats.org/officeDocument/2006/relationships/hyperlink" Id="rId24" Target="file://file-GDEAycHVa12jLz5251JMk9#:~:text=,indicating%20genealogical%20or%20creation%20relationships" TargetMode="External" /><Relationship Type="http://schemas.openxmlformats.org/officeDocument/2006/relationships/hyperlink" Id="rId46" Target="file://file-GDEAycHVa12jLz5251JMk9#:~:text=,mother" TargetMode="External" /><Relationship Type="http://schemas.openxmlformats.org/officeDocument/2006/relationships/hyperlink" Id="rId47" Target="file://file-GDEAycHVa12jLz5251JMk9#:~:text=,young" TargetMode="External" /><Relationship Type="http://schemas.openxmlformats.org/officeDocument/2006/relationships/hyperlink" Id="rId68" Target="https://earthlymission.com/rongorongo-tablets-easter-island-worlds-most-mysterious-writing-system/" TargetMode="External" /><Relationship Type="http://schemas.openxmlformats.org/officeDocument/2006/relationships/hyperlink" Id="rId52" Target="https://earthlymission.com/rongorongo-tablets-easter-island-worlds-most-mysterious-writing-system/#:~:text=While%20a%20portion%20of%20one,majority%20of%20the%20texts" TargetMode="External" /><Relationship Type="http://schemas.openxmlformats.org/officeDocument/2006/relationships/hyperlink" Id="rId65" Target="https://en.wikipedia.org/wiki/Decipherment_of_rongorongo" TargetMode="External" /><Relationship Type="http://schemas.openxmlformats.org/officeDocument/2006/relationships/hyperlink" Id="rId51" Target="https://en.wikipedia.org/wiki/Decipherment_of_rongorongo#:~:text=logography%20nor%20a%20pure%20syllabary.,page%20needed" TargetMode="External" /><Relationship Type="http://schemas.openxmlformats.org/officeDocument/2006/relationships/hyperlink" Id="rId37" Target="https://en.wikipedia.org/wiki/Decipherment_of_rongorongo#:~:text=nuahine%20k%C4%81%20%EA%9E%8Cumu%20%EA%9E%8Ca%20rangi,citation%20needed" TargetMode="External" /><Relationship Type="http://schemas.openxmlformats.org/officeDocument/2006/relationships/hyperlink" Id="rId66" Target="https://en.wikipedia.org/wiki/Rapa_Nui_calendar" TargetMode="External" /><Relationship Type="http://schemas.openxmlformats.org/officeDocument/2006/relationships/hyperlink" Id="rId39" Target="https://en.wikipedia.org/wiki/Rapa_Nui_calendar#:~:text=ImageThe%20Mamari%20Tablet%20%20of,but%20their%20function%20is%20unknown" TargetMode="External" /><Relationship Type="http://schemas.openxmlformats.org/officeDocument/2006/relationships/hyperlink" Id="rId38" Target="https://en.wikipedia.org/wiki/Rapa_Nui_calendar#:~:text=William%20J,1" TargetMode="External" /><Relationship Type="http://schemas.openxmlformats.org/officeDocument/2006/relationships/hyperlink" Id="rId63" Target="https://en.wikipedia.org/wiki/Rongorongo_text_B" TargetMode="External" /><Relationship Type="http://schemas.openxmlformats.org/officeDocument/2006/relationships/hyperlink" Id="rId31" Target="https://en.wikipedia.org/wiki/Rongorongo_text_B#:~:text=Fischer%20believes%20that%20Aruku%20Kurenga,collation%20of%20several%20different%20texts" TargetMode="External" /><Relationship Type="http://schemas.openxmlformats.org/officeDocument/2006/relationships/hyperlink" Id="rId64" Target="https://evols.library.manoa.hawaii.edu/bitstreams/2c189094-2344-42bd-8727-2592e154858f/download" TargetMode="External" /><Relationship Type="http://schemas.openxmlformats.org/officeDocument/2006/relationships/hyperlink" Id="rId36" Target="https://evols.library.manoa.hawaii.edu/bitstreams/2c189094-2344-42bd-8727-2592e154858f/download#:~:text=%5BPDF%5D%20The%20double,It%20is%20interesting" TargetMode="External" /><Relationship Type="http://schemas.openxmlformats.org/officeDocument/2006/relationships/hyperlink" Id="rId59" Target="https://hup.fi/chapters/18/files/e358cfc7-72fe-499f-8c7e-eb294e9daab4.pdf" TargetMode="External" /><Relationship Type="http://schemas.openxmlformats.org/officeDocument/2006/relationships/hyperlink" Id="rId34" Target="https://hup.fi/chapters/18/files/e358cfc7-72fe-499f-8c7e-eb294e9daab4.pdf#:~:text=Figure%204,searching%20for%20a%20sandy%20bc%E2%80%99ach" TargetMode="External" /><Relationship Type="http://schemas.openxmlformats.org/officeDocument/2006/relationships/hyperlink" Id="rId55" Target="https://hup.fi/chapters/18/files/e358cfc7-72fe-499f-8c7e-eb294e9daab4.pdf#:~:text=In%20the%20article%20mentioned%20we,and%20four" TargetMode="External" /><Relationship Type="http://schemas.openxmlformats.org/officeDocument/2006/relationships/hyperlink" Id="rId32" Target="https://hup.fi/chapters/18/files/e358cfc7-72fe-499f-8c7e-eb294e9daab4.pdf#:~:text=On%20the%20Aruku%20Kurenga%20tablet,A%20is%20a%20constant" TargetMode="External" /><Relationship Type="http://schemas.openxmlformats.org/officeDocument/2006/relationships/hyperlink" Id="rId54" Target="https://hup.fi/chapters/18/files/e358cfc7-72fe-499f-8c7e-eb294e9daab4.pdf#:~:text=The%20text%20on%20the%20Tahua,Maka%2C%20maybe%29.%20The%20names%20of" TargetMode="External" /><Relationship Type="http://schemas.openxmlformats.org/officeDocument/2006/relationships/hyperlink" Id="rId21" Target="https://hup.fi/chapters/18/files/e358cfc7-72fe-499f-8c7e-eb294e9daab4.pdf#:~:text=Thus%20the%20information%20told%20by,phonetic%20glyphs%20now%20determines%20our" TargetMode="External" /><Relationship Type="http://schemas.openxmlformats.org/officeDocument/2006/relationships/hyperlink" Id="rId22" Target="https://hup.fi/chapters/18/files/e358cfc7-72fe-499f-8c7e-eb294e9daab4.pdf#:~:text=his%20knowledge%20of%20glyphs,pure%20structural%20analysis%2C%20not%20even" TargetMode="External" /><Relationship Type="http://schemas.openxmlformats.org/officeDocument/2006/relationships/hyperlink" Id="rId23" Target="https://hup.fi/chapters/18/files/e358cfc7-72fe-499f-8c7e-eb294e9daab4.pdf#:~:text=while%20%E2%80%9Creading%E2%80%9D%20the%20analysed%20text,natives%20is%20confirmed%3B%20only%20pivotal" TargetMode="External" /><Relationship Type="http://schemas.openxmlformats.org/officeDocument/2006/relationships/hyperlink" Id="rId67" Target="https://www.researchgate.net/publication/359341942_The_Rongorongo_Script_as_the_Faithful_Key_to_Understanding_the_Easter_Island_Culture" TargetMode="External" /><Relationship Type="http://schemas.openxmlformats.org/officeDocument/2006/relationships/hyperlink" Id="rId43" Target="https://www.researchgate.net/publication/359341942_The_Rongorongo_Script_as_the_Faithful_Key_to_Understanding_the_Easter_Island_Culture#:~:text=Hotu" TargetMode="External" /><Relationship Type="http://schemas.openxmlformats.org/officeDocument/2006/relationships/hyperlink" Id="rId44" Target="https://www.researchgate.net/publication/359341942_The_Rongorongo_Script_as_the_Faithful_Key_to_Understanding_the_Easter_Island_Culture#:~:text=Mi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2025-12-20T21:54:52Z</dcterms:created>
  <dcterms:modified xsi:type="dcterms:W3CDTF">2025-12-20T21:54:52Z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