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2" w:name="content"/>
    <w:bookmarkStart w:id="61" w:name="Xf64786ec9855f2761844dbdfc8ad442f85971df"/>
    <w:p>
      <w:pPr>
        <w:pStyle w:val="Heading1"/>
      </w:pPr>
      <w:r>
        <w:t xml:space="preserve">Cross-Correlation Analysis of the Santiago Staff (Text I) and the Aruku Kurenga Tablet (Text B)</w:t>
      </w:r>
    </w:p>
    <w:bookmarkStart w:id="27" w:name="shared-sequences-and-recurring-motifs"/>
    <w:p>
      <w:pPr>
        <w:pStyle w:val="Heading2"/>
      </w:pPr>
      <w:r>
        <w:t xml:space="preserve">Shared Sequences and Recurring Motifs</w:t>
      </w:r>
    </w:p>
    <w:p>
      <w:pPr>
        <w:pStyle w:val="FirstParagraph"/>
      </w:pPr>
      <w:r>
        <w:t xml:space="preserve">Both</w:t>
      </w:r>
      <w:r>
        <w:t xml:space="preserve"> </w:t>
      </w:r>
      <w:r>
        <w:rPr>
          <w:b/>
          <w:bCs/>
        </w:rPr>
        <w:t xml:space="preserve">Text I (Santiago Staff)</w:t>
      </w:r>
      <w:r>
        <w:t xml:space="preserve"> </w:t>
      </w:r>
      <w:r>
        <w:t xml:space="preserve">and</w:t>
      </w:r>
      <w:r>
        <w:t xml:space="preserve"> </w:t>
      </w:r>
      <w:r>
        <w:rPr>
          <w:b/>
          <w:bCs/>
        </w:rPr>
        <w:t xml:space="preserve">Text B (Aruku Kurenga)</w:t>
      </w:r>
      <w:r>
        <w:t xml:space="preserve"> </w:t>
      </w:r>
      <w:r>
        <w:t xml:space="preserve">display striking repetitive patterns in their inscriptions. The Santiago Staff, the longest rongorongo text, consists of a series of</w:t>
      </w:r>
      <w:r>
        <w:t xml:space="preserve"> </w:t>
      </w:r>
      <w:r>
        <w:rPr>
          <w:b/>
          <w:bCs/>
        </w:rPr>
        <w:t xml:space="preserve">short, repeating phrase units</w:t>
      </w:r>
      <w:r>
        <w:t xml:space="preserve">, often separated by carved section markers (vertical lines)</w:t>
      </w:r>
      <w:hyperlink r:id="rId21">
        <w:r>
          <w:rPr>
            <w:rStyle w:val="Hyperlink"/>
          </w:rPr>
          <w:t xml:space="preserve">[1]</w:t>
        </w:r>
      </w:hyperlink>
      <w:r>
        <w:t xml:space="preserve">. These units appear to follow a consistent structural template, suggesting a formulaic composition. Likewise, Aruku Kurenga contains a notable</w:t>
      </w:r>
      <w:r>
        <w:t xml:space="preserve"> </w:t>
      </w:r>
      <w:r>
        <w:rPr>
          <w:b/>
          <w:bCs/>
        </w:rPr>
        <w:t xml:space="preserve">triplicated passage</w:t>
      </w:r>
      <w:r>
        <w:t xml:space="preserve"> </w:t>
      </w:r>
      <w:r>
        <w:t xml:space="preserve">– the same sequence of glyphs (with minor variations) repeated three times in succession</w:t>
      </w:r>
      <w:hyperlink r:id="rId22">
        <w:r>
          <w:rPr>
            <w:rStyle w:val="Hyperlink"/>
          </w:rPr>
          <w:t xml:space="preserve">[2]</w:t>
        </w:r>
      </w:hyperlink>
      <w:r>
        <w:t xml:space="preserve">. Butinov and Knorozov (1956) were the first to observe this, remarking that</w:t>
      </w:r>
      <w:r>
        <w:t xml:space="preserve"> </w:t>
      </w:r>
      <w:r>
        <w:rPr>
          <w:i/>
          <w:iCs/>
        </w:rPr>
        <w:t xml:space="preserve">“evidently, this is one and the same text, given in three variants”</w:t>
      </w:r>
      <w:r>
        <w:t xml:space="preserve"> </w:t>
      </w:r>
      <w:r>
        <w:t xml:space="preserve">on Tablet B</w:t>
      </w:r>
      <w:hyperlink r:id="rId22">
        <w:r>
          <w:rPr>
            <w:rStyle w:val="Hyperlink"/>
          </w:rPr>
          <w:t xml:space="preserve">[2]</w:t>
        </w:r>
      </w:hyperlink>
      <w:r>
        <w:t xml:space="preserve">. This implies that Text B is organized into parallel segments that retell an identical episode or list with iterative differences, much as Text I’s segments reiterate a common pattern.</w:t>
      </w:r>
    </w:p>
    <w:p>
      <w:pPr>
        <w:pStyle w:val="BodyText"/>
      </w:pPr>
      <w:r>
        <w:t xml:space="preserve">Despite differences in presentation (Text I uses explicit delimiters</w:t>
      </w:r>
      <w:r>
        <w:t xml:space="preserve"> </w:t>
      </w:r>
      <w:r>
        <w:rPr>
          <w:rStyle w:val="VerbatimChar"/>
        </w:rPr>
        <w:t xml:space="preserve">|</w:t>
      </w:r>
      <w:r>
        <w:t xml:space="preserve"> </w:t>
      </w:r>
      <w:r>
        <w:t xml:space="preserve">between segments, whereas Text B’s repetitions follow one after the other without divider lines</w:t>
      </w:r>
      <w:hyperlink r:id="rId21">
        <w:r>
          <w:rPr>
            <w:rStyle w:val="Hyperlink"/>
          </w:rPr>
          <w:t xml:space="preserve">[1]</w:t>
        </w:r>
      </w:hyperlink>
      <w:r>
        <w:t xml:space="preserve">), the</w:t>
      </w:r>
      <w:r>
        <w:t xml:space="preserve"> </w:t>
      </w:r>
      <w:r>
        <w:rPr>
          <w:i/>
          <w:iCs/>
        </w:rPr>
        <w:t xml:space="preserve">motifs</w:t>
      </w:r>
      <w:r>
        <w:t xml:space="preserve"> </w:t>
      </w:r>
      <w:r>
        <w:t xml:space="preserve">within those segments show overlap. Both texts employ</w:t>
      </w:r>
      <w:r>
        <w:t xml:space="preserve"> </w:t>
      </w:r>
      <w:r>
        <w:rPr>
          <w:b/>
          <w:bCs/>
        </w:rPr>
        <w:t xml:space="preserve">anthropomorphic figures, animals, and cosmic symbols</w:t>
      </w:r>
      <w:r>
        <w:t xml:space="preserve"> </w:t>
      </w:r>
      <w:r>
        <w:t xml:space="preserve">in repeated arrangements. For example,</w:t>
      </w:r>
      <w:r>
        <w:t xml:space="preserve"> </w:t>
      </w:r>
      <w:r>
        <w:rPr>
          <w:b/>
          <w:bCs/>
        </w:rPr>
        <w:t xml:space="preserve">bird glyphs</w:t>
      </w:r>
      <w:r>
        <w:t xml:space="preserve"> </w:t>
      </w:r>
      <w:r>
        <w:t xml:space="preserve">and</w:t>
      </w:r>
      <w:r>
        <w:t xml:space="preserve"> </w:t>
      </w:r>
      <w:r>
        <w:rPr>
          <w:b/>
          <w:bCs/>
        </w:rPr>
        <w:t xml:space="preserve">fish glyphs</w:t>
      </w:r>
      <w:r>
        <w:t xml:space="preserve"> </w:t>
      </w:r>
      <w:r>
        <w:t xml:space="preserve">occur as recurring elements in the Santiago Staff’s phrases (as subjects and objects in a narrative sequence)</w:t>
      </w:r>
      <w:hyperlink r:id="rId23">
        <w:r>
          <w:rPr>
            <w:rStyle w:val="Hyperlink"/>
          </w:rPr>
          <w:t xml:space="preserve">[3]</w:t>
        </w:r>
      </w:hyperlink>
      <w:r>
        <w:t xml:space="preserve">, and similar glyphs are present in Aruku Kurenga’s repeated sequences. In one section of Text B, a</w:t>
      </w:r>
      <w:r>
        <w:t xml:space="preserve"> </w:t>
      </w:r>
      <w:r>
        <w:rPr>
          <w:b/>
          <w:bCs/>
        </w:rPr>
        <w:t xml:space="preserve">composite glyph</w:t>
      </w:r>
      <w:r>
        <w:t xml:space="preserve"> </w:t>
      </w:r>
      <w:r>
        <w:t xml:space="preserve">combining an eye and a human figure (Barthel notation</w:t>
      </w:r>
      <w:r>
        <w:t xml:space="preserve"> </w:t>
      </w:r>
      <w:r>
        <w:rPr>
          <w:i/>
          <w:iCs/>
        </w:rPr>
        <w:t xml:space="preserve">003.001</w:t>
      </w:r>
      <w:r>
        <w:t xml:space="preserve">) is followed by other glyphs and this entire cluster is duplicated in the tablet three times</w:t>
      </w:r>
      <w:hyperlink r:id="rId24">
        <w:r>
          <w:rPr>
            <w:rStyle w:val="Hyperlink"/>
          </w:rPr>
          <w:t xml:space="preserve">[4]</w:t>
        </w:r>
      </w:hyperlink>
      <w:r>
        <w:t xml:space="preserve">. The first glyph of that sequence even shows variation between repetitions (in one variant the human figure has a bird’s head instead of a “gaping mouth” head)</w:t>
      </w:r>
      <w:hyperlink r:id="rId25">
        <w:r>
          <w:rPr>
            <w:rStyle w:val="Hyperlink"/>
          </w:rPr>
          <w:t xml:space="preserve">[5]</w:t>
        </w:r>
      </w:hyperlink>
      <w:r>
        <w:t xml:space="preserve">. Such</w:t>
      </w:r>
      <w:r>
        <w:t xml:space="preserve"> </w:t>
      </w:r>
      <w:r>
        <w:rPr>
          <w:b/>
          <w:bCs/>
        </w:rPr>
        <w:t xml:space="preserve">recurrent clusters</w:t>
      </w:r>
      <w:r>
        <w:t xml:space="preserve"> </w:t>
      </w:r>
      <w:r>
        <w:t xml:space="preserve">and slight modifications indicate that</w:t>
      </w:r>
      <w:r>
        <w:t xml:space="preserve"> </w:t>
      </w:r>
      <w:r>
        <w:rPr>
          <w:b/>
          <w:bCs/>
        </w:rPr>
        <w:t xml:space="preserve">both texts encode the same kinds of content</w:t>
      </w:r>
      <w:r>
        <w:t xml:space="preserve"> </w:t>
      </w:r>
      <w:r>
        <w:t xml:space="preserve">– likely a narrative or list that was important enough to be repeated or enumerated in different ways.</w:t>
      </w:r>
    </w:p>
    <w:p>
      <w:pPr>
        <w:pStyle w:val="BodyText"/>
      </w:pPr>
      <w:r>
        <w:t xml:space="preserve">The recurrence of specific glyph combinations in each text suggests common</w:t>
      </w:r>
      <w:r>
        <w:t xml:space="preserve"> </w:t>
      </w:r>
      <w:r>
        <w:rPr>
          <w:b/>
          <w:bCs/>
        </w:rPr>
        <w:t xml:space="preserve">thematic motifs</w:t>
      </w:r>
      <w:r>
        <w:t xml:space="preserve">. On the Staff, as Pozdniakov noted, there are short phrases that also appear (in part) on a couple of other tablets, but</w:t>
      </w:r>
      <w:r>
        <w:t xml:space="preserve"> </w:t>
      </w:r>
      <w:r>
        <w:rPr>
          <w:i/>
          <w:iCs/>
        </w:rPr>
        <w:t xml:space="preserve">“nothing in common with the rest of the rongorongo corpus”</w:t>
      </w:r>
      <w:r>
        <w:t xml:space="preserve"> </w:t>
      </w:r>
      <w:r>
        <w:t xml:space="preserve">outside those parallels</w:t>
      </w:r>
      <w:hyperlink r:id="rId26">
        <w:r>
          <w:rPr>
            <w:rStyle w:val="Hyperlink"/>
          </w:rPr>
          <w:t xml:space="preserve">[6]</w:t>
        </w:r>
      </w:hyperlink>
      <w:r>
        <w:t xml:space="preserve">. This hints that Text I and Text B might share a unique subset of content (possibly mythological or genealogical) not found elsewhere, making them particularly apt for direct comparison. In summary,</w:t>
      </w:r>
      <w:r>
        <w:t xml:space="preserve"> </w:t>
      </w:r>
      <w:r>
        <w:rPr>
          <w:b/>
          <w:bCs/>
        </w:rPr>
        <w:t xml:space="preserve">both texts are highly structured</w:t>
      </w:r>
      <w:r>
        <w:t xml:space="preserve">, comprised of repeated sequences of glyphs that likely correspond to</w:t>
      </w:r>
      <w:r>
        <w:t xml:space="preserve"> </w:t>
      </w:r>
      <w:r>
        <w:rPr>
          <w:i/>
          <w:iCs/>
        </w:rPr>
        <w:t xml:space="preserve">verses, lines or names</w:t>
      </w:r>
      <w:r>
        <w:t xml:space="preserve"> </w:t>
      </w:r>
      <w:r>
        <w:t xml:space="preserve">in an oral composition. This parallelism in structure is our first clue that the two texts record related kinds of information.</w:t>
      </w:r>
    </w:p>
    <w:bookmarkEnd w:id="27"/>
    <w:bookmarkStart w:id="36" w:name="Xa9a7353affa37c1a535119792962d520bc5b8fa"/>
    <w:p>
      <w:pPr>
        <w:pStyle w:val="Heading2"/>
      </w:pPr>
      <w:r>
        <w:t xml:space="preserve">Formulaic “X Copulated with Y: Z Was Born” Structures</w:t>
      </w:r>
    </w:p>
    <w:p>
      <w:pPr>
        <w:pStyle w:val="FirstParagraph"/>
      </w:pPr>
      <w:r>
        <w:t xml:space="preserve">One of the clearest shared structures is the</w:t>
      </w:r>
      <w:r>
        <w:t xml:space="preserve"> </w:t>
      </w:r>
      <w:r>
        <w:rPr>
          <w:b/>
          <w:bCs/>
        </w:rPr>
        <w:t xml:space="preserve">triadic formula</w:t>
      </w:r>
      <w:r>
        <w:t xml:space="preserve"> </w:t>
      </w:r>
      <w:r>
        <w:t xml:space="preserve">often described as</w:t>
      </w:r>
      <w:r>
        <w:t xml:space="preserve"> </w:t>
      </w:r>
      <w:r>
        <w:rPr>
          <w:b/>
          <w:bCs/>
        </w:rPr>
        <w:t xml:space="preserve">“X copulated with Y: Z was born”</w:t>
      </w:r>
      <w:r>
        <w:t xml:space="preserve">. This formula is explicitly present throughout the Santiago Staff according to Steven Fischer’s analysis. He identified glyph</w:t>
      </w:r>
      <w:r>
        <w:t xml:space="preserve"> </w:t>
      </w:r>
      <w:r>
        <w:rPr>
          <w:b/>
          <w:bCs/>
        </w:rPr>
        <w:t xml:space="preserve">76</w:t>
      </w:r>
      <w:r>
        <w:t xml:space="preserve"> </w:t>
      </w:r>
      <w:r>
        <w:t xml:space="preserve">as a phallic symbol meaning “copulate” and argued that the Staff is essentially a long</w:t>
      </w:r>
      <w:r>
        <w:t xml:space="preserve"> </w:t>
      </w:r>
      <w:r>
        <w:rPr>
          <w:b/>
          <w:bCs/>
        </w:rPr>
        <w:t xml:space="preserve">creation chant</w:t>
      </w:r>
      <w:r>
        <w:t xml:space="preserve"> </w:t>
      </w:r>
      <w:r>
        <w:t xml:space="preserve">composed of</w:t>
      </w:r>
      <w:r>
        <w:t xml:space="preserve"> </w:t>
      </w:r>
      <w:r>
        <w:rPr>
          <w:i/>
          <w:iCs/>
        </w:rPr>
        <w:t xml:space="preserve">hundreds</w:t>
      </w:r>
      <w:r>
        <w:t xml:space="preserve"> </w:t>
      </w:r>
      <w:r>
        <w:t xml:space="preserve">of such tripartite statements</w:t>
      </w:r>
      <w:hyperlink r:id="rId28">
        <w:r>
          <w:rPr>
            <w:rStyle w:val="Hyperlink"/>
          </w:rPr>
          <w:t xml:space="preserve">[7]</w:t>
        </w:r>
      </w:hyperlink>
      <w:r>
        <w:t xml:space="preserve">. In Fischer’s reading, each segment on the Staff has the pattern</w:t>
      </w:r>
      <w:r>
        <w:t xml:space="preserve"> </w:t>
      </w:r>
      <w:r>
        <w:rPr>
          <w:b/>
          <w:bCs/>
        </w:rPr>
        <w:t xml:space="preserve">X–76–Y … Z</w:t>
      </w:r>
      <w:r>
        <w:t xml:space="preserve">, which he interprets as</w:t>
      </w:r>
      <w:r>
        <w:t xml:space="preserve"> </w:t>
      </w:r>
      <w:r>
        <w:rPr>
          <w:i/>
          <w:iCs/>
        </w:rPr>
        <w:t xml:space="preserve">“X copulated with Y, [and] Z resulted”</w:t>
      </w:r>
      <w:hyperlink r:id="rId28">
        <w:r>
          <w:rPr>
            <w:rStyle w:val="Hyperlink"/>
          </w:rPr>
          <w:t xml:space="preserve">[7]</w:t>
        </w:r>
      </w:hyperlink>
      <w:r>
        <w:t xml:space="preserve">. The</w:t>
      </w:r>
      <w:r>
        <w:t xml:space="preserve"> </w:t>
      </w:r>
      <w:r>
        <w:rPr>
          <w:i/>
          <w:iCs/>
        </w:rPr>
        <w:t xml:space="preserve">paradigm example</w:t>
      </w:r>
      <w:r>
        <w:t xml:space="preserve"> </w:t>
      </w:r>
      <w:r>
        <w:t xml:space="preserve">he gives is the sequence</w:t>
      </w:r>
      <w:r>
        <w:t xml:space="preserve"> </w:t>
      </w:r>
      <w:r>
        <w:rPr>
          <w:b/>
          <w:bCs/>
        </w:rPr>
        <w:t xml:space="preserve">606.76 700 8</w:t>
      </w:r>
      <w:r>
        <w:t xml:space="preserve">, found in line 12 of the Staff</w:t>
      </w:r>
      <w:hyperlink r:id="rId29">
        <w:r>
          <w:rPr>
            <w:rStyle w:val="Hyperlink"/>
          </w:rPr>
          <w:t xml:space="preserve">[8]</w:t>
        </w:r>
      </w:hyperlink>
      <w:r>
        <w:t xml:space="preserve">. Glyph</w:t>
      </w:r>
      <w:r>
        <w:t xml:space="preserve"> </w:t>
      </w:r>
      <w:r>
        <w:rPr>
          <w:b/>
          <w:bCs/>
        </w:rPr>
        <w:t xml:space="preserve">606</w:t>
      </w:r>
      <w:r>
        <w:t xml:space="preserve"> </w:t>
      </w:r>
      <w:r>
        <w:t xml:space="preserve">is a compound “bird” glyph,</w:t>
      </w:r>
      <w:r>
        <w:t xml:space="preserve"> </w:t>
      </w:r>
      <w:r>
        <w:rPr>
          <w:b/>
          <w:bCs/>
        </w:rPr>
        <w:t xml:space="preserve">76</w:t>
      </w:r>
      <w:r>
        <w:t xml:space="preserve"> </w:t>
      </w:r>
      <w:r>
        <w:t xml:space="preserve">is the copulation sign,</w:t>
      </w:r>
      <w:r>
        <w:t xml:space="preserve"> </w:t>
      </w:r>
      <w:r>
        <w:rPr>
          <w:b/>
          <w:bCs/>
        </w:rPr>
        <w:t xml:space="preserve">700</w:t>
      </w:r>
      <w:r>
        <w:t xml:space="preserve"> </w:t>
      </w:r>
      <w:r>
        <w:t xml:space="preserve">is a “fish” glyph, and</w:t>
      </w:r>
      <w:r>
        <w:t xml:space="preserve"> </w:t>
      </w:r>
      <w:r>
        <w:rPr>
          <w:b/>
          <w:bCs/>
        </w:rPr>
        <w:t xml:space="preserve">8</w:t>
      </w:r>
      <w:r>
        <w:t xml:space="preserve"> </w:t>
      </w:r>
      <w:r>
        <w:t xml:space="preserve">is the “sun” glyph. According to Fischer, this yields the sentence</w:t>
      </w:r>
      <w:r>
        <w:t xml:space="preserve"> </w:t>
      </w:r>
      <w:r>
        <w:rPr>
          <w:i/>
          <w:iCs/>
        </w:rPr>
        <w:t xml:space="preserve">“All the birds copulated with the fish; the sun was born.”</w:t>
      </w:r>
      <w:hyperlink r:id="rId23">
        <w:r>
          <w:rPr>
            <w:rStyle w:val="Hyperlink"/>
          </w:rPr>
          <w:t xml:space="preserve">[3]</w:t>
        </w:r>
      </w:hyperlink>
      <w:hyperlink r:id="rId30">
        <w:r>
          <w:rPr>
            <w:rStyle w:val="Hyperlink"/>
          </w:rPr>
          <w:t xml:space="preserve">[9]</w:t>
        </w:r>
      </w:hyperlink>
      <w:r>
        <w:t xml:space="preserve">. The Staff contains many such sequences with varying actors and outcomes, giving it a strong genealogical or cosmogonic flavor.</w:t>
      </w:r>
    </w:p>
    <w:p>
      <w:pPr>
        <w:pStyle w:val="BodyText"/>
      </w:pPr>
      <w:r>
        <w:t xml:space="preserve">Notably, this</w:t>
      </w:r>
      <w:r>
        <w:t xml:space="preserve"> </w:t>
      </w:r>
      <w:r>
        <w:rPr>
          <w:b/>
          <w:bCs/>
        </w:rPr>
        <w:t xml:space="preserve">X–‘phallus’–Y → Z</w:t>
      </w:r>
      <w:r>
        <w:t xml:space="preserve"> </w:t>
      </w:r>
      <w:r>
        <w:t xml:space="preserve">construction has a direct parallel in Rapa Nui oral literature. The traditional chant</w:t>
      </w:r>
      <w:r>
        <w:t xml:space="preserve"> </w:t>
      </w:r>
      <w:r>
        <w:rPr>
          <w:i/>
          <w:iCs/>
        </w:rPr>
        <w:t xml:space="preserve">Atua Matariri</w:t>
      </w:r>
      <w:r>
        <w:t xml:space="preserve"> </w:t>
      </w:r>
      <w:r>
        <w:t xml:space="preserve">(recorded by Thomson in the 19th century) is</w:t>
      </w:r>
      <w:r>
        <w:t xml:space="preserve"> </w:t>
      </w:r>
      <w:r>
        <w:rPr>
          <w:i/>
          <w:iCs/>
        </w:rPr>
        <w:t xml:space="preserve">exactly</w:t>
      </w:r>
      <w:r>
        <w:t xml:space="preserve"> </w:t>
      </w:r>
      <w:r>
        <w:t xml:space="preserve">of this form: each verse goes</w:t>
      </w:r>
      <w:r>
        <w:t xml:space="preserve"> </w:t>
      </w:r>
      <w:r>
        <w:rPr>
          <w:i/>
          <w:iCs/>
        </w:rPr>
        <w:t xml:space="preserve">“X ki ‘ai ki roto Y, ka pû te Z”</w:t>
      </w:r>
      <w:r>
        <w:t xml:space="preserve">, meaning</w:t>
      </w:r>
      <w:r>
        <w:t xml:space="preserve"> </w:t>
      </w:r>
      <w:r>
        <w:rPr>
          <w:i/>
          <w:iCs/>
        </w:rPr>
        <w:t xml:space="preserve">“X by copulating with Y produced Z”</w:t>
      </w:r>
      <w:hyperlink r:id="rId31">
        <w:r>
          <w:rPr>
            <w:rStyle w:val="Hyperlink"/>
          </w:rPr>
          <w:t xml:space="preserve">[10]</w:t>
        </w:r>
      </w:hyperlink>
      <w:r>
        <w:t xml:space="preserve">. For example, one verse of that chant says</w:t>
      </w:r>
      <w:r>
        <w:t xml:space="preserve"> </w:t>
      </w:r>
      <w:r>
        <w:rPr>
          <w:i/>
          <w:iCs/>
        </w:rPr>
        <w:t xml:space="preserve">“Moon (?) by copulating with Darkness (?) produced Sun”</w:t>
      </w:r>
      <w:hyperlink r:id="rId31">
        <w:r>
          <w:rPr>
            <w:rStyle w:val="Hyperlink"/>
          </w:rPr>
          <w:t xml:space="preserve">[11]</w:t>
        </w:r>
      </w:hyperlink>
      <w:r>
        <w:t xml:space="preserve">. Such lines enumerate mythological procreations of gods, creatures, and elements – a pattern</w:t>
      </w:r>
      <w:r>
        <w:t xml:space="preserve"> </w:t>
      </w:r>
      <w:r>
        <w:rPr>
          <w:b/>
          <w:bCs/>
        </w:rPr>
        <w:t xml:space="preserve">mirrored by the Staff’s content</w:t>
      </w:r>
      <w:r>
        <w:t xml:space="preserve"> </w:t>
      </w:r>
      <w:r>
        <w:t xml:space="preserve">as Fischer interprets it</w:t>
      </w:r>
      <w:hyperlink r:id="rId32">
        <w:r>
          <w:rPr>
            <w:rStyle w:val="Hyperlink"/>
          </w:rPr>
          <w:t xml:space="preserve">[12]</w:t>
        </w:r>
      </w:hyperlink>
      <w:hyperlink r:id="rId30">
        <w:r>
          <w:rPr>
            <w:rStyle w:val="Hyperlink"/>
          </w:rPr>
          <w:t xml:space="preserve">[9]</w:t>
        </w:r>
      </w:hyperlink>
      <w:r>
        <w:t xml:space="preserve">. This strongly suggests that Text I is encoding cosmogonic or genealogical</w:t>
      </w:r>
      <w:r>
        <w:t xml:space="preserve"> </w:t>
      </w:r>
      <w:r>
        <w:rPr>
          <w:b/>
          <w:bCs/>
        </w:rPr>
        <w:t xml:space="preserve">“begetting” formulas</w:t>
      </w:r>
      <w:r>
        <w:t xml:space="preserve">, a hallmark of Polynesian mythic genealogies (where elemental entities give rise to new entities via mating or coupling).</w:t>
      </w:r>
    </w:p>
    <w:p>
      <w:pPr>
        <w:pStyle w:val="BodyText"/>
      </w:pPr>
      <w:r>
        <w:t xml:space="preserve">Does</w:t>
      </w:r>
      <w:r>
        <w:t xml:space="preserve"> </w:t>
      </w:r>
      <w:r>
        <w:rPr>
          <w:b/>
          <w:bCs/>
        </w:rPr>
        <w:t xml:space="preserve">Text B (Aruku Kurenga)</w:t>
      </w:r>
      <w:r>
        <w:t xml:space="preserve"> </w:t>
      </w:r>
      <w:r>
        <w:t xml:space="preserve">show a similar formulaic structure? The presence of the triple-repeated passage hints that it might. If Text B’s three variants are the same “verse” repeated, that verse likely follows a similar internal syntax. While we do not have a fully decoded reading of Aruku Kurenga, we know from its Barthel transcription that the repeated fragment begins with a</w:t>
      </w:r>
      <w:r>
        <w:t xml:space="preserve"> </w:t>
      </w:r>
      <w:r>
        <w:rPr>
          <w:b/>
          <w:bCs/>
        </w:rPr>
        <w:t xml:space="preserve">human/anthropomorphic glyph sequence</w:t>
      </w:r>
      <w:r>
        <w:t xml:space="preserve"> </w:t>
      </w:r>
      <w:r>
        <w:t xml:space="preserve">and includes a</w:t>
      </w:r>
      <w:r>
        <w:t xml:space="preserve"> </w:t>
      </w:r>
      <w:r>
        <w:rPr>
          <w:b/>
          <w:bCs/>
        </w:rPr>
        <w:t xml:space="preserve">lozenge-shaped glyph</w:t>
      </w:r>
      <w:r>
        <w:t xml:space="preserve"> </w:t>
      </w:r>
      <w:r>
        <w:t xml:space="preserve">(Barthel 091) that might represent the result or a key name</w:t>
      </w:r>
      <w:hyperlink r:id="rId24">
        <w:r>
          <w:rPr>
            <w:rStyle w:val="Hyperlink"/>
          </w:rPr>
          <w:t xml:space="preserve">[4]</w:t>
        </w:r>
      </w:hyperlink>
      <w:r>
        <w:t xml:space="preserve">. It is plausible that each variant of the sequence is something akin to “A and B begat C,” perhaps using synonyms or different epithets for the participants across the three iterations. Indeed, Butinov and Knorozov theorized that some rongorongo texts (notably a line of the Small Santiago tablet G) are</w:t>
      </w:r>
      <w:r>
        <w:t xml:space="preserve"> </w:t>
      </w:r>
      <w:r>
        <w:rPr>
          <w:b/>
          <w:bCs/>
        </w:rPr>
        <w:t xml:space="preserve">genealogies</w:t>
      </w:r>
      <w:r>
        <w:t xml:space="preserve"> </w:t>
      </w:r>
      <w:r>
        <w:t xml:space="preserve">recorded in a similar tripartite style, but with glyph 76 serving as a</w:t>
      </w:r>
      <w:r>
        <w:t xml:space="preserve"> </w:t>
      </w:r>
      <w:r>
        <w:rPr>
          <w:b/>
          <w:bCs/>
        </w:rPr>
        <w:t xml:space="preserve">patronymic marker</w:t>
      </w:r>
      <w:r>
        <w:t xml:space="preserve"> </w:t>
      </w:r>
      <w:r>
        <w:t xml:space="preserve">(“son of”) rather than a literal mating symbol</w:t>
      </w:r>
      <w:hyperlink r:id="rId33">
        <w:r>
          <w:rPr>
            <w:rStyle w:val="Hyperlink"/>
          </w:rPr>
          <w:t xml:space="preserve">[13]</w:t>
        </w:r>
      </w:hyperlink>
      <w:r>
        <w:t xml:space="preserve">. If that is the case, glyph 76 would still link two names (X 76 Y meaning</w:t>
      </w:r>
      <w:r>
        <w:t xml:space="preserve"> </w:t>
      </w:r>
      <w:r>
        <w:rPr>
          <w:i/>
          <w:iCs/>
        </w:rPr>
        <w:t xml:space="preserve">X, child of Y</w:t>
      </w:r>
      <w:r>
        <w:t xml:space="preserve">), and a third glyph could be the next name in the lineage. Under this interpretation, the formula becomes “X, child of Y; Y, child of Z,” etc., which is structurally a</w:t>
      </w:r>
      <w:r>
        <w:t xml:space="preserve"> </w:t>
      </w:r>
      <w:r>
        <w:rPr>
          <w:i/>
          <w:iCs/>
        </w:rPr>
        <w:t xml:space="preserve">genealogical chain</w:t>
      </w:r>
      <w:r>
        <w:t xml:space="preserve">. Notably, if 76 is a</w:t>
      </w:r>
      <w:r>
        <w:t xml:space="preserve"> </w:t>
      </w:r>
      <w:r>
        <w:rPr>
          <w:b/>
          <w:bCs/>
        </w:rPr>
        <w:t xml:space="preserve">patronymic taxogram</w:t>
      </w:r>
      <w:r>
        <w:t xml:space="preserve"> </w:t>
      </w:r>
      <w:r>
        <w:t xml:space="preserve">(as Butinov &amp; Knorozov suggested), the Santiago Staff’s 564 occurrences of 76</w:t>
      </w:r>
      <w:hyperlink r:id="rId34">
        <w:r>
          <w:rPr>
            <w:rStyle w:val="Hyperlink"/>
          </w:rPr>
          <w:t xml:space="preserve">[14]</w:t>
        </w:r>
      </w:hyperlink>
      <w:r>
        <w:t xml:space="preserve"> </w:t>
      </w:r>
      <w:r>
        <w:t xml:space="preserve">would mean it mostly lists personal names (“So-and-so, son of So-and-so”), and Fischer’s example</w:t>
      </w:r>
      <w:r>
        <w:t xml:space="preserve"> </w:t>
      </w:r>
      <w:r>
        <w:rPr>
          <w:b/>
          <w:bCs/>
        </w:rPr>
        <w:t xml:space="preserve">606.76 700</w:t>
      </w:r>
      <w:r>
        <w:t xml:space="preserve"> </w:t>
      </w:r>
      <w:r>
        <w:t xml:space="preserve">would be read as “(Name) son of 606” with 700 perhaps indicating fate (more on this below)</w:t>
      </w:r>
      <w:hyperlink r:id="rId35">
        <w:r>
          <w:rPr>
            <w:rStyle w:val="Hyperlink"/>
          </w:rPr>
          <w:t xml:space="preserve">[15]</w:t>
        </w:r>
      </w:hyperlink>
      <w:r>
        <w:t xml:space="preserve">.</w:t>
      </w:r>
    </w:p>
    <w:p>
      <w:pPr>
        <w:pStyle w:val="BodyText"/>
      </w:pPr>
      <w:r>
        <w:t xml:space="preserve">In summary,</w:t>
      </w:r>
      <w:r>
        <w:t xml:space="preserve"> </w:t>
      </w:r>
      <w:r>
        <w:rPr>
          <w:b/>
          <w:bCs/>
        </w:rPr>
        <w:t xml:space="preserve">both texts employ a triadic relational structure</w:t>
      </w:r>
      <w:r>
        <w:t xml:space="preserve">. On the Staff it is evidenced by the literal</w:t>
      </w:r>
      <w:r>
        <w:t xml:space="preserve"> </w:t>
      </w:r>
      <w:r>
        <w:rPr>
          <w:i/>
          <w:iCs/>
        </w:rPr>
        <w:t xml:space="preserve">copulation=offspring</w:t>
      </w:r>
      <w:r>
        <w:t xml:space="preserve"> </w:t>
      </w:r>
      <w:r>
        <w:t xml:space="preserve">formula (a cosmogony of gods/animals: e.g., “birds + fish ⇒ sun”)</w:t>
      </w:r>
      <w:hyperlink r:id="rId30">
        <w:r>
          <w:rPr>
            <w:rStyle w:val="Hyperlink"/>
          </w:rPr>
          <w:t xml:space="preserve">[9]</w:t>
        </w:r>
      </w:hyperlink>
      <w:r>
        <w:t xml:space="preserve">, and on Aruku Kurenga it likely manifests as either the same cosmogonic trope or a lineage recital (e.g., “Ancestor A with Ancestor B ⇒ Descendant C”). The crucial glyph here is</w:t>
      </w:r>
      <w:r>
        <w:t xml:space="preserve"> </w:t>
      </w:r>
      <w:r>
        <w:rPr>
          <w:b/>
          <w:bCs/>
        </w:rPr>
        <w:t xml:space="preserve">76 (the phallus)</w:t>
      </w:r>
      <w:r>
        <w:t xml:space="preserve">, which in</w:t>
      </w:r>
      <w:r>
        <w:t xml:space="preserve"> </w:t>
      </w:r>
      <w:r>
        <w:rPr>
          <w:b/>
          <w:bCs/>
        </w:rPr>
        <w:t xml:space="preserve">both texts serves as the link</w:t>
      </w:r>
      <w:r>
        <w:t xml:space="preserve"> </w:t>
      </w:r>
      <w:r>
        <w:t xml:space="preserve">between two other glyphs. Below is a comparison of a representative triadic sequence from each text: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Example Sequence (Triplet Format)</w:t>
            </w:r>
          </w:p>
        </w:tc>
        <w:tc>
          <w:tcPr/>
          <w:p>
            <w:pPr>
              <w:pStyle w:val="Compact"/>
            </w:pPr>
            <w:r>
              <w:rPr>
                <w:b/>
                <w:bCs/>
              </w:rPr>
              <w:t xml:space="preserve">Text I (Santiago Staff)</w:t>
            </w:r>
            <w:r>
              <w:t xml:space="preserve"> </w:t>
            </w:r>
            <w:r>
              <w:t xml:space="preserve">– Creation Chant Formula</w:t>
            </w:r>
          </w:p>
        </w:tc>
        <w:tc>
          <w:tcPr/>
          <w:p>
            <w:pPr>
              <w:pStyle w:val="Compact"/>
            </w:pPr>
            <w:r>
              <w:rPr>
                <w:b/>
                <w:bCs/>
              </w:rPr>
              <w:t xml:space="preserve">Text B (Aruku Kurenga)</w:t>
            </w:r>
            <w:r>
              <w:t xml:space="preserve"> </w:t>
            </w:r>
            <w:r>
              <w:t xml:space="preserve">– Repeated Sequence (3 Variants)</w:t>
            </w:r>
          </w:p>
        </w:tc>
      </w:tr>
      <w:tr>
        <w:tc>
          <w:tcPr/>
          <w:p>
            <w:pPr>
              <w:pStyle w:val="Compact"/>
            </w:pPr>
            <w:r>
              <w:rPr>
                <w:b/>
                <w:bCs/>
              </w:rPr>
              <w:t xml:space="preserve">Structure</w:t>
            </w:r>
          </w:p>
        </w:tc>
        <w:tc>
          <w:tcPr/>
          <w:p>
            <w:pPr>
              <w:pStyle w:val="Compact"/>
            </w:pPr>
            <w:r>
              <w:t xml:space="preserve">X</w:t>
            </w:r>
            <w:r>
              <w:t xml:space="preserve"> </w:t>
            </w:r>
            <w:r>
              <w:rPr>
                <w:b/>
                <w:bCs/>
              </w:rPr>
              <w:t xml:space="preserve">76</w:t>
            </w:r>
            <w:r>
              <w:t xml:space="preserve"> </w:t>
            </w:r>
            <w:r>
              <w:t xml:space="preserve">Y → Z (X copulated with Y; Z resulted)</w:t>
            </w:r>
          </w:p>
        </w:tc>
        <w:tc>
          <w:tcPr/>
          <w:p>
            <w:pPr>
              <w:pStyle w:val="Compact"/>
            </w:pPr>
            <w:r>
              <w:t xml:space="preserve">X</w:t>
            </w:r>
            <w:r>
              <w:t xml:space="preserve"> </w:t>
            </w:r>
            <w:r>
              <w:rPr>
                <w:b/>
                <w:bCs/>
              </w:rPr>
              <w:t xml:space="preserve">…</w:t>
            </w:r>
            <w:r>
              <w:t xml:space="preserve"> </w:t>
            </w:r>
            <w:r>
              <w:t xml:space="preserve">Y → Z (likely similar relational formula)</w:t>
            </w:r>
          </w:p>
        </w:tc>
      </w:tr>
      <w:tr>
        <w:tc>
          <w:tcPr/>
          <w:p>
            <w:pPr>
              <w:pStyle w:val="Compact"/>
            </w:pPr>
            <w:r>
              <w:rPr>
                <w:b/>
                <w:bCs/>
              </w:rPr>
              <w:t xml:space="preserve">Specific Example</w:t>
            </w:r>
          </w:p>
        </w:tc>
        <w:tc>
          <w:tcPr/>
          <w:p>
            <w:pPr>
              <w:pStyle w:val="Compact"/>
            </w:pPr>
            <w:r>
              <w:rPr>
                <w:b/>
                <w:bCs/>
              </w:rPr>
              <w:t xml:space="preserve">606.76 700 8</w:t>
            </w:r>
            <w:r>
              <w:t xml:space="preserve"> </w:t>
            </w:r>
            <w:r>
              <w:t xml:space="preserve">– Glyph 606 (Birds) +</w:t>
            </w:r>
            <w:r>
              <w:t xml:space="preserve"> </w:t>
            </w:r>
            <w:r>
              <w:rPr>
                <w:b/>
                <w:bCs/>
              </w:rPr>
              <w:t xml:space="preserve">76</w:t>
            </w:r>
            <w:r>
              <w:t xml:space="preserve"> </w:t>
            </w:r>
            <w:r>
              <w:t xml:space="preserve">(Copulate) + Glyph 700 (Fish) ⇒ Glyph 8 (Sun)</w:t>
            </w:r>
            <w:hyperlink r:id="rId23">
              <w:r>
                <w:rPr>
                  <w:rStyle w:val="Hyperlink"/>
                </w:rPr>
                <w:t xml:space="preserve">[3]</w:t>
              </w:r>
            </w:hyperlink>
            <w:hyperlink r:id="rId30">
              <w:r>
                <w:rPr>
                  <w:rStyle w:val="Hyperlink"/>
                </w:rPr>
                <w:t xml:space="preserve">[9]</w:t>
              </w:r>
            </w:hyperlink>
            <w:r>
              <w:t xml:space="preserve">. &lt;br/&gt;</w:t>
            </w:r>
            <w:r>
              <w:rPr>
                <w:i/>
                <w:iCs/>
              </w:rPr>
              <w:t xml:space="preserve">Interpretation:</w:t>
            </w:r>
            <w:r>
              <w:t xml:space="preserve"> </w:t>
            </w:r>
            <w:r>
              <w:t xml:space="preserve">“All the birds copulated with the fish; the sun was born.”</w:t>
            </w:r>
          </w:p>
        </w:tc>
        <w:tc>
          <w:tcPr/>
          <w:p>
            <w:pPr>
              <w:pStyle w:val="Compact"/>
            </w:pPr>
            <w:r>
              <w:rPr>
                <w:b/>
                <w:bCs/>
              </w:rPr>
              <w:t xml:space="preserve">(003.001)-470-091</w:t>
            </w:r>
            <w:r>
              <w:t xml:space="preserve"> </w:t>
            </w:r>
            <w:r>
              <w:t xml:space="preserve">(Barthel notation) – Composite glyph 003.001 (Eye + Person), followed by glyph 470 and a subscript 091t</w:t>
            </w:r>
            <w:hyperlink r:id="rId24">
              <w:r>
                <w:rPr>
                  <w:rStyle w:val="Hyperlink"/>
                </w:rPr>
                <w:t xml:space="preserve">[4]</w:t>
              </w:r>
            </w:hyperlink>
            <w:r>
              <w:t xml:space="preserve">. &lt;br/&gt;</w:t>
            </w:r>
            <w:r>
              <w:rPr>
                <w:i/>
                <w:iCs/>
              </w:rPr>
              <w:t xml:space="preserve">Interpretation:</w:t>
            </w:r>
            <w:r>
              <w:t xml:space="preserve"> </w:t>
            </w:r>
            <w:r>
              <w:t xml:space="preserve">(Unknown exact meaning; this sequence is repeated three times with slight variations, indicating a formulaic narrative or genealogy involving an “Eye-Person” and another entity, possibly yielding or relating to the entity signified by glyph 091.)</w:t>
            </w:r>
          </w:p>
        </w:tc>
      </w:tr>
    </w:tbl>
    <w:p>
      <w:pPr>
        <w:pStyle w:val="BodyText"/>
      </w:pPr>
      <w:r>
        <w:rPr>
          <w:i/>
          <w:iCs/>
        </w:rPr>
        <w:t xml:space="preserve">Table: Comparison of a formulaic sequence from Text I and the analogous repeated sequence structure in Text B.</w:t>
      </w:r>
    </w:p>
    <w:p>
      <w:pPr>
        <w:pStyle w:val="BodyText"/>
      </w:pPr>
      <w:r>
        <w:t xml:space="preserve">The table highlights how Text I explicitly uses the</w:t>
      </w:r>
      <w:r>
        <w:t xml:space="preserve"> </w:t>
      </w:r>
      <w:r>
        <w:rPr>
          <w:b/>
          <w:bCs/>
        </w:rPr>
        <w:t xml:space="preserve">X–76–Y = Z</w:t>
      </w:r>
      <w:r>
        <w:t xml:space="preserve"> </w:t>
      </w:r>
      <w:r>
        <w:t xml:space="preserve">format, while Text B shows a repeated structured sequence that likely fits a comparable pattern (though not yet phonetically deciphered). In both cases, the</w:t>
      </w:r>
      <w:r>
        <w:t xml:space="preserve"> </w:t>
      </w:r>
      <w:r>
        <w:rPr>
          <w:b/>
          <w:bCs/>
        </w:rPr>
        <w:t xml:space="preserve">pattern involves three main components</w:t>
      </w:r>
      <w:r>
        <w:t xml:space="preserve"> </w:t>
      </w:r>
      <w:r>
        <w:t xml:space="preserve">(two initial entities and a third that follows from them), aligning perfectly with the</w:t>
      </w:r>
      <w:r>
        <w:t xml:space="preserve"> </w:t>
      </w:r>
      <w:r>
        <w:rPr>
          <w:b/>
          <w:bCs/>
        </w:rPr>
        <w:t xml:space="preserve">“X with Y produced Z”</w:t>
      </w:r>
      <w:r>
        <w:t xml:space="preserve"> </w:t>
      </w:r>
      <w:r>
        <w:t xml:space="preserve">model. This cross-correlation strongly suggests that</w:t>
      </w:r>
      <w:r>
        <w:t xml:space="preserve"> </w:t>
      </w:r>
      <w:r>
        <w:rPr>
          <w:i/>
          <w:iCs/>
        </w:rPr>
        <w:t xml:space="preserve">both</w:t>
      </w:r>
      <w:r>
        <w:t xml:space="preserve"> </w:t>
      </w:r>
      <w:r>
        <w:t xml:space="preserve">texts encode</w:t>
      </w:r>
      <w:r>
        <w:t xml:space="preserve"> </w:t>
      </w:r>
      <w:r>
        <w:rPr>
          <w:b/>
          <w:bCs/>
        </w:rPr>
        <w:t xml:space="preserve">cosmogonic or genealogical information using a shared formulaic syntax</w:t>
      </w:r>
      <w:r>
        <w:t xml:space="preserve">.</w:t>
      </w:r>
    </w:p>
    <w:bookmarkEnd w:id="36"/>
    <w:bookmarkStart w:id="42" w:name="X0e52aaacf55d3075d06b0ec332f6b0ffc2ea435"/>
    <w:p>
      <w:pPr>
        <w:pStyle w:val="Heading2"/>
      </w:pPr>
      <w:r>
        <w:t xml:space="preserve">Parallel Segment Markers and Thematic Overlaps</w:t>
      </w:r>
    </w:p>
    <w:p>
      <w:pPr>
        <w:pStyle w:val="FirstParagraph"/>
      </w:pPr>
      <w:r>
        <w:t xml:space="preserve">Beyond the internal formula of each phrase, the way</w:t>
      </w:r>
      <w:r>
        <w:t xml:space="preserve"> </w:t>
      </w:r>
      <w:r>
        <w:rPr>
          <w:b/>
          <w:bCs/>
        </w:rPr>
        <w:t xml:space="preserve">segments are demarcated</w:t>
      </w:r>
      <w:r>
        <w:t xml:space="preserve"> </w:t>
      </w:r>
      <w:r>
        <w:t xml:space="preserve">and the</w:t>
      </w:r>
      <w:r>
        <w:t xml:space="preserve"> </w:t>
      </w:r>
      <w:r>
        <w:rPr>
          <w:b/>
          <w:bCs/>
        </w:rPr>
        <w:t xml:space="preserve">themes</w:t>
      </w:r>
      <w:r>
        <w:t xml:space="preserve"> </w:t>
      </w:r>
      <w:r>
        <w:t xml:space="preserve">those segments convey also align between Text I and Text B:</w:t>
      </w:r>
    </w:p>
    <w:p>
      <w:pPr>
        <w:numPr>
          <w:ilvl w:val="0"/>
          <w:numId w:val="1001"/>
        </w:numPr>
      </w:pPr>
      <w:r>
        <w:rPr>
          <w:b/>
          <w:bCs/>
        </w:rPr>
        <w:t xml:space="preserve">Segment Markers</w:t>
      </w:r>
      <w:r>
        <w:t xml:space="preserve">: The Santiago Staff is physically marked with vertical lines</w:t>
      </w:r>
      <w:r>
        <w:t xml:space="preserve"> </w:t>
      </w:r>
      <w:r>
        <w:rPr>
          <w:rStyle w:val="VerbatimChar"/>
        </w:rPr>
        <w:t xml:space="preserve">|</w:t>
      </w:r>
      <w:r>
        <w:t xml:space="preserve"> </w:t>
      </w:r>
      <w:r>
        <w:t xml:space="preserve">that occur at regular intervals,</w:t>
      </w:r>
      <w:r>
        <w:t xml:space="preserve"> </w:t>
      </w:r>
      <w:r>
        <w:rPr>
          <w:b/>
          <w:bCs/>
        </w:rPr>
        <w:t xml:space="preserve">103</w:t>
      </w:r>
      <w:r>
        <w:t xml:space="preserve"> </w:t>
      </w:r>
      <w:r>
        <w:t xml:space="preserve">times in total</w:t>
      </w:r>
      <w:hyperlink r:id="rId21">
        <w:r>
          <w:rPr>
            <w:rStyle w:val="Hyperlink"/>
          </w:rPr>
          <w:t xml:space="preserve">[1]</w:t>
        </w:r>
      </w:hyperlink>
      <w:r>
        <w:t xml:space="preserve">. Fischer believes these bars divide the text into sections or verses, each containing one of the creation chant formulas. Indeed, many of the Staff’s sections consist of</w:t>
      </w:r>
      <w:r>
        <w:t xml:space="preserve"> </w:t>
      </w:r>
      <w:r>
        <w:rPr>
          <w:b/>
          <w:bCs/>
        </w:rPr>
        <w:t xml:space="preserve">three glyphs (a triplet)</w:t>
      </w:r>
      <w:r>
        <w:t xml:space="preserve"> </w:t>
      </w:r>
      <w:r>
        <w:t xml:space="preserve">or multiples of three, often with glyph 76 attached to the first glyph of the section</w:t>
      </w:r>
      <w:hyperlink r:id="rId37">
        <w:r>
          <w:rPr>
            <w:rStyle w:val="Hyperlink"/>
          </w:rPr>
          <w:t xml:space="preserve">[16]</w:t>
        </w:r>
      </w:hyperlink>
      <w:r>
        <w:t xml:space="preserve">. This means the Staff’s scribe intentionally separated each</w:t>
      </w:r>
      <w:r>
        <w:t xml:space="preserve"> </w:t>
      </w:r>
      <w:r>
        <w:rPr>
          <w:i/>
          <w:iCs/>
        </w:rPr>
        <w:t xml:space="preserve">X–76–Y Z</w:t>
      </w:r>
      <w:r>
        <w:t xml:space="preserve"> </w:t>
      </w:r>
      <w:r>
        <w:t xml:space="preserve">statement, reinforcing the idea of a list of verses or entries. In Aruku Kurenga, no such carved divider exists – the text flows continuously – but the repetition of the</w:t>
      </w:r>
      <w:r>
        <w:t xml:space="preserve"> </w:t>
      </w:r>
      <w:r>
        <w:rPr>
          <w:i/>
          <w:iCs/>
        </w:rPr>
        <w:t xml:space="preserve">same sequence</w:t>
      </w:r>
      <w:r>
        <w:t xml:space="preserve"> </w:t>
      </w:r>
      <w:r>
        <w:t xml:space="preserve">three times in a row serves a similar purpose. It implies three parallel</w:t>
      </w:r>
      <w:r>
        <w:t xml:space="preserve"> </w:t>
      </w:r>
      <w:r>
        <w:rPr>
          <w:b/>
          <w:bCs/>
        </w:rPr>
        <w:t xml:space="preserve">verses or entries</w:t>
      </w:r>
      <w:r>
        <w:t xml:space="preserve"> </w:t>
      </w:r>
      <w:r>
        <w:t xml:space="preserve">in the narrative. The beginning of that repeated passage is marked by the</w:t>
      </w:r>
      <w:r>
        <w:t xml:space="preserve"> </w:t>
      </w:r>
      <w:r>
        <w:rPr>
          <w:i/>
          <w:iCs/>
        </w:rPr>
        <w:t xml:space="preserve">same opening glyphs</w:t>
      </w:r>
      <w:r>
        <w:t xml:space="preserve"> </w:t>
      </w:r>
      <w:r>
        <w:t xml:space="preserve">each time (the composite eye-person sign, etc.), effectively acting as a</w:t>
      </w:r>
      <w:r>
        <w:t xml:space="preserve"> </w:t>
      </w:r>
      <w:r>
        <w:rPr>
          <w:b/>
          <w:bCs/>
        </w:rPr>
        <w:t xml:space="preserve">section header</w:t>
      </w:r>
      <w:r>
        <w:t xml:space="preserve"> </w:t>
      </w:r>
      <w:r>
        <w:t xml:space="preserve">in content if not by punctuation</w:t>
      </w:r>
      <w:hyperlink r:id="rId24">
        <w:r>
          <w:rPr>
            <w:rStyle w:val="Hyperlink"/>
          </w:rPr>
          <w:t xml:space="preserve">[4]</w:t>
        </w:r>
      </w:hyperlink>
      <w:r>
        <w:t xml:space="preserve">. Thus, while Text I uses an actual glyph (the vertical bar) as a section marker and Text B uses</w:t>
      </w:r>
      <w:r>
        <w:t xml:space="preserve"> </w:t>
      </w:r>
      <w:r>
        <w:rPr>
          <w:i/>
          <w:iCs/>
        </w:rPr>
        <w:t xml:space="preserve">duplication</w:t>
      </w:r>
      <w:r>
        <w:t xml:space="preserve"> </w:t>
      </w:r>
      <w:r>
        <w:t xml:space="preserve">of content as a sectioning device,</w:t>
      </w:r>
      <w:r>
        <w:t xml:space="preserve"> </w:t>
      </w:r>
      <w:r>
        <w:rPr>
          <w:b/>
          <w:bCs/>
        </w:rPr>
        <w:t xml:space="preserve">both texts clearly break their information into parallel, repeated segments</w:t>
      </w:r>
      <w:r>
        <w:t xml:space="preserve"> </w:t>
      </w:r>
      <w:r>
        <w:t xml:space="preserve">that could correspond to stanzas of a chant, lines of a genealogy, or enumerated episodes of a story.</w:t>
      </w:r>
    </w:p>
    <w:p>
      <w:pPr>
        <w:numPr>
          <w:ilvl w:val="0"/>
          <w:numId w:val="1001"/>
        </w:numPr>
      </w:pPr>
      <w:r>
        <w:rPr>
          <w:b/>
          <w:bCs/>
        </w:rPr>
        <w:t xml:space="preserve">Thematic Overlaps</w:t>
      </w:r>
      <w:r>
        <w:t xml:space="preserve">: The content of those segments in both texts points to</w:t>
      </w:r>
      <w:r>
        <w:t xml:space="preserve"> </w:t>
      </w:r>
      <w:r>
        <w:rPr>
          <w:b/>
          <w:bCs/>
        </w:rPr>
        <w:t xml:space="preserve">cosmogonic, genealogical, or mythic material</w:t>
      </w:r>
      <w:r>
        <w:t xml:space="preserve">. The Staff, according to Fischer, is exclusively</w:t>
      </w:r>
      <w:r>
        <w:t xml:space="preserve"> </w:t>
      </w:r>
      <w:r>
        <w:rPr>
          <w:b/>
          <w:bCs/>
        </w:rPr>
        <w:t xml:space="preserve">creation lore</w:t>
      </w:r>
      <w:r>
        <w:t xml:space="preserve"> </w:t>
      </w:r>
      <w:r>
        <w:t xml:space="preserve">– essentially a litany of how various beings or elements begat others</w:t>
      </w:r>
      <w:hyperlink r:id="rId28">
        <w:r>
          <w:rPr>
            <w:rStyle w:val="Hyperlink"/>
          </w:rPr>
          <w:t xml:space="preserve">[7]</w:t>
        </w:r>
      </w:hyperlink>
      <w:hyperlink r:id="rId30">
        <w:r>
          <w:rPr>
            <w:rStyle w:val="Hyperlink"/>
          </w:rPr>
          <w:t xml:space="preserve">[9]</w:t>
        </w:r>
      </w:hyperlink>
      <w:r>
        <w:t xml:space="preserve">. Even if one rejects the literal “birds and fish created the sun” reading, the high frequency of relational glyph 76 and the presence of many animal and human glyphs strongly indicate some kind of</w:t>
      </w:r>
      <w:r>
        <w:t xml:space="preserve"> </w:t>
      </w:r>
      <w:r>
        <w:rPr>
          <w:b/>
          <w:bCs/>
        </w:rPr>
        <w:t xml:space="preserve">origin list</w:t>
      </w:r>
      <w:r>
        <w:t xml:space="preserve"> </w:t>
      </w:r>
      <w:r>
        <w:t xml:space="preserve">(either mythical ancestors or metaphorical clan origins). Guy (1998) and other scholars have noted that if instead 76 marks parentage (patronymy), the Staff could be a list of</w:t>
      </w:r>
      <w:r>
        <w:t xml:space="preserve"> </w:t>
      </w:r>
      <w:r>
        <w:rPr>
          <w:i/>
          <w:iCs/>
        </w:rPr>
        <w:t xml:space="preserve">ariki</w:t>
      </w:r>
      <w:r>
        <w:t xml:space="preserve"> </w:t>
      </w:r>
      <w:r>
        <w:t xml:space="preserve">(kings) or noble lineage, which is simply the genealogical flip side of a cosmogonic genealogy – instead of gods and animals, it would be human ancestors</w:t>
      </w:r>
      <w:hyperlink r:id="rId38">
        <w:r>
          <w:rPr>
            <w:rStyle w:val="Hyperlink"/>
          </w:rPr>
          <w:t xml:space="preserve">[17]</w:t>
        </w:r>
      </w:hyperlink>
      <w:r>
        <w:t xml:space="preserve">. In either case,</w:t>
      </w:r>
      <w:r>
        <w:t xml:space="preserve"> </w:t>
      </w:r>
      <w:r>
        <w:rPr>
          <w:b/>
          <w:bCs/>
        </w:rPr>
        <w:t xml:space="preserve">Text I encodes genesis — either of the cosmos or of lineages.</w:t>
      </w:r>
      <w:r>
        <w:t xml:space="preserve"> </w:t>
      </w:r>
      <w:r>
        <w:t xml:space="preserve">Text B, by containing one segment three times, suggests it too deals with a significant piece of narrative (possibly an origin myth or royal lineage) that was preserved in variant forms. The fact that</w:t>
      </w:r>
      <w:r>
        <w:t xml:space="preserve"> </w:t>
      </w:r>
      <w:r>
        <w:rPr>
          <w:b/>
          <w:bCs/>
        </w:rPr>
        <w:t xml:space="preserve">Butinov and Knorozov compared the parallel lines on Text B to a genealogy</w:t>
      </w:r>
      <w:r>
        <w:t xml:space="preserve"> </w:t>
      </w:r>
      <w:r>
        <w:t xml:space="preserve">supports the idea that Text B might enumerate names or events in a mythic genealogy</w:t>
      </w:r>
      <w:hyperlink r:id="rId22">
        <w:r>
          <w:rPr>
            <w:rStyle w:val="Hyperlink"/>
          </w:rPr>
          <w:t xml:space="preserve">[2]</w:t>
        </w:r>
      </w:hyperlink>
      <w:r>
        <w:t xml:space="preserve">. Furthermore, Fischer noted that outside the Staff,</w:t>
      </w:r>
      <w:r>
        <w:t xml:space="preserve"> </w:t>
      </w:r>
      <w:r>
        <w:rPr>
          <w:b/>
          <w:bCs/>
        </w:rPr>
        <w:t xml:space="preserve">true triplet patterns with glyph 76 are rare</w:t>
      </w:r>
      <w:r>
        <w:t xml:space="preserve"> </w:t>
      </w:r>
      <w:r>
        <w:t xml:space="preserve">except in one line of tablet G (which is likely genealogical) and in a partially preserved chant on tablet A (possibly cosmogonic)</w:t>
      </w:r>
      <w:hyperlink r:id="rId39">
        <w:r>
          <w:rPr>
            <w:rStyle w:val="Hyperlink"/>
          </w:rPr>
          <w:t xml:space="preserve">[18]</w:t>
        </w:r>
      </w:hyperlink>
      <w:r>
        <w:t xml:space="preserve">. The implication is that Texts I, B (and the G line) belong to a subset of texts dealing with</w:t>
      </w:r>
      <w:r>
        <w:t xml:space="preserve"> </w:t>
      </w:r>
      <w:r>
        <w:rPr>
          <w:b/>
          <w:bCs/>
        </w:rPr>
        <w:t xml:space="preserve">cosmogony/genealogy</w:t>
      </w:r>
      <w:r>
        <w:t xml:space="preserve">, whereas many other tablets have different content. This thematic clustering strengthens the correlation between the Staff and Aruku Kurenga:</w:t>
      </w:r>
      <w:r>
        <w:t xml:space="preserve"> </w:t>
      </w:r>
      <w:r>
        <w:rPr>
          <w:b/>
          <w:bCs/>
        </w:rPr>
        <w:t xml:space="preserve">both are part of a “mythico-genealogical” corpus within rongorongo</w:t>
      </w:r>
      <w:r>
        <w:t xml:space="preserve">.</w:t>
      </w:r>
    </w:p>
    <w:p>
      <w:pPr>
        <w:numPr>
          <w:ilvl w:val="0"/>
          <w:numId w:val="1001"/>
        </w:numPr>
      </w:pPr>
      <w:r>
        <w:rPr>
          <w:b/>
          <w:bCs/>
        </w:rPr>
        <w:t xml:space="preserve">Repeated Narrative Frames</w:t>
      </w:r>
      <w:r>
        <w:t xml:space="preserve">: Each text exhibits internal</w:t>
      </w:r>
      <w:r>
        <w:t xml:space="preserve"> </w:t>
      </w:r>
      <w:r>
        <w:rPr>
          <w:i/>
          <w:iCs/>
        </w:rPr>
        <w:t xml:space="preserve">parallelism</w:t>
      </w:r>
      <w:r>
        <w:t xml:space="preserve"> </w:t>
      </w:r>
      <w:r>
        <w:t xml:space="preserve">that could reflect a mnemonic or poetic device. On the Staff, nearly every section follows the same narrative frame (“[Entity 1] did something with [Entity 2]: [Result]” or “[Name] son of [Name]”), creating a</w:t>
      </w:r>
      <w:r>
        <w:t xml:space="preserve"> </w:t>
      </w:r>
      <w:r>
        <w:rPr>
          <w:b/>
          <w:bCs/>
        </w:rPr>
        <w:t xml:space="preserve">rhythmic, list-like composition</w:t>
      </w:r>
      <w:r>
        <w:t xml:space="preserve">. Aruku Kurenga’s triple repetition takes this a step further by literally copying a narrative frame verbatim. This could indicate a</w:t>
      </w:r>
      <w:r>
        <w:t xml:space="preserve"> </w:t>
      </w:r>
      <w:r>
        <w:rPr>
          <w:b/>
          <w:bCs/>
        </w:rPr>
        <w:t xml:space="preserve">chorus or refrain</w:t>
      </w:r>
      <w:r>
        <w:t xml:space="preserve"> </w:t>
      </w:r>
      <w:r>
        <w:t xml:space="preserve">in the oral tradition: perhaps the tablet records a chant where a line was traditionally sung multiple times. Alternatively, it might indicate the scribe’s attempt to record</w:t>
      </w:r>
      <w:r>
        <w:t xml:space="preserve"> </w:t>
      </w:r>
      <w:r>
        <w:rPr>
          <w:b/>
          <w:bCs/>
        </w:rPr>
        <w:t xml:space="preserve">variant versions of a tradition</w:t>
      </w:r>
      <w:r>
        <w:t xml:space="preserve"> </w:t>
      </w:r>
      <w:r>
        <w:t xml:space="preserve">– for instance, three slightly different genealogical lines or mythic episodes that correspond (imagine a story told in three dialects or by three informants, all inscribed together). In either scenario, the presence of parallel frames in both texts underscores their function as repositories of structured oral knowledge (as opposed to free prose or unique narratives). We see, for example, that in Aruku Kurenga’s repeated sequence, certain glyphs maintain their relative position across the three iterations, suggesting a stable narrative scaffold, while others are “floating” or change form (like the bird-headed vs. gaping-mouth anthropomorph)</w:t>
      </w:r>
      <w:hyperlink r:id="rId25">
        <w:r>
          <w:rPr>
            <w:rStyle w:val="Hyperlink"/>
          </w:rPr>
          <w:t xml:space="preserve">[5]</w:t>
        </w:r>
      </w:hyperlink>
      <w:hyperlink r:id="rId24">
        <w:r>
          <w:rPr>
            <w:rStyle w:val="Hyperlink"/>
          </w:rPr>
          <w:t xml:space="preserve">[4]</w:t>
        </w:r>
      </w:hyperlink>
      <w:r>
        <w:t xml:space="preserve">, suggesting deliberate variation on a theme. This is analogous to the Staff where the “actors” change from verse to verse (bird, fish, turtle, etc.), but the</w:t>
      </w:r>
      <w:r>
        <w:t xml:space="preserve"> </w:t>
      </w:r>
      <w:r>
        <w:rPr>
          <w:i/>
          <w:iCs/>
        </w:rPr>
        <w:t xml:space="preserve">structure</w:t>
      </w:r>
      <w:r>
        <w:t xml:space="preserve"> </w:t>
      </w:r>
      <w:r>
        <w:t xml:space="preserve">(“X copulated with Y produced Z”) remains constant.</w:t>
      </w:r>
    </w:p>
    <w:p>
      <w:pPr>
        <w:numPr>
          <w:ilvl w:val="0"/>
          <w:numId w:val="1001"/>
        </w:numPr>
      </w:pPr>
      <w:r>
        <w:rPr>
          <w:b/>
          <w:bCs/>
        </w:rPr>
        <w:t xml:space="preserve">Cosmogonic and Genealogical Themes</w:t>
      </w:r>
      <w:r>
        <w:t xml:space="preserve">: Looking at specific motifs, we find likely</w:t>
      </w:r>
      <w:r>
        <w:t xml:space="preserve"> </w:t>
      </w:r>
      <w:r>
        <w:rPr>
          <w:b/>
          <w:bCs/>
        </w:rPr>
        <w:t xml:space="preserve">cosmogonic symbols</w:t>
      </w:r>
      <w:r>
        <w:t xml:space="preserve"> </w:t>
      </w:r>
      <w:r>
        <w:t xml:space="preserve">on both tablets. The Staff example explicitly involves the</w:t>
      </w:r>
      <w:r>
        <w:t xml:space="preserve"> </w:t>
      </w:r>
      <w:r>
        <w:rPr>
          <w:b/>
          <w:bCs/>
        </w:rPr>
        <w:t xml:space="preserve">sun</w:t>
      </w:r>
      <w:r>
        <w:t xml:space="preserve"> </w:t>
      </w:r>
      <w:r>
        <w:t xml:space="preserve">(glyph 8) being born</w:t>
      </w:r>
      <w:hyperlink r:id="rId23">
        <w:r>
          <w:rPr>
            <w:rStyle w:val="Hyperlink"/>
          </w:rPr>
          <w:t xml:space="preserve">[3]</w:t>
        </w:r>
      </w:hyperlink>
      <w:r>
        <w:t xml:space="preserve">, which places the content squarely in the realm of creation of celestial bodies. If we scan other parts of the Staff, we would expect to find glyphs for moon (10), stars, perhaps earth or sea (glyph 40 for water appears in rongorongo), etc., consistent with creation mythology. Aruku Kurenga’s content is less understood, but the presence of a</w:t>
      </w:r>
      <w:r>
        <w:t xml:space="preserve"> </w:t>
      </w:r>
      <w:r>
        <w:rPr>
          <w:b/>
          <w:bCs/>
        </w:rPr>
        <w:t xml:space="preserve">lozenge-head glyph 091</w:t>
      </w:r>
      <w:r>
        <w:t xml:space="preserve"> </w:t>
      </w:r>
      <w:r>
        <w:t xml:space="preserve">in the repeated sequence is intriguing – it might represent a star or egg or some concept of birth (lozenge shapes often symbolize seeds or eggs in iconography). Indeed, the lexicon entry for glyph</w:t>
      </w:r>
      <w:r>
        <w:t xml:space="preserve"> </w:t>
      </w:r>
      <w:r>
        <w:rPr>
          <w:b/>
          <w:bCs/>
        </w:rPr>
        <w:t xml:space="preserve">610</w:t>
      </w:r>
      <w:r>
        <w:t xml:space="preserve"> </w:t>
      </w:r>
      <w:r>
        <w:t xml:space="preserve">(which is 600-series like birds) is “egg / beginning / origin”</w:t>
      </w:r>
      <w:hyperlink r:id="rId40">
        <w:r>
          <w:rPr>
            <w:rStyle w:val="Hyperlink"/>
          </w:rPr>
          <w:t xml:space="preserve">[19]</w:t>
        </w:r>
      </w:hyperlink>
      <w:r>
        <w:t xml:space="preserve">, hinting that egg or oval symbols could mark cosmogonic “births”. We don’t know if glyph 091 (lozenge) in Aruku is such a symbol, but its repetition alongside 470 (a glyph with a gaping-mouth head, possibly a mythic creature) might indicate a formula like “Being A and Being B begat Object C (lozenge)”. Moreover, Aruku Kurenga’s text, according to Barthel’s classification, shares content with other tablets that have cosmogonic import. For instance, scholars have noted that Aruku Kurenga (Text B) and the Great Santiago Staff (Text I) are both</w:t>
      </w:r>
      <w:r>
        <w:t xml:space="preserve"> </w:t>
      </w:r>
      <w:r>
        <w:rPr>
          <w:b/>
          <w:bCs/>
        </w:rPr>
        <w:t xml:space="preserve">“class I” texts</w:t>
      </w:r>
      <w:r>
        <w:t xml:space="preserve"> </w:t>
      </w:r>
      <w:r>
        <w:t xml:space="preserve">that differ from astronomical texts like Mamari (Text C) – this further implies Text B’s content is narrative/mythic in nature, much like Text I</w:t>
      </w:r>
      <w:hyperlink r:id="rId26">
        <w:r>
          <w:rPr>
            <w:rStyle w:val="Hyperlink"/>
          </w:rPr>
          <w:t xml:space="preserve">[6]</w:t>
        </w:r>
      </w:hyperlink>
      <w:r>
        <w:t xml:space="preserve">.</w:t>
      </w:r>
    </w:p>
    <w:p>
      <w:pPr>
        <w:pStyle w:val="FirstParagraph"/>
      </w:pPr>
      <w:r>
        <w:t xml:space="preserve">In summary, both texts show</w:t>
      </w:r>
      <w:r>
        <w:t xml:space="preserve"> </w:t>
      </w:r>
      <w:r>
        <w:rPr>
          <w:b/>
          <w:bCs/>
        </w:rPr>
        <w:t xml:space="preserve">parallel structuring of content</w:t>
      </w:r>
      <w:r>
        <w:t xml:space="preserve"> </w:t>
      </w:r>
      <w:r>
        <w:t xml:space="preserve">(segmented, repetitive, formula-driven) and appear to revolve around</w:t>
      </w:r>
      <w:r>
        <w:t xml:space="preserve"> </w:t>
      </w:r>
      <w:r>
        <w:rPr>
          <w:b/>
          <w:bCs/>
        </w:rPr>
        <w:t xml:space="preserve">origin narratives</w:t>
      </w:r>
      <w:r>
        <w:t xml:space="preserve">. The</w:t>
      </w:r>
      <w:r>
        <w:t xml:space="preserve"> </w:t>
      </w:r>
      <w:r>
        <w:rPr>
          <w:b/>
          <w:bCs/>
        </w:rPr>
        <w:t xml:space="preserve">Staff’s story of creation or ancestry</w:t>
      </w:r>
      <w:r>
        <w:t xml:space="preserve"> </w:t>
      </w:r>
      <w:r>
        <w:t xml:space="preserve">finds an echo in Aruku Kurenga’s</w:t>
      </w:r>
      <w:r>
        <w:t xml:space="preserve"> </w:t>
      </w:r>
      <w:r>
        <w:rPr>
          <w:b/>
          <w:bCs/>
        </w:rPr>
        <w:t xml:space="preserve">reiterated account</w:t>
      </w:r>
      <w:r>
        <w:t xml:space="preserve"> </w:t>
      </w:r>
      <w:r>
        <w:t xml:space="preserve">(be it mythic genealogy or cosmology). This overlap is a strong indicator that by deciphering one, we gain insight into the other. If, for instance, “all the birds copulated with the fish; the sun was born” is one verse on the Staff</w:t>
      </w:r>
      <w:hyperlink r:id="rId30">
        <w:r>
          <w:rPr>
            <w:rStyle w:val="Hyperlink"/>
          </w:rPr>
          <w:t xml:space="preserve">[9]</w:t>
        </w:r>
      </w:hyperlink>
      <w:r>
        <w:t xml:space="preserve">, then Aruku Kurenga might contain a comparable verse (perhaps naming specific beings). Indeed, if the Staff is largely cosmogony and Text B is a</w:t>
      </w:r>
      <w:r>
        <w:t xml:space="preserve"> </w:t>
      </w:r>
      <w:r>
        <w:rPr>
          <w:i/>
          <w:iCs/>
        </w:rPr>
        <w:t xml:space="preserve">collation of different texts</w:t>
      </w:r>
      <w:r>
        <w:t xml:space="preserve"> </w:t>
      </w:r>
      <w:r>
        <w:t xml:space="preserve">as Fischer thought</w:t>
      </w:r>
      <w:hyperlink r:id="rId41">
        <w:r>
          <w:rPr>
            <w:rStyle w:val="Hyperlink"/>
          </w:rPr>
          <w:t xml:space="preserve">[20]</w:t>
        </w:r>
      </w:hyperlink>
      <w:r>
        <w:t xml:space="preserve">, one of those texts in B could be a cosmogonic genealogy parallel to the Staff’s. Conversely, if B is a straight genealogy of chiefs, the Staff’s endless</w:t>
      </w:r>
      <w:r>
        <w:t xml:space="preserve"> </w:t>
      </w:r>
      <w:r>
        <w:rPr>
          <w:i/>
          <w:iCs/>
        </w:rPr>
        <w:t xml:space="preserve">“X son of Y”</w:t>
      </w:r>
      <w:r>
        <w:t xml:space="preserve"> </w:t>
      </w:r>
      <w:r>
        <w:t xml:space="preserve">pattern (under the patronymic view) is exactly genealogical in theme.</w:t>
      </w:r>
      <w:r>
        <w:t xml:space="preserve"> </w:t>
      </w:r>
      <w:r>
        <w:rPr>
          <w:b/>
          <w:bCs/>
        </w:rPr>
        <w:t xml:space="preserve">Either way, both texts map onto each other in content type</w:t>
      </w:r>
      <w:r>
        <w:t xml:space="preserve">:</w:t>
      </w:r>
      <w:r>
        <w:t xml:space="preserve"> </w:t>
      </w:r>
      <w:r>
        <w:rPr>
          <w:i/>
          <w:iCs/>
        </w:rPr>
        <w:t xml:space="preserve">they are lists of generative or lineage relationships,</w:t>
      </w:r>
      <w:r>
        <w:t xml:space="preserve"> </w:t>
      </w:r>
      <w:r>
        <w:t xml:space="preserve">not narratives of singular events or dialogues.</w:t>
      </w:r>
    </w:p>
    <w:bookmarkEnd w:id="42"/>
    <w:bookmarkStart w:id="58" w:name="Xf6f1d453fdfd02e551c01f95cfb48ce8e4438cb"/>
    <w:p>
      <w:pPr>
        <w:pStyle w:val="Heading2"/>
      </w:pPr>
      <w:r>
        <w:t xml:space="preserve">Cross-Referencing Glyphs with the Updated Lexicon (Phonetic and Semantic Clues)</w:t>
      </w:r>
    </w:p>
    <w:p>
      <w:pPr>
        <w:pStyle w:val="FirstParagraph"/>
      </w:pPr>
      <w:r>
        <w:t xml:space="preserve">Using the updated glyph lexicon provided, we can delve into the</w:t>
      </w:r>
      <w:r>
        <w:t xml:space="preserve"> </w:t>
      </w:r>
      <w:r>
        <w:rPr>
          <w:b/>
          <w:bCs/>
        </w:rPr>
        <w:t xml:space="preserve">specific glyphs that recur in Text I and Text B</w:t>
      </w:r>
      <w:r>
        <w:t xml:space="preserve">, to interpret their phonetic or semantic roles in context. This cross-reference sheds light on how each glyph contributes to the shared motifs:</w:t>
      </w:r>
    </w:p>
    <w:p>
      <w:pPr>
        <w:numPr>
          <w:ilvl w:val="0"/>
          <w:numId w:val="1002"/>
        </w:numPr>
      </w:pPr>
      <w:r>
        <w:rPr>
          <w:b/>
          <w:bCs/>
        </w:rPr>
        <w:t xml:space="preserve">Glyph 76 – “Phallus; Copulate/Procreate”</w:t>
      </w:r>
      <w:r>
        <w:t xml:space="preserve">: This glyph is depicted as a phallic shape and is one of the most frequent signs on the Staff (occurring</w:t>
      </w:r>
      <w:r>
        <w:t xml:space="preserve"> </w:t>
      </w:r>
      <w:r>
        <w:rPr>
          <w:b/>
          <w:bCs/>
        </w:rPr>
        <w:t xml:space="preserve">564 times</w:t>
      </w:r>
      <w:r>
        <w:t xml:space="preserve">, roughly one-fourth of all glyphs)</w:t>
      </w:r>
      <w:hyperlink r:id="rId34">
        <w:r>
          <w:rPr>
            <w:rStyle w:val="Hyperlink"/>
          </w:rPr>
          <w:t xml:space="preserve">[14]</w:t>
        </w:r>
      </w:hyperlink>
      <w:r>
        <w:t xml:space="preserve">. The lexicon gives its transliterated value as</w:t>
      </w:r>
      <w:r>
        <w:t xml:space="preserve"> </w:t>
      </w:r>
      <w:r>
        <w:rPr>
          <w:i/>
          <w:iCs/>
        </w:rPr>
        <w:t xml:space="preserve">“ai”</w:t>
      </w:r>
      <w:r>
        <w:t xml:space="preserve"> </w:t>
      </w:r>
      <w:r>
        <w:t xml:space="preserve">(Rapanui for</w:t>
      </w:r>
      <w:r>
        <w:t xml:space="preserve"> </w:t>
      </w:r>
      <w:r>
        <w:rPr>
          <w:i/>
          <w:iCs/>
        </w:rPr>
        <w:t xml:space="preserve">copulate, have intercourse</w:t>
      </w:r>
      <w:r>
        <w:t xml:space="preserve">) and also</w:t>
      </w:r>
      <w:r>
        <w:t xml:space="preserve"> </w:t>
      </w:r>
      <w:r>
        <w:rPr>
          <w:i/>
          <w:iCs/>
        </w:rPr>
        <w:t xml:space="preserve">“fanau”</w:t>
      </w:r>
      <w:r>
        <w:t xml:space="preserve"> </w:t>
      </w:r>
      <w:r>
        <w:t xml:space="preserve">(to</w:t>
      </w:r>
      <w:r>
        <w:t xml:space="preserve"> </w:t>
      </w:r>
      <w:r>
        <w:rPr>
          <w:i/>
          <w:iCs/>
        </w:rPr>
        <w:t xml:space="preserve">beget, give birth</w:t>
      </w:r>
      <w:r>
        <w:t xml:space="preserve">)</w:t>
      </w:r>
      <w:hyperlink r:id="rId43">
        <w:r>
          <w:rPr>
            <w:rStyle w:val="Hyperlink"/>
          </w:rPr>
          <w:t xml:space="preserve">[21]</w:t>
        </w:r>
      </w:hyperlink>
      <w:r>
        <w:t xml:space="preserve">, with very high confidence. On the Staff, 76 is the</w:t>
      </w:r>
      <w:r>
        <w:t xml:space="preserve"> </w:t>
      </w:r>
      <w:r>
        <w:rPr>
          <w:b/>
          <w:bCs/>
        </w:rPr>
        <w:t xml:space="preserve">linchpin of the creation formula</w:t>
      </w:r>
      <w:r>
        <w:t xml:space="preserve">, functioning as the verb “to copulate” between two nouns</w:t>
      </w:r>
      <w:hyperlink r:id="rId28">
        <w:r>
          <w:rPr>
            <w:rStyle w:val="Hyperlink"/>
          </w:rPr>
          <w:t xml:space="preserve">[7]</w:t>
        </w:r>
      </w:hyperlink>
      <w:r>
        <w:t xml:space="preserve">. For example,</w:t>
      </w:r>
      <w:r>
        <w:t xml:space="preserve"> </w:t>
      </w:r>
      <w:r>
        <w:rPr>
          <w:i/>
          <w:iCs/>
        </w:rPr>
        <w:t xml:space="preserve">76</w:t>
      </w:r>
      <w:r>
        <w:t xml:space="preserve"> </w:t>
      </w:r>
      <w:r>
        <w:t xml:space="preserve">links “birds” and “fish” to yield “sun” in the earlier example</w:t>
      </w:r>
      <w:hyperlink r:id="rId23">
        <w:r>
          <w:rPr>
            <w:rStyle w:val="Hyperlink"/>
          </w:rPr>
          <w:t xml:space="preserve">[3]</w:t>
        </w:r>
      </w:hyperlink>
      <w:r>
        <w:t xml:space="preserve">. In Text B, the presence and role of 76 is more enigmatic. If we assume Text B’s repeated sequences follow a similar pattern, glyph 76 might be expected to appear connecting two figures in each variant. However, Fischer noted that</w:t>
      </w:r>
      <w:r>
        <w:t xml:space="preserve"> </w:t>
      </w:r>
      <w:r>
        <w:rPr>
          <w:b/>
          <w:bCs/>
        </w:rPr>
        <w:t xml:space="preserve">76 is not very common on most tablets except the Staff</w:t>
      </w:r>
      <w:hyperlink r:id="rId39">
        <w:r>
          <w:rPr>
            <w:rStyle w:val="Hyperlink"/>
          </w:rPr>
          <w:t xml:space="preserve">[18]</w:t>
        </w:r>
      </w:hyperlink>
      <w:r>
        <w:t xml:space="preserve">. It’s possible that in Text B the act of procreation or lineage is implied without explicitly carving 76 each time (perhaps through juxtaposition or a different marker). Alternatively, Text B could use 76 as well, but given the small number of repeated lines, its absolute count would be low. If Butinov and Knorozov are correct, then 76 in Text B (and G) marks</w:t>
      </w:r>
      <w:r>
        <w:t xml:space="preserve"> </w:t>
      </w:r>
      <w:r>
        <w:rPr>
          <w:b/>
          <w:bCs/>
        </w:rPr>
        <w:t xml:space="preserve">patronymics</w:t>
      </w:r>
      <w:r>
        <w:t xml:space="preserve"> </w:t>
      </w:r>
      <w:r>
        <w:t xml:space="preserve">– essentially meaning “child of”</w:t>
      </w:r>
      <w:hyperlink r:id="rId33">
        <w:r>
          <w:rPr>
            <w:rStyle w:val="Hyperlink"/>
          </w:rPr>
          <w:t xml:space="preserve">[13]</w:t>
        </w:r>
      </w:hyperlink>
      <w:r>
        <w:t xml:space="preserve">. The lexicon’s cultural notes support this: glyph 76 appears “in genealogical contexts” and creation sequences</w:t>
      </w:r>
      <w:hyperlink r:id="rId44">
        <w:r>
          <w:rPr>
            <w:rStyle w:val="Hyperlink"/>
          </w:rPr>
          <w:t xml:space="preserve">[22]</w:t>
        </w:r>
      </w:hyperlink>
      <w:r>
        <w:t xml:space="preserve">. Thus, whether read phonetically (</w:t>
      </w:r>
      <w:r>
        <w:rPr>
          <w:i/>
          <w:iCs/>
        </w:rPr>
        <w:t xml:space="preserve">‘ai</w:t>
      </w:r>
      <w:r>
        <w:t xml:space="preserve"> </w:t>
      </w:r>
      <w:r>
        <w:t xml:space="preserve">= copulate) or as a determinative (a symbol indicating descent),</w:t>
      </w:r>
      <w:r>
        <w:t xml:space="preserve"> </w:t>
      </w:r>
      <w:r>
        <w:rPr>
          <w:b/>
          <w:bCs/>
        </w:rPr>
        <w:t xml:space="preserve">glyph 76 serves to link entities in a generative relationship in both texts</w:t>
      </w:r>
      <w:r>
        <w:t xml:space="preserve">. It encapsulates the idea of</w:t>
      </w:r>
      <w:r>
        <w:t xml:space="preserve"> </w:t>
      </w:r>
      <w:r>
        <w:rPr>
          <w:i/>
          <w:iCs/>
        </w:rPr>
        <w:t xml:space="preserve">joining to produce</w:t>
      </w:r>
      <w:r>
        <w:t xml:space="preserve"> </w:t>
      </w:r>
      <w:r>
        <w:t xml:space="preserve">– either literally (in myth) or metaphorically (in family lineages). This dual interpretability is fascinating: it could represent an actual word (like</w:t>
      </w:r>
      <w:r>
        <w:t xml:space="preserve"> </w:t>
      </w:r>
      <w:r>
        <w:rPr>
          <w:i/>
          <w:iCs/>
        </w:rPr>
        <w:t xml:space="preserve">ai</w:t>
      </w:r>
      <w:r>
        <w:t xml:space="preserve">, if the texts are read in Rapanui)</w:t>
      </w:r>
      <w:hyperlink r:id="rId30">
        <w:r>
          <w:rPr>
            <w:rStyle w:val="Hyperlink"/>
          </w:rPr>
          <w:t xml:space="preserve">[9]</w:t>
        </w:r>
      </w:hyperlink>
      <w:r>
        <w:t xml:space="preserve">, or a non-phonetic sign like a patronymic hook. In either case, its ubiquitous use on the Staff and likely presence in Text B’s key sequence underscores its importance. If we consider phonetic value, Rapanui</w:t>
      </w:r>
      <w:r>
        <w:t xml:space="preserve"> </w:t>
      </w:r>
      <w:r>
        <w:rPr>
          <w:b/>
          <w:bCs/>
        </w:rPr>
        <w:t xml:space="preserve">‘ai</w:t>
      </w:r>
      <w:r>
        <w:t xml:space="preserve"> </w:t>
      </w:r>
      <w:r>
        <w:t xml:space="preserve">means “to copulate” (and also “to eat”, a common euphemism in Polynesian languages), aligning neatly with the creation chant usage</w:t>
      </w:r>
      <w:hyperlink r:id="rId31">
        <w:r>
          <w:rPr>
            <w:rStyle w:val="Hyperlink"/>
          </w:rPr>
          <w:t xml:space="preserve">[10]</w:t>
        </w:r>
      </w:hyperlink>
      <w:r>
        <w:t xml:space="preserve">. Meanwhile, Rapanui</w:t>
      </w:r>
      <w:r>
        <w:t xml:space="preserve"> </w:t>
      </w:r>
      <w:r>
        <w:rPr>
          <w:b/>
          <w:bCs/>
        </w:rPr>
        <w:t xml:space="preserve">fanau</w:t>
      </w:r>
      <w:r>
        <w:t xml:space="preserve"> </w:t>
      </w:r>
      <w:r>
        <w:t xml:space="preserve">means “to give birth, offspring” and was also listed for glyph 76</w:t>
      </w:r>
      <w:hyperlink r:id="rId45">
        <w:r>
          <w:rPr>
            <w:rStyle w:val="Hyperlink"/>
          </w:rPr>
          <w:t xml:space="preserve">[23]</w:t>
        </w:r>
      </w:hyperlink>
      <w:r>
        <w:t xml:space="preserve">, emphasizing the procreative outcome. This glyph might therefore carry the composite meaning of</w:t>
      </w:r>
      <w:r>
        <w:t xml:space="preserve"> </w:t>
      </w:r>
      <w:r>
        <w:rPr>
          <w:i/>
          <w:iCs/>
        </w:rPr>
        <w:t xml:space="preserve">conception and birth</w:t>
      </w:r>
      <w:r>
        <w:t xml:space="preserve">, which is central to both cosmogonic and genealogical texts.</w:t>
      </w:r>
    </w:p>
    <w:p>
      <w:pPr>
        <w:numPr>
          <w:ilvl w:val="0"/>
          <w:numId w:val="1002"/>
        </w:numPr>
      </w:pPr>
      <w:r>
        <w:rPr>
          <w:b/>
          <w:bCs/>
        </w:rPr>
        <w:t xml:space="preserve">Glyph 606 – “Birds (Plural) / Flock”</w:t>
      </w:r>
      <w:r>
        <w:t xml:space="preserve">: Glyph 606 is essentially a</w:t>
      </w:r>
      <w:r>
        <w:t xml:space="preserve"> </w:t>
      </w:r>
      <w:r>
        <w:rPr>
          <w:b/>
          <w:bCs/>
        </w:rPr>
        <w:t xml:space="preserve">combination of glyph 600 (bird)</w:t>
      </w:r>
      <w:r>
        <w:t xml:space="preserve"> </w:t>
      </w:r>
      <w:r>
        <w:t xml:space="preserve">with an affix that denotes plural. The lexicon confirms it as</w:t>
      </w:r>
      <w:r>
        <w:t xml:space="preserve"> </w:t>
      </w:r>
      <w:r>
        <w:rPr>
          <w:i/>
          <w:iCs/>
        </w:rPr>
        <w:t xml:space="preserve">“birds, flock (manu)”</w:t>
      </w:r>
      <w:r>
        <w:t xml:space="preserve"> </w:t>
      </w:r>
      <w:r>
        <w:t xml:space="preserve">and notes it is a</w:t>
      </w:r>
      <w:r>
        <w:t xml:space="preserve"> </w:t>
      </w:r>
      <w:r>
        <w:rPr>
          <w:i/>
          <w:iCs/>
        </w:rPr>
        <w:t xml:space="preserve">composite of 600 (“bird”) + 6 (“hand/take” as plural marker)</w:t>
      </w:r>
      <w:hyperlink r:id="rId40">
        <w:r>
          <w:rPr>
            <w:rStyle w:val="Hyperlink"/>
          </w:rPr>
          <w:t xml:space="preserve">[24]</w:t>
        </w:r>
      </w:hyperlink>
      <w:hyperlink r:id="rId46">
        <w:r>
          <w:rPr>
            <w:rStyle w:val="Hyperlink"/>
          </w:rPr>
          <w:t xml:space="preserve">[25]</w:t>
        </w:r>
      </w:hyperlink>
      <w:r>
        <w:t xml:space="preserve">. On the Staff, 606 appears in the formula example as the subject “all the birds”. Fischer interpreted the subscript hand (glyph 6) attached to the bird as the Rapanui word</w:t>
      </w:r>
      <w:r>
        <w:t xml:space="preserve"> </w:t>
      </w:r>
      <w:r>
        <w:rPr>
          <w:i/>
          <w:iCs/>
        </w:rPr>
        <w:t xml:space="preserve">maʻu</w:t>
      </w:r>
      <w:r>
        <w:t xml:space="preserve"> </w:t>
      </w:r>
      <w:r>
        <w:t xml:space="preserve">(“to take”), which sounds like Tahitian</w:t>
      </w:r>
      <w:r>
        <w:t xml:space="preserve"> </w:t>
      </w:r>
      <w:r>
        <w:rPr>
          <w:i/>
          <w:iCs/>
        </w:rPr>
        <w:t xml:space="preserve">mau</w:t>
      </w:r>
      <w:r>
        <w:t xml:space="preserve"> </w:t>
      </w:r>
      <w:r>
        <w:t xml:space="preserve">(a plural particle), thereby reading 606 as</w:t>
      </w:r>
      <w:r>
        <w:t xml:space="preserve"> </w:t>
      </w:r>
      <w:r>
        <w:rPr>
          <w:b/>
          <w:bCs/>
        </w:rPr>
        <w:t xml:space="preserve">“mau manu” = all birds</w:t>
      </w:r>
      <w:hyperlink r:id="rId23">
        <w:r>
          <w:rPr>
            <w:rStyle w:val="Hyperlink"/>
          </w:rPr>
          <w:t xml:space="preserve">[3]</w:t>
        </w:r>
      </w:hyperlink>
      <w:hyperlink r:id="rId47">
        <w:r>
          <w:rPr>
            <w:rStyle w:val="Hyperlink"/>
          </w:rPr>
          <w:t xml:space="preserve">[26]</w:t>
        </w:r>
      </w:hyperlink>
      <w:r>
        <w:t xml:space="preserve">. While later experts pointed out that Rapanui itself doesn’t use</w:t>
      </w:r>
      <w:r>
        <w:t xml:space="preserve"> </w:t>
      </w:r>
      <w:r>
        <w:rPr>
          <w:i/>
          <w:iCs/>
        </w:rPr>
        <w:t xml:space="preserve">mau</w:t>
      </w:r>
      <w:r>
        <w:t xml:space="preserve"> </w:t>
      </w:r>
      <w:r>
        <w:t xml:space="preserve">in this way</w:t>
      </w:r>
      <w:hyperlink r:id="rId48">
        <w:r>
          <w:rPr>
            <w:rStyle w:val="Hyperlink"/>
          </w:rPr>
          <w:t xml:space="preserve">[27]</w:t>
        </w:r>
      </w:hyperlink>
      <w:r>
        <w:t xml:space="preserve">, the intended meaning of 606 in context is clearly</w:t>
      </w:r>
      <w:r>
        <w:t xml:space="preserve"> </w:t>
      </w:r>
      <w:r>
        <w:rPr>
          <w:b/>
          <w:bCs/>
        </w:rPr>
        <w:t xml:space="preserve">plural birds or a collective of creatures</w:t>
      </w:r>
      <w:r>
        <w:t xml:space="preserve">. Culturally, birds (especially seabirds) had deep significance on Easter Island – the</w:t>
      </w:r>
      <w:r>
        <w:t xml:space="preserve"> </w:t>
      </w:r>
      <w:r>
        <w:rPr>
          <w:b/>
          <w:bCs/>
        </w:rPr>
        <w:t xml:space="preserve">Manu</w:t>
      </w:r>
      <w:r>
        <w:t xml:space="preserve"> </w:t>
      </w:r>
      <w:r>
        <w:t xml:space="preserve">(bird) could symbolize high-flying spirits or clan totems (consider the bird-man cult where “bird” denotes a sacred title). In mythic terms, “birds” might stand for sky beings or simply a multitude of creatures. On Text I, glyph 606 likely appears whenever a verse has a</w:t>
      </w:r>
      <w:r>
        <w:t xml:space="preserve"> </w:t>
      </w:r>
      <w:r>
        <w:rPr>
          <w:i/>
          <w:iCs/>
        </w:rPr>
        <w:t xml:space="preserve">collective subject</w:t>
      </w:r>
      <w:r>
        <w:t xml:space="preserve"> </w:t>
      </w:r>
      <w:r>
        <w:t xml:space="preserve">or perhaps in listings of fauna. On Text B, we do not have direct evidence of 606 in the published fragment, but interestingly the scribal analysis of Aruku Kurenga notes the scribe’s familiarity with</w:t>
      </w:r>
      <w:r>
        <w:t xml:space="preserve"> </w:t>
      </w:r>
      <w:r>
        <w:rPr>
          <w:b/>
          <w:bCs/>
        </w:rPr>
        <w:t xml:space="preserve">bird glyphs</w:t>
      </w:r>
      <w:r>
        <w:t xml:space="preserve"> </w:t>
      </w:r>
      <w:r>
        <w:t xml:space="preserve">and even substituting a bird head for another form in one repetition</w:t>
      </w:r>
      <w:hyperlink r:id="rId25">
        <w:r>
          <w:rPr>
            <w:rStyle w:val="Hyperlink"/>
          </w:rPr>
          <w:t xml:space="preserve">[5]</w:t>
        </w:r>
      </w:hyperlink>
      <w:r>
        <w:t xml:space="preserve">. It would not be surprising if 606 (or its base form 600) appears elsewhere on Text B, given that birds figure prominently in Rapa Nui lore. If Text B’s repeated segment is mythic, perhaps one of the variants includes the bird glyph in a role similar to the Staff’s usage (for instance, one variant could involve birds as an actor). If it is genealogical,</w:t>
      </w:r>
      <w:r>
        <w:t xml:space="preserve"> </w:t>
      </w:r>
      <w:r>
        <w:rPr>
          <w:i/>
          <w:iCs/>
        </w:rPr>
        <w:t xml:space="preserve">Manu</w:t>
      </w:r>
      <w:r>
        <w:t xml:space="preserve"> </w:t>
      </w:r>
      <w:r>
        <w:t xml:space="preserve">could be part of a name or epithet of an ancestor (e.g., some chiefs had “Manu” in their names). The lexicon suggests</w:t>
      </w:r>
      <w:r>
        <w:t xml:space="preserve"> </w:t>
      </w:r>
      <w:r>
        <w:rPr>
          <w:b/>
          <w:bCs/>
        </w:rPr>
        <w:t xml:space="preserve">manu</w:t>
      </w:r>
      <w:r>
        <w:t xml:space="preserve"> </w:t>
      </w:r>
      <w:r>
        <w:t xml:space="preserve">meant not only literal bird but also “creature”</w:t>
      </w:r>
      <w:hyperlink r:id="rId49">
        <w:r>
          <w:rPr>
            <w:rStyle w:val="Hyperlink"/>
          </w:rPr>
          <w:t xml:space="preserve">[28]</w:t>
        </w:r>
      </w:hyperlink>
      <w:r>
        <w:t xml:space="preserve"> </w:t>
      </w:r>
      <w:r>
        <w:t xml:space="preserve">– Metoro Tau’a Ure, Jaussen’s informant, glossed glyph 600 as</w:t>
      </w:r>
      <w:r>
        <w:t xml:space="preserve"> </w:t>
      </w:r>
      <w:r>
        <w:rPr>
          <w:i/>
          <w:iCs/>
        </w:rPr>
        <w:t xml:space="preserve">manu</w:t>
      </w:r>
      <w:r>
        <w:t xml:space="preserve"> </w:t>
      </w:r>
      <w:r>
        <w:t xml:space="preserve">“bird/creature” on another tablet</w:t>
      </w:r>
      <w:hyperlink r:id="rId49">
        <w:r>
          <w:rPr>
            <w:rStyle w:val="Hyperlink"/>
          </w:rPr>
          <w:t xml:space="preserve">[28]</w:t>
        </w:r>
      </w:hyperlink>
      <w:r>
        <w:t xml:space="preserve">. Thus, glyph 606 might generically mean “beings” or “spirits” in certain contexts. In cross-correlating Texts I and B,</w:t>
      </w:r>
      <w:r>
        <w:t xml:space="preserve"> </w:t>
      </w:r>
      <w:r>
        <w:rPr>
          <w:b/>
          <w:bCs/>
        </w:rPr>
        <w:t xml:space="preserve">glyph 606 stands out as a shared motif of multiplicity and perhaps divinity</w:t>
      </w:r>
      <w:r>
        <w:t xml:space="preserve"> </w:t>
      </w:r>
      <w:r>
        <w:t xml:space="preserve">(if we think of birds as spirits). Its phonetic reading would be</w:t>
      </w:r>
      <w:r>
        <w:t xml:space="preserve"> </w:t>
      </w:r>
      <w:r>
        <w:rPr>
          <w:i/>
          <w:iCs/>
        </w:rPr>
        <w:t xml:space="preserve">manu</w:t>
      </w:r>
      <w:r>
        <w:t xml:space="preserve"> </w:t>
      </w:r>
      <w:r>
        <w:t xml:space="preserve">(“bird”) which is consistent in Polynesian languages, so if either text encodes sounds, seeing 606 could hint at a word like</w:t>
      </w:r>
      <w:r>
        <w:t xml:space="preserve"> </w:t>
      </w:r>
      <w:r>
        <w:rPr>
          <w:i/>
          <w:iCs/>
        </w:rPr>
        <w:t xml:space="preserve">manu</w:t>
      </w:r>
      <w:r>
        <w:t xml:space="preserve"> </w:t>
      </w:r>
      <w:r>
        <w:t xml:space="preserve">or a related concept. Both texts likely leverage the symbolism of birds – whether to denote actual flocks or mythic beings – linking them thematically (e.g., the Staff says “birds begat X”, and perhaps Aruku’s text could mention birds or bird-like beings in its narrative as well).</w:t>
      </w:r>
    </w:p>
    <w:p>
      <w:pPr>
        <w:numPr>
          <w:ilvl w:val="0"/>
          <w:numId w:val="1002"/>
        </w:numPr>
      </w:pPr>
      <w:r>
        <w:rPr>
          <w:b/>
          <w:bCs/>
        </w:rPr>
        <w:t xml:space="preserve">Glyph 700 – “Fish / Victim”</w:t>
      </w:r>
      <w:r>
        <w:t xml:space="preserve">: The glyph 700 is identified in the lexicon as</w:t>
      </w:r>
      <w:r>
        <w:t xml:space="preserve"> </w:t>
      </w:r>
      <w:r>
        <w:rPr>
          <w:i/>
          <w:iCs/>
        </w:rPr>
        <w:t xml:space="preserve">“ika”</w:t>
      </w:r>
      <w:r>
        <w:t xml:space="preserve"> </w:t>
      </w:r>
      <w:r>
        <w:t xml:space="preserve">meaning</w:t>
      </w:r>
      <w:r>
        <w:t xml:space="preserve"> </w:t>
      </w:r>
      <w:r>
        <w:rPr>
          <w:b/>
          <w:bCs/>
        </w:rPr>
        <w:t xml:space="preserve">fish</w:t>
      </w:r>
      <w:hyperlink r:id="rId40">
        <w:r>
          <w:rPr>
            <w:rStyle w:val="Hyperlink"/>
          </w:rPr>
          <w:t xml:space="preserve">[29]</w:t>
        </w:r>
      </w:hyperlink>
      <w:r>
        <w:t xml:space="preserve">. On the Staff, 700 plays the role of the second participant in Fischer’s example (“fish” being coupled with birds)</w:t>
      </w:r>
      <w:hyperlink r:id="rId23">
        <w:r>
          <w:rPr>
            <w:rStyle w:val="Hyperlink"/>
          </w:rPr>
          <w:t xml:space="preserve">[3]</w:t>
        </w:r>
      </w:hyperlink>
      <w:r>
        <w:t xml:space="preserve">. Fish in Polynesian cosmology can represent the sea or its denizens; in some Rapanui myths, certain gods or ancestral figures are associated with fish or originate from the sea. However, glyph 700 has a compelling secondary meaning: the Rapanui word</w:t>
      </w:r>
      <w:r>
        <w:t xml:space="preserve"> </w:t>
      </w:r>
      <w:r>
        <w:rPr>
          <w:i/>
          <w:iCs/>
        </w:rPr>
        <w:t xml:space="preserve">îka</w:t>
      </w:r>
      <w:r>
        <w:t xml:space="preserve"> </w:t>
      </w:r>
      <w:r>
        <w:t xml:space="preserve">also means</w:t>
      </w:r>
      <w:r>
        <w:t xml:space="preserve"> </w:t>
      </w:r>
      <w:r>
        <w:rPr>
          <w:b/>
          <w:bCs/>
        </w:rPr>
        <w:t xml:space="preserve">“victim”</w:t>
      </w:r>
      <w:r>
        <w:t xml:space="preserve"> </w:t>
      </w:r>
      <w:r>
        <w:t xml:space="preserve">or “war casualty”. Historical sources refer to</w:t>
      </w:r>
      <w:r>
        <w:t xml:space="preserve"> </w:t>
      </w:r>
      <w:r>
        <w:rPr>
          <w:i/>
          <w:iCs/>
        </w:rPr>
        <w:t xml:space="preserve">kohau îka</w:t>
      </w:r>
      <w:r>
        <w:t xml:space="preserve"> </w:t>
      </w:r>
      <w:r>
        <w:t xml:space="preserve">(“lines of fish”) as chants that listed those killed in battle</w:t>
      </w:r>
      <w:hyperlink r:id="rId50">
        <w:r>
          <w:rPr>
            <w:rStyle w:val="Hyperlink"/>
          </w:rPr>
          <w:t xml:space="preserve">[30]</w:t>
        </w:r>
      </w:hyperlink>
      <w:hyperlink r:id="rId35">
        <w:r>
          <w:rPr>
            <w:rStyle w:val="Hyperlink"/>
          </w:rPr>
          <w:t xml:space="preserve">[15]</w:t>
        </w:r>
      </w:hyperlink>
      <w:r>
        <w:t xml:space="preserve">. Scholars have proposed that what Fischer read as literal “fish” might actually be a metaphor or pun, where the appearance of glyph 700 in a sequence could indicate that the person or being in question</w:t>
      </w:r>
      <w:r>
        <w:t xml:space="preserve"> </w:t>
      </w:r>
      <w:r>
        <w:rPr>
          <w:i/>
          <w:iCs/>
        </w:rPr>
        <w:t xml:space="preserve">died or was sacrificed</w:t>
      </w:r>
      <w:r>
        <w:t xml:space="preserve">. Guy (1998) interprets the Fischer example not as a cosmogonic act but as</w:t>
      </w:r>
      <w:r>
        <w:t xml:space="preserve"> </w:t>
      </w:r>
      <w:r>
        <w:rPr>
          <w:i/>
          <w:iCs/>
        </w:rPr>
        <w:t xml:space="preserve">“Son of (Bird) was killed”</w:t>
      </w:r>
      <w:r>
        <w:t xml:space="preserve">, since birds could be a clan name and fish a marker of death (the sun then potentially a metaphor for something like a soul)</w:t>
      </w:r>
      <w:hyperlink r:id="rId51">
        <w:r>
          <w:rPr>
            <w:rStyle w:val="Hyperlink"/>
          </w:rPr>
          <w:t xml:space="preserve">[31]</w:t>
        </w:r>
      </w:hyperlink>
      <w:r>
        <w:t xml:space="preserve">. If we apply this to the texts, the Staff would then be a list of battles or slain warriors (with 76 indicating “son of” and 700 indicating their demise)</w:t>
      </w:r>
      <w:hyperlink r:id="rId38">
        <w:r>
          <w:rPr>
            <w:rStyle w:val="Hyperlink"/>
          </w:rPr>
          <w:t xml:space="preserve">[17]</w:t>
        </w:r>
      </w:hyperlink>
      <w:hyperlink r:id="rId35">
        <w:r>
          <w:rPr>
            <w:rStyle w:val="Hyperlink"/>
          </w:rPr>
          <w:t xml:space="preserve">[15]</w:t>
        </w:r>
      </w:hyperlink>
      <w:r>
        <w:t xml:space="preserve">. Meanwhile, Aruku Kurenga’s three repeated segments could conceivably be</w:t>
      </w:r>
      <w:r>
        <w:t xml:space="preserve"> </w:t>
      </w:r>
      <w:r>
        <w:rPr>
          <w:i/>
          <w:iCs/>
        </w:rPr>
        <w:t xml:space="preserve">catalogs of important events</w:t>
      </w:r>
      <w:r>
        <w:t xml:space="preserve"> </w:t>
      </w:r>
      <w:r>
        <w:t xml:space="preserve">– for example, three successive battles or sacrifices – each told in the same format. While this interpretation is controversial, it shows the</w:t>
      </w:r>
      <w:r>
        <w:t xml:space="preserve"> </w:t>
      </w:r>
      <w:r>
        <w:rPr>
          <w:b/>
          <w:bCs/>
        </w:rPr>
        <w:t xml:space="preserve">polysemy of glyph 700</w:t>
      </w:r>
      <w:r>
        <w:t xml:space="preserve"> </w:t>
      </w:r>
      <w:r>
        <w:t xml:space="preserve">in a cross-text sense. In purely mythic terms, 700 =</w:t>
      </w:r>
      <w:r>
        <w:t xml:space="preserve"> </w:t>
      </w:r>
      <w:r>
        <w:rPr>
          <w:i/>
          <w:iCs/>
        </w:rPr>
        <w:t xml:space="preserve">ika</w:t>
      </w:r>
      <w:r>
        <w:t xml:space="preserve"> </w:t>
      </w:r>
      <w:r>
        <w:t xml:space="preserve">could simply be an animal (fish) used in a creation metaphor (as Fischer believed). In genealogical terms, 700 might be a</w:t>
      </w:r>
      <w:r>
        <w:t xml:space="preserve"> </w:t>
      </w:r>
      <w:r>
        <w:rPr>
          <w:b/>
          <w:bCs/>
        </w:rPr>
        <w:t xml:space="preserve">determinative for death or sacrifice</w:t>
      </w:r>
      <w:r>
        <w:t xml:space="preserve">. The updated lexicon even lists related meanings: “victim” (translit</w:t>
      </w:r>
      <w:r>
        <w:t xml:space="preserve"> </w:t>
      </w:r>
      <w:r>
        <w:rPr>
          <w:i/>
          <w:iCs/>
        </w:rPr>
        <w:t xml:space="preserve">kai</w:t>
      </w:r>
      <w:r>
        <w:t xml:space="preserve">, literally “food” but metaphorically one who is eaten/killed) and “sacrifice (haka ira)” for glyph 700</w:t>
      </w:r>
      <w:hyperlink r:id="rId40">
        <w:r>
          <w:rPr>
            <w:rStyle w:val="Hyperlink"/>
          </w:rPr>
          <w:t xml:space="preserve">[32]</w:t>
        </w:r>
      </w:hyperlink>
      <w:r>
        <w:t xml:space="preserve">, highlighting its ritual connotation. In Text B, glyph 700</w:t>
      </w:r>
      <w:r>
        <w:t xml:space="preserve"> </w:t>
      </w:r>
      <w:r>
        <w:rPr>
          <w:i/>
          <w:iCs/>
        </w:rPr>
        <w:t xml:space="preserve">does</w:t>
      </w:r>
      <w:r>
        <w:t xml:space="preserve"> </w:t>
      </w:r>
      <w:r>
        <w:t xml:space="preserve">appear in at least one context: a scribal correction on Aruku Kurenga shows glyph sequence</w:t>
      </w:r>
      <w:r>
        <w:t xml:space="preserve"> </w:t>
      </w:r>
      <w:r>
        <w:rPr>
          <w:b/>
          <w:bCs/>
        </w:rPr>
        <w:t xml:space="preserve">700-001</w:t>
      </w:r>
      <w:r>
        <w:t xml:space="preserve"> </w:t>
      </w:r>
      <w:r>
        <w:t xml:space="preserve">(fish followed by person) that had an anthropomorphic glyph beneath it, possibly indicating a phrase or compound meaning “fish-man” or an event involving a person and a fish. Without more context we can’t be sure, but if Text B includes 700, it could parallel Text I by referencing either a mythic fish or the concept of a victim.</w:t>
      </w:r>
      <w:r>
        <w:t xml:space="preserve"> </w:t>
      </w:r>
      <w:r>
        <w:rPr>
          <w:b/>
          <w:bCs/>
        </w:rPr>
        <w:t xml:space="preserve">Cross-referencing</w:t>
      </w:r>
      <w:r>
        <w:t xml:space="preserve">: If we assume a phonetic angle,</w:t>
      </w:r>
      <w:r>
        <w:t xml:space="preserve"> </w:t>
      </w:r>
      <w:r>
        <w:rPr>
          <w:i/>
          <w:iCs/>
        </w:rPr>
        <w:t xml:space="preserve">ika</w:t>
      </w:r>
      <w:r>
        <w:t xml:space="preserve"> </w:t>
      </w:r>
      <w:r>
        <w:t xml:space="preserve">is the likely value, which in Rapanui could intentionally carry both meanings. Thus, on both texts 700 might be doing double duty: naming a fish or symbolizing a fallen entity. This kind of semantic wordplay (common in oral literature) could mean that Texts I and B are</w:t>
      </w:r>
      <w:r>
        <w:t xml:space="preserve"> </w:t>
      </w:r>
      <w:r>
        <w:rPr>
          <w:b/>
          <w:bCs/>
        </w:rPr>
        <w:t xml:space="preserve">both</w:t>
      </w:r>
      <w:r>
        <w:t xml:space="preserve"> </w:t>
      </w:r>
      <w:r>
        <w:t xml:space="preserve">using glyph 700 as a key part of their narrative formula – one that listeners might understand at two levels (literal and metaphorical).</w:t>
      </w:r>
    </w:p>
    <w:p>
      <w:pPr>
        <w:numPr>
          <w:ilvl w:val="0"/>
          <w:numId w:val="1002"/>
        </w:numPr>
      </w:pPr>
      <w:r>
        <w:rPr>
          <w:b/>
          <w:bCs/>
        </w:rPr>
        <w:t xml:space="preserve">Glyphs 1 / 2 / 200 / 300 – Anthropomorphic Figures</w:t>
      </w:r>
      <w:r>
        <w:t xml:space="preserve">: Both tablets feature many human or quasi-human figures. The</w:t>
      </w:r>
      <w:r>
        <w:t xml:space="preserve"> </w:t>
      </w:r>
      <w:r>
        <w:rPr>
          <w:b/>
          <w:bCs/>
        </w:rPr>
        <w:t xml:space="preserve">basic human glyph (Barthel #1)</w:t>
      </w:r>
      <w:r>
        <w:t xml:space="preserve"> </w:t>
      </w:r>
      <w:r>
        <w:t xml:space="preserve">is a standing person (often arms out), transliterated as</w:t>
      </w:r>
      <w:r>
        <w:t xml:space="preserve"> </w:t>
      </w:r>
      <w:r>
        <w:rPr>
          <w:i/>
          <w:iCs/>
        </w:rPr>
        <w:t xml:space="preserve">tangata</w:t>
      </w:r>
      <w:r>
        <w:t xml:space="preserve"> </w:t>
      </w:r>
      <w:r>
        <w:t xml:space="preserve">(“person/human”)</w:t>
      </w:r>
      <w:hyperlink r:id="rId52">
        <w:r>
          <w:rPr>
            <w:rStyle w:val="Hyperlink"/>
          </w:rPr>
          <w:t xml:space="preserve">[33]</w:t>
        </w:r>
      </w:hyperlink>
      <w:r>
        <w:t xml:space="preserve">. The</w:t>
      </w:r>
      <w:r>
        <w:t xml:space="preserve"> </w:t>
      </w:r>
      <w:r>
        <w:rPr>
          <w:b/>
          <w:bCs/>
        </w:rPr>
        <w:t xml:space="preserve">seated human figure (glyph 200)</w:t>
      </w:r>
      <w:r>
        <w:t xml:space="preserve"> </w:t>
      </w:r>
      <w:r>
        <w:t xml:space="preserve">is interpreted as</w:t>
      </w:r>
      <w:r>
        <w:t xml:space="preserve"> </w:t>
      </w:r>
      <w:r>
        <w:rPr>
          <w:i/>
          <w:iCs/>
        </w:rPr>
        <w:t xml:space="preserve">ariki</w:t>
      </w:r>
      <w:r>
        <w:t xml:space="preserve"> </w:t>
      </w:r>
      <w:r>
        <w:t xml:space="preserve">(“chief” or high-ranking man)</w:t>
      </w:r>
      <w:hyperlink r:id="rId40">
        <w:r>
          <w:rPr>
            <w:rStyle w:val="Hyperlink"/>
          </w:rPr>
          <w:t xml:space="preserve">[34]</w:t>
        </w:r>
      </w:hyperlink>
      <w:r>
        <w:t xml:space="preserve">. We also have glyph</w:t>
      </w:r>
      <w:r>
        <w:t xml:space="preserve"> </w:t>
      </w:r>
      <w:r>
        <w:rPr>
          <w:b/>
          <w:bCs/>
        </w:rPr>
        <w:t xml:space="preserve">300</w:t>
      </w:r>
      <w:r>
        <w:t xml:space="preserve"> </w:t>
      </w:r>
      <w:r>
        <w:t xml:space="preserve">(often a female figure,</w:t>
      </w:r>
      <w:r>
        <w:t xml:space="preserve"> </w:t>
      </w:r>
      <w:r>
        <w:rPr>
          <w:i/>
          <w:iCs/>
        </w:rPr>
        <w:t xml:space="preserve">vee or mama</w:t>
      </w:r>
      <w:r>
        <w:t xml:space="preserve"> </w:t>
      </w:r>
      <w:r>
        <w:t xml:space="preserve">– “woman, mother”)</w:t>
      </w:r>
      <w:hyperlink r:id="rId53">
        <w:r>
          <w:rPr>
            <w:rStyle w:val="Hyperlink"/>
          </w:rPr>
          <w:t xml:space="preserve">[35]</w:t>
        </w:r>
      </w:hyperlink>
      <w:r>
        <w:t xml:space="preserve"> </w:t>
      </w:r>
      <w:r>
        <w:t xml:space="preserve">and glyph</w:t>
      </w:r>
      <w:r>
        <w:t xml:space="preserve"> </w:t>
      </w:r>
      <w:r>
        <w:rPr>
          <w:b/>
          <w:bCs/>
        </w:rPr>
        <w:t xml:space="preserve">400</w:t>
      </w:r>
      <w:r>
        <w:t xml:space="preserve"> </w:t>
      </w:r>
      <w:r>
        <w:t xml:space="preserve">(a small figure,</w:t>
      </w:r>
      <w:r>
        <w:t xml:space="preserve"> </w:t>
      </w:r>
      <w:r>
        <w:rPr>
          <w:i/>
          <w:iCs/>
        </w:rPr>
        <w:t xml:space="preserve">poki or hua</w:t>
      </w:r>
      <w:r>
        <w:t xml:space="preserve"> </w:t>
      </w:r>
      <w:r>
        <w:t xml:space="preserve">– “child, offspring”)</w:t>
      </w:r>
      <w:hyperlink r:id="rId54">
        <w:r>
          <w:rPr>
            <w:rStyle w:val="Hyperlink"/>
          </w:rPr>
          <w:t xml:space="preserve">[36]</w:t>
        </w:r>
      </w:hyperlink>
      <w:r>
        <w:t xml:space="preserve">. On the Santiago Staff, given Fischer’s reading, the anthropomorphic glyphs would mostly be part of personal names or titles in a creation context – for example, Fischer believed certain sequences of human figures with 76 between them represented divine or legendary</w:t>
      </w:r>
      <w:r>
        <w:t xml:space="preserve"> </w:t>
      </w:r>
      <w:r>
        <w:rPr>
          <w:b/>
          <w:bCs/>
        </w:rPr>
        <w:t xml:space="preserve">proper names</w:t>
      </w:r>
      <w:r>
        <w:t xml:space="preserve"> </w:t>
      </w:r>
      <w:r>
        <w:t xml:space="preserve">linked by “copulated with”</w:t>
      </w:r>
      <w:hyperlink r:id="rId38">
        <w:r>
          <w:rPr>
            <w:rStyle w:val="Hyperlink"/>
          </w:rPr>
          <w:t xml:space="preserve">[17]</w:t>
        </w:r>
      </w:hyperlink>
      <w:r>
        <w:t xml:space="preserve">. If instead the Staff is genealogical, then strings of glyphs including 200 (chief) + 76 + 200 (another chief) etc., would literally read as</w:t>
      </w:r>
      <w:r>
        <w:t xml:space="preserve"> </w:t>
      </w:r>
      <w:r>
        <w:rPr>
          <w:i/>
          <w:iCs/>
        </w:rPr>
        <w:t xml:space="preserve">“King A, B’s son; King B, C’s son; …”</w:t>
      </w:r>
      <w:hyperlink r:id="rId33">
        <w:r>
          <w:rPr>
            <w:rStyle w:val="Hyperlink"/>
          </w:rPr>
          <w:t xml:space="preserve">[13]</w:t>
        </w:r>
      </w:hyperlink>
      <w:r>
        <w:t xml:space="preserve">. In either scenario, the anthropomorphic glyphs denote the</w:t>
      </w:r>
      <w:r>
        <w:t xml:space="preserve"> </w:t>
      </w:r>
      <w:r>
        <w:rPr>
          <w:b/>
          <w:bCs/>
        </w:rPr>
        <w:t xml:space="preserve">participants of each narrative segment</w:t>
      </w:r>
      <w:r>
        <w:t xml:space="preserve"> </w:t>
      </w:r>
      <w:r>
        <w:t xml:space="preserve">(whether they be gods, culture heroes, or human ancestors). On Aruku Kurenga, the repeated segment beginning with</w:t>
      </w:r>
      <w:r>
        <w:t xml:space="preserve"> </w:t>
      </w:r>
      <w:r>
        <w:rPr>
          <w:i/>
          <w:iCs/>
        </w:rPr>
        <w:t xml:space="preserve">(003).001</w:t>
      </w:r>
      <w:r>
        <w:t xml:space="preserve"> </w:t>
      </w:r>
      <w:r>
        <w:t xml:space="preserve">is essentially an</w:t>
      </w:r>
      <w:r>
        <w:t xml:space="preserve"> </w:t>
      </w:r>
      <w:r>
        <w:rPr>
          <w:b/>
          <w:bCs/>
        </w:rPr>
        <w:t xml:space="preserve">anthropomorphic figure with a prominent eye glyph</w:t>
      </w:r>
      <w:hyperlink r:id="rId24">
        <w:r>
          <w:rPr>
            <w:rStyle w:val="Hyperlink"/>
          </w:rPr>
          <w:t xml:space="preserve">[4]</w:t>
        </w:r>
      </w:hyperlink>
      <w:r>
        <w:t xml:space="preserve">. This could be a descriptive epithet for a person (“eye-person” might evoke</w:t>
      </w:r>
      <w:r>
        <w:t xml:space="preserve"> </w:t>
      </w:r>
      <w:r>
        <w:rPr>
          <w:i/>
          <w:iCs/>
        </w:rPr>
        <w:t xml:space="preserve">mata</w:t>
      </w:r>
      <w:r>
        <w:t xml:space="preserve"> </w:t>
      </w:r>
      <w:r>
        <w:t xml:space="preserve">(eye/face) +</w:t>
      </w:r>
      <w:r>
        <w:t xml:space="preserve"> </w:t>
      </w:r>
      <w:r>
        <w:rPr>
          <w:i/>
          <w:iCs/>
        </w:rPr>
        <w:t xml:space="preserve">tangata</w:t>
      </w:r>
      <w:r>
        <w:t xml:space="preserve"> </w:t>
      </w:r>
      <w:r>
        <w:t xml:space="preserve">(person), perhaps referencing an</w:t>
      </w:r>
      <w:r>
        <w:t xml:space="preserve"> </w:t>
      </w:r>
      <w:r>
        <w:rPr>
          <w:i/>
          <w:iCs/>
        </w:rPr>
        <w:t xml:space="preserve">Atua Mata</w:t>
      </w:r>
      <w:r>
        <w:t xml:space="preserve">… something, like</w:t>
      </w:r>
      <w:r>
        <w:t xml:space="preserve"> </w:t>
      </w:r>
      <w:r>
        <w:rPr>
          <w:i/>
          <w:iCs/>
        </w:rPr>
        <w:t xml:space="preserve">Atua Matariri</w:t>
      </w:r>
      <w:r>
        <w:t xml:space="preserve"> </w:t>
      </w:r>
      <w:r>
        <w:t xml:space="preserve">“God of the Angry Eye” in the Thomson chant</w:t>
      </w:r>
      <w:hyperlink r:id="rId55">
        <w:r>
          <w:rPr>
            <w:rStyle w:val="Hyperlink"/>
          </w:rPr>
          <w:t xml:space="preserve">[37]</w:t>
        </w:r>
      </w:hyperlink>
      <w:r>
        <w:t xml:space="preserve">). In the second and third repetition on Text B, that same figure appears in slightly altered form (once with a detailed head, once bird-headed)</w:t>
      </w:r>
      <w:hyperlink r:id="rId24">
        <w:r>
          <w:rPr>
            <w:rStyle w:val="Hyperlink"/>
          </w:rPr>
          <w:t xml:space="preserve">[4]</w:t>
        </w:r>
      </w:hyperlink>
      <w:r>
        <w:t xml:space="preserve">, which suggests we are dealing with</w:t>
      </w:r>
      <w:r>
        <w:t xml:space="preserve"> </w:t>
      </w:r>
      <w:r>
        <w:rPr>
          <w:b/>
          <w:bCs/>
        </w:rPr>
        <w:t xml:space="preserve">the same character or role</w:t>
      </w:r>
      <w:r>
        <w:t xml:space="preserve"> </w:t>
      </w:r>
      <w:r>
        <w:t xml:space="preserve">portrayed with minor variation – much like how in oral myths a figure might have multiple names or aspects. This is very analogous to how the Staff cycles through entities: the</w:t>
      </w:r>
      <w:r>
        <w:t xml:space="preserve"> </w:t>
      </w:r>
      <w:r>
        <w:rPr>
          <w:i/>
          <w:iCs/>
        </w:rPr>
        <w:t xml:space="preserve">roles</w:t>
      </w:r>
      <w:r>
        <w:t xml:space="preserve"> </w:t>
      </w:r>
      <w:r>
        <w:t xml:space="preserve">in the formula are constant (subject, partner, offspring) but the actual names plugged in change per verse. So, in both texts, anthropomorphic glyphs (especially</w:t>
      </w:r>
      <w:r>
        <w:t xml:space="preserve"> </w:t>
      </w:r>
      <w:r>
        <w:rPr>
          <w:b/>
          <w:bCs/>
        </w:rPr>
        <w:t xml:space="preserve">glyph 1 and 200</w:t>
      </w:r>
      <w:r>
        <w:t xml:space="preserve">) likely stand for</w:t>
      </w:r>
      <w:r>
        <w:t xml:space="preserve"> </w:t>
      </w:r>
      <w:r>
        <w:rPr>
          <w:b/>
          <w:bCs/>
        </w:rPr>
        <w:t xml:space="preserve">individuals or personified beings</w:t>
      </w:r>
      <w:r>
        <w:t xml:space="preserve"> </w:t>
      </w:r>
      <w:r>
        <w:t xml:space="preserve">who recur in these genealogical or mythic lists. The lexicon notes that glyph 1 appears “in genealogical contexts”</w:t>
      </w:r>
      <w:hyperlink r:id="rId52">
        <w:r>
          <w:rPr>
            <w:rStyle w:val="Hyperlink"/>
          </w:rPr>
          <w:t xml:space="preserve">[33]</w:t>
        </w:r>
      </w:hyperlink>
      <w:r>
        <w:t xml:space="preserve"> </w:t>
      </w:r>
      <w:r>
        <w:t xml:space="preserve">and glyph 200 is associated with leadership and often thought to precede personal names (as a title like</w:t>
      </w:r>
      <w:r>
        <w:t xml:space="preserve"> </w:t>
      </w:r>
      <w:r>
        <w:rPr>
          <w:i/>
          <w:iCs/>
        </w:rPr>
        <w:t xml:space="preserve">ariki</w:t>
      </w:r>
      <w:r>
        <w:t xml:space="preserve">)</w:t>
      </w:r>
      <w:hyperlink r:id="rId56">
        <w:r>
          <w:rPr>
            <w:rStyle w:val="Hyperlink"/>
          </w:rPr>
          <w:t xml:space="preserve">[38]</w:t>
        </w:r>
      </w:hyperlink>
      <w:r>
        <w:t xml:space="preserve">. Indeed, Butinov and Knorozov’s genealogy hypothesis for Text G involved</w:t>
      </w:r>
      <w:r>
        <w:t xml:space="preserve"> </w:t>
      </w:r>
      <w:r>
        <w:rPr>
          <w:b/>
          <w:bCs/>
        </w:rPr>
        <w:t xml:space="preserve">glyph 200</w:t>
      </w:r>
      <w:r>
        <w:t xml:space="preserve"> </w:t>
      </w:r>
      <w:r>
        <w:t xml:space="preserve">appearing as “King” and an attached</w:t>
      </w:r>
      <w:r>
        <w:t xml:space="preserve"> </w:t>
      </w:r>
      <w:r>
        <w:rPr>
          <w:b/>
          <w:bCs/>
        </w:rPr>
        <w:t xml:space="preserve">glyph 76</w:t>
      </w:r>
      <w:r>
        <w:t xml:space="preserve"> </w:t>
      </w:r>
      <w:r>
        <w:t xml:space="preserve">indicating “son of”</w:t>
      </w:r>
      <w:hyperlink r:id="rId57">
        <w:r>
          <w:rPr>
            <w:rStyle w:val="Hyperlink"/>
          </w:rPr>
          <w:t xml:space="preserve">[39]</w:t>
        </w:r>
      </w:hyperlink>
      <w:r>
        <w:t xml:space="preserve">. If Text B contains similar sequences (e.g., 200-76-200…), it would strengthen the genealogical reading. While our specific fragment of Text B doesn’t show 200, it does show the principle of a</w:t>
      </w:r>
      <w:r>
        <w:t xml:space="preserve"> </w:t>
      </w:r>
      <w:r>
        <w:rPr>
          <w:b/>
          <w:bCs/>
        </w:rPr>
        <w:t xml:space="preserve">named entity</w:t>
      </w:r>
      <w:r>
        <w:t xml:space="preserve"> </w:t>
      </w:r>
      <w:r>
        <w:t xml:space="preserve">repeating. It’s reasonable to assume that</w:t>
      </w:r>
      <w:r>
        <w:t xml:space="preserve"> </w:t>
      </w:r>
      <w:r>
        <w:rPr>
          <w:b/>
          <w:bCs/>
        </w:rPr>
        <w:t xml:space="preserve">both Text I and Text B use anthropomorphic signs as placeholders for names of gods or people</w:t>
      </w:r>
      <w:r>
        <w:t xml:space="preserve">, and the patterns we see are those names linked by relations.</w:t>
      </w:r>
    </w:p>
    <w:p>
      <w:pPr>
        <w:numPr>
          <w:ilvl w:val="0"/>
          <w:numId w:val="1002"/>
        </w:numPr>
      </w:pPr>
      <w:r>
        <w:rPr>
          <w:b/>
          <w:bCs/>
        </w:rPr>
        <w:t xml:space="preserve">Other Relevant Glyphs</w:t>
      </w:r>
      <w:r>
        <w:t xml:space="preserve">: A few other glyphs deserve mention due to their potential roles across these texts:</w:t>
      </w:r>
    </w:p>
    <w:p>
      <w:pPr>
        <w:pStyle w:val="Compact"/>
        <w:numPr>
          <w:ilvl w:val="0"/>
          <w:numId w:val="1002"/>
        </w:numPr>
      </w:pPr>
      <w:r>
        <w:rPr>
          <w:b/>
          <w:bCs/>
        </w:rPr>
        <w:t xml:space="preserve">Glyph 610 – “Egg / Origin”</w:t>
      </w:r>
      <w:r>
        <w:t xml:space="preserve">: Listed as</w:t>
      </w:r>
      <w:r>
        <w:t xml:space="preserve"> </w:t>
      </w:r>
      <w:r>
        <w:rPr>
          <w:i/>
          <w:iCs/>
        </w:rPr>
        <w:t xml:space="preserve">hua</w:t>
      </w:r>
      <w:r>
        <w:t xml:space="preserve"> </w:t>
      </w:r>
      <w:r>
        <w:t xml:space="preserve">(“fruit/egg”) and</w:t>
      </w:r>
      <w:r>
        <w:t xml:space="preserve"> </w:t>
      </w:r>
      <w:r>
        <w:rPr>
          <w:i/>
          <w:iCs/>
        </w:rPr>
        <w:t xml:space="preserve">timu</w:t>
      </w:r>
      <w:r>
        <w:t xml:space="preserve"> </w:t>
      </w:r>
      <w:r>
        <w:t xml:space="preserve">(“beginning”)</w:t>
      </w:r>
      <w:hyperlink r:id="rId40">
        <w:r>
          <w:rPr>
            <w:rStyle w:val="Hyperlink"/>
          </w:rPr>
          <w:t xml:space="preserve">[19]</w:t>
        </w:r>
      </w:hyperlink>
      <w:r>
        <w:t xml:space="preserve">, this glyph could symbolize the concept of birth or genesis. If the Staff details creation, an “egg” glyph might appear when talking about the origin of birds or the first emergence of something. If found on Aruku Kurenga, it could mark the “origin” point in a genealogy or myth (perhaps the first ancestor or the cosmic egg). Its presence would directly signal cosmogony. We will want to watch for 610 on both texts in future analysis.</w:t>
      </w:r>
    </w:p>
    <w:p>
      <w:pPr>
        <w:pStyle w:val="Compact"/>
        <w:numPr>
          <w:ilvl w:val="0"/>
          <w:numId w:val="1002"/>
        </w:numPr>
      </w:pPr>
      <w:r>
        <w:rPr>
          <w:b/>
          <w:bCs/>
        </w:rPr>
        <w:t xml:space="preserve">Glyph 90 – “Belly / Pregnant”</w:t>
      </w:r>
      <w:r>
        <w:t xml:space="preserve">: Transliterated as</w:t>
      </w:r>
      <w:r>
        <w:t xml:space="preserve"> </w:t>
      </w:r>
      <w:r>
        <w:rPr>
          <w:i/>
          <w:iCs/>
        </w:rPr>
        <w:t xml:space="preserve">kōpū</w:t>
      </w:r>
      <w:r>
        <w:t xml:space="preserve"> </w:t>
      </w:r>
      <w:r>
        <w:t xml:space="preserve">(belly) or</w:t>
      </w:r>
      <w:r>
        <w:t xml:space="preserve"> </w:t>
      </w:r>
      <w:r>
        <w:rPr>
          <w:i/>
          <w:iCs/>
        </w:rPr>
        <w:t xml:space="preserve">hapū</w:t>
      </w:r>
      <w:r>
        <w:t xml:space="preserve"> </w:t>
      </w:r>
      <w:r>
        <w:t xml:space="preserve">(pregnant)</w:t>
      </w:r>
      <w:hyperlink r:id="rId40">
        <w:r>
          <w:rPr>
            <w:rStyle w:val="Hyperlink"/>
          </w:rPr>
          <w:t xml:space="preserve">[40]</w:t>
        </w:r>
      </w:hyperlink>
      <w:r>
        <w:t xml:space="preserve">, this glyph (depicted as a distended abdomen) explicitly denotes pregnancy or fullness. On the Staff, it might appear as a way to say “became pregnant” or to indicate a female entity’s role as mother. On a creation staff, one might expect something like “sky (glyph) copulated with earth (glyph): (glyph 90) [meaning pregnancy] and then offspring glyph…”, though Fischer’s interpretation didn’t incorporate 90 explicitly. If 90 appears on Text B, it would be a strong hint of an actual</w:t>
      </w:r>
      <w:r>
        <w:t xml:space="preserve"> </w:t>
      </w:r>
      <w:r>
        <w:rPr>
          <w:b/>
          <w:bCs/>
        </w:rPr>
        <w:t xml:space="preserve">“was pregnant with”</w:t>
      </w:r>
      <w:r>
        <w:t xml:space="preserve"> </w:t>
      </w:r>
      <w:r>
        <w:t xml:space="preserve">concept, reinforcing a procreative narrative. Given the formula usually doesn’t spell out “was born” (the result is just named), glyph 90 might be rare, but it’s a possibility to consider in comparative study (especially when we move to the Mamari tablet which has lunar/fertility content).</w:t>
      </w:r>
    </w:p>
    <w:p>
      <w:pPr>
        <w:pStyle w:val="Compact"/>
        <w:numPr>
          <w:ilvl w:val="0"/>
          <w:numId w:val="1002"/>
        </w:numPr>
      </w:pPr>
      <w:r>
        <w:rPr>
          <w:b/>
          <w:bCs/>
        </w:rPr>
        <w:t xml:space="preserve">Glyph 400 – “Child / Offspring”</w:t>
      </w:r>
      <w:r>
        <w:t xml:space="preserve">: Transcribed as</w:t>
      </w:r>
      <w:r>
        <w:t xml:space="preserve"> </w:t>
      </w:r>
      <w:r>
        <w:rPr>
          <w:i/>
          <w:iCs/>
        </w:rPr>
        <w:t xml:space="preserve">poki</w:t>
      </w:r>
      <w:r>
        <w:t xml:space="preserve"> </w:t>
      </w:r>
      <w:r>
        <w:t xml:space="preserve">or</w:t>
      </w:r>
      <w:r>
        <w:t xml:space="preserve"> </w:t>
      </w:r>
      <w:r>
        <w:rPr>
          <w:i/>
          <w:iCs/>
        </w:rPr>
        <w:t xml:space="preserve">hua</w:t>
      </w:r>
      <w:r>
        <w:t xml:space="preserve"> </w:t>
      </w:r>
      <w:r>
        <w:t xml:space="preserve">(“child/offspring”)</w:t>
      </w:r>
      <w:hyperlink r:id="rId54">
        <w:r>
          <w:rPr>
            <w:rStyle w:val="Hyperlink"/>
          </w:rPr>
          <w:t xml:space="preserve">[36]</w:t>
        </w:r>
      </w:hyperlink>
      <w:r>
        <w:t xml:space="preserve">, this glyph shows a small human figure often interpreted as a child. Neither Fischer’s reading nor the genealogy hypothesis for the Staff explicitly identifies glyph 400 in the sequences – possibly because parent-child is implied by adjacency or by 76 rather than a standalone “child” glyph. However, the lexicon’s inclusion of an “offspring” glyph suggests that in some contexts (maybe on other tablets, or perhaps at the end of a genealogy list) a child symbol might cap a lineage. If Text B’s repeated sequence ended with a glyph 400, for example, it would clearly indicate</w:t>
      </w:r>
      <w:r>
        <w:t xml:space="preserve"> </w:t>
      </w:r>
      <w:r>
        <w:rPr>
          <w:i/>
          <w:iCs/>
        </w:rPr>
        <w:t xml:space="preserve">“…and a child resulted.”</w:t>
      </w:r>
      <w:r>
        <w:t xml:space="preserve"> </w:t>
      </w:r>
      <w:r>
        <w:t xml:space="preserve">There’s no evidence of that in the known fragment, but cross-checking the ends of repeated passages for glyph 400 is a strategy. The fact that both texts emphasize offspring conceptually (either new gods or next generation humans) means glyph 400 is conceptually relevant even if not overtly used.</w:t>
      </w:r>
    </w:p>
    <w:p>
      <w:pPr>
        <w:pStyle w:val="FirstParagraph"/>
      </w:pPr>
      <w:r>
        <w:t xml:space="preserve">Phonetically, many of these glyphs have Rapanui readings provided (which we’ve noted:</w:t>
      </w:r>
      <w:r>
        <w:t xml:space="preserve"> </w:t>
      </w:r>
      <w:r>
        <w:rPr>
          <w:i/>
          <w:iCs/>
        </w:rPr>
        <w:t xml:space="preserve">ai, fanau, manu, ika, ariki, etc.</w:t>
      </w:r>
      <w:r>
        <w:t xml:space="preserve">). If the rongorongo script is semi-phonetic, Text I and Text B might contain actual Rapanui or Polynesian words embedded in their sequences (for example,</w:t>
      </w:r>
      <w:r>
        <w:t xml:space="preserve"> </w:t>
      </w:r>
      <w:r>
        <w:rPr>
          <w:i/>
          <w:iCs/>
        </w:rPr>
        <w:t xml:space="preserve">ra‘a</w:t>
      </w:r>
      <w:r>
        <w:t xml:space="preserve"> </w:t>
      </w:r>
      <w:r>
        <w:t xml:space="preserve">for sun at glyph 8</w:t>
      </w:r>
      <w:hyperlink r:id="rId40">
        <w:r>
          <w:rPr>
            <w:rStyle w:val="Hyperlink"/>
          </w:rPr>
          <w:t xml:space="preserve">[41]</w:t>
        </w:r>
      </w:hyperlink>
      <w:r>
        <w:t xml:space="preserve">,</w:t>
      </w:r>
      <w:r>
        <w:t xml:space="preserve"> </w:t>
      </w:r>
      <w:r>
        <w:rPr>
          <w:i/>
          <w:iCs/>
        </w:rPr>
        <w:t xml:space="preserve">ika</w:t>
      </w:r>
      <w:r>
        <w:t xml:space="preserve"> </w:t>
      </w:r>
      <w:r>
        <w:t xml:space="preserve">for fish at glyph 700</w:t>
      </w:r>
      <w:hyperlink r:id="rId40">
        <w:r>
          <w:rPr>
            <w:rStyle w:val="Hyperlink"/>
          </w:rPr>
          <w:t xml:space="preserve">[29]</w:t>
        </w:r>
      </w:hyperlink>
      <w:r>
        <w:t xml:space="preserve">,</w:t>
      </w:r>
      <w:r>
        <w:t xml:space="preserve"> </w:t>
      </w:r>
      <w:r>
        <w:rPr>
          <w:i/>
          <w:iCs/>
        </w:rPr>
        <w:t xml:space="preserve">manu</w:t>
      </w:r>
      <w:r>
        <w:t xml:space="preserve"> </w:t>
      </w:r>
      <w:r>
        <w:t xml:space="preserve">for bird at glyph 600/606</w:t>
      </w:r>
      <w:hyperlink r:id="rId40">
        <w:r>
          <w:rPr>
            <w:rStyle w:val="Hyperlink"/>
          </w:rPr>
          <w:t xml:space="preserve">[24]</w:t>
        </w:r>
      </w:hyperlink>
      <w:r>
        <w:t xml:space="preserve">,</w:t>
      </w:r>
      <w:r>
        <w:t xml:space="preserve"> </w:t>
      </w:r>
      <w:r>
        <w:rPr>
          <w:i/>
          <w:iCs/>
        </w:rPr>
        <w:t xml:space="preserve">tangata</w:t>
      </w:r>
      <w:r>
        <w:t xml:space="preserve"> </w:t>
      </w:r>
      <w:r>
        <w:t xml:space="preserve">or</w:t>
      </w:r>
      <w:r>
        <w:t xml:space="preserve"> </w:t>
      </w:r>
      <w:r>
        <w:rPr>
          <w:i/>
          <w:iCs/>
        </w:rPr>
        <w:t xml:space="preserve">ariki</w:t>
      </w:r>
      <w:r>
        <w:t xml:space="preserve"> </w:t>
      </w:r>
      <w:r>
        <w:t xml:space="preserve">for persons at glyphs 1/200</w:t>
      </w:r>
      <w:hyperlink r:id="rId40">
        <w:r>
          <w:rPr>
            <w:rStyle w:val="Hyperlink"/>
          </w:rPr>
          <w:t xml:space="preserve">[34]</w:t>
        </w:r>
      </w:hyperlink>
      <w:r>
        <w:t xml:space="preserve">, and</w:t>
      </w:r>
      <w:r>
        <w:t xml:space="preserve"> </w:t>
      </w:r>
      <w:r>
        <w:rPr>
          <w:i/>
          <w:iCs/>
        </w:rPr>
        <w:t xml:space="preserve">vai</w:t>
      </w:r>
      <w:r>
        <w:t xml:space="preserve"> </w:t>
      </w:r>
      <w:r>
        <w:t xml:space="preserve">or similar for any water glyph 40, etc.). The presence of parallel patterns increases the likelihood that the sounds could be systematically compared. For instance, if we suspect Text B’s repeated line corresponds to a phrase in Rapanui, and we know Text I’s phrases as per Fischer, we might attempt a phonetic decoding of Text B by analogy. Our lexicon gives us a head start in that regard, equipping us with plausible sounds/meanings for each glyph.</w:t>
      </w:r>
    </w:p>
    <w:bookmarkEnd w:id="58"/>
    <w:bookmarkStart w:id="60" w:name="conclusion"/>
    <w:p>
      <w:pPr>
        <w:pStyle w:val="Heading2"/>
      </w:pPr>
      <w:r>
        <w:t xml:space="preserve">Conclusion</w:t>
      </w:r>
    </w:p>
    <w:p>
      <w:pPr>
        <w:pStyle w:val="FirstParagraph"/>
      </w:pPr>
      <w:r>
        <w:t xml:space="preserve">By closely analyzing Text I (Santiago Staff) and Text B (Aruku Kurenga) side by side, we uncover a network of</w:t>
      </w:r>
      <w:r>
        <w:t xml:space="preserve"> </w:t>
      </w:r>
      <w:r>
        <w:rPr>
          <w:b/>
          <w:bCs/>
        </w:rPr>
        <w:t xml:space="preserve">shared structures, motifs, and symbols</w:t>
      </w:r>
      <w:r>
        <w:t xml:space="preserve"> </w:t>
      </w:r>
      <w:r>
        <w:t xml:space="preserve">that point to a common genre or subject matter in these rongorongo records. Both are</w:t>
      </w:r>
      <w:r>
        <w:t xml:space="preserve"> </w:t>
      </w:r>
      <w:r>
        <w:rPr>
          <w:b/>
          <w:bCs/>
        </w:rPr>
        <w:t xml:space="preserve">highly structured texts</w:t>
      </w:r>
      <w:r>
        <w:t xml:space="preserve"> </w:t>
      </w:r>
      <w:r>
        <w:t xml:space="preserve">that use repeating glyph sequences to convey either cosmogonic events or genealogical linkages (or both). The evidence for this includes:</w:t>
      </w:r>
    </w:p>
    <w:p>
      <w:pPr>
        <w:numPr>
          <w:ilvl w:val="0"/>
          <w:numId w:val="1003"/>
        </w:numPr>
      </w:pPr>
      <w:r>
        <w:rPr>
          <w:b/>
          <w:bCs/>
        </w:rPr>
        <w:t xml:space="preserve">Shared sequence patterns</w:t>
      </w:r>
      <w:r>
        <w:t xml:space="preserve">: Triplet formulas and parallel verses appear in both (explicit “X copulated with Y: Z” sequences on the Staff</w:t>
      </w:r>
      <w:hyperlink r:id="rId28">
        <w:r>
          <w:rPr>
            <w:rStyle w:val="Hyperlink"/>
          </w:rPr>
          <w:t xml:space="preserve">[7]</w:t>
        </w:r>
      </w:hyperlink>
      <w:hyperlink r:id="rId30">
        <w:r>
          <w:rPr>
            <w:rStyle w:val="Hyperlink"/>
          </w:rPr>
          <w:t xml:space="preserve">[9]</w:t>
        </w:r>
      </w:hyperlink>
      <w:r>
        <w:t xml:space="preserve">, and the thrice-iterated sequence on Aruku Kurenga</w:t>
      </w:r>
      <w:hyperlink r:id="rId22">
        <w:r>
          <w:rPr>
            <w:rStyle w:val="Hyperlink"/>
          </w:rPr>
          <w:t xml:space="preserve">[2]</w:t>
        </w:r>
      </w:hyperlink>
      <w:hyperlink r:id="rId24">
        <w:r>
          <w:rPr>
            <w:rStyle w:val="Hyperlink"/>
          </w:rPr>
          <w:t xml:space="preserve">[4]</w:t>
        </w:r>
      </w:hyperlink>
      <w:r>
        <w:t xml:space="preserve">). This indicates a similar narrative logic underlying both inscriptions.</w:t>
      </w:r>
    </w:p>
    <w:p>
      <w:pPr>
        <w:numPr>
          <w:ilvl w:val="0"/>
          <w:numId w:val="1003"/>
        </w:numPr>
      </w:pPr>
      <w:r>
        <w:rPr>
          <w:b/>
          <w:bCs/>
        </w:rPr>
        <w:t xml:space="preserve">Common thematic elements</w:t>
      </w:r>
      <w:r>
        <w:t xml:space="preserve">: Birds, fish, and other animals, as well as anthropomorphic figures (chiefs, deities) occur in both texts’ content. These likely map to Polynesian mythic themes – sky/air creatures (birds) interacting with sea creatures (fish) to produce cosmic entities (sun) on the Staff</w:t>
      </w:r>
      <w:hyperlink r:id="rId23">
        <w:r>
          <w:rPr>
            <w:rStyle w:val="Hyperlink"/>
          </w:rPr>
          <w:t xml:space="preserve">[3]</w:t>
        </w:r>
      </w:hyperlink>
      <w:r>
        <w:t xml:space="preserve">, and possibly analogous mythic pairings or ancestral relations on Tablet B. Both texts seem to record</w:t>
      </w:r>
      <w:r>
        <w:t xml:space="preserve"> </w:t>
      </w:r>
      <w:r>
        <w:rPr>
          <w:b/>
          <w:bCs/>
        </w:rPr>
        <w:t xml:space="preserve">cosmogonic genealogies or genealogical cosmologies</w:t>
      </w:r>
      <w:r>
        <w:t xml:space="preserve">, a blend typical of Polynesian chants where gods beget other gods or founding ancestors.</w:t>
      </w:r>
    </w:p>
    <w:p>
      <w:pPr>
        <w:numPr>
          <w:ilvl w:val="0"/>
          <w:numId w:val="1003"/>
        </w:numPr>
      </w:pPr>
      <w:r>
        <w:rPr>
          <w:b/>
          <w:bCs/>
        </w:rPr>
        <w:t xml:space="preserve">Segmented, list-like composition</w:t>
      </w:r>
      <w:r>
        <w:t xml:space="preserve">: The Staff is divided into many short segments (demarcated by vertical lines)</w:t>
      </w:r>
      <w:hyperlink r:id="rId21">
        <w:r>
          <w:rPr>
            <w:rStyle w:val="Hyperlink"/>
          </w:rPr>
          <w:t xml:space="preserve">[1]</w:t>
        </w:r>
      </w:hyperlink>
      <w:r>
        <w:t xml:space="preserve">, and while Aruku Kurenga lacks inscribed dividers, it internally segments its content by repeating a list entry three times</w:t>
      </w:r>
      <w:hyperlink r:id="rId22">
        <w:r>
          <w:rPr>
            <w:rStyle w:val="Hyperlink"/>
          </w:rPr>
          <w:t xml:space="preserve">[2]</w:t>
        </w:r>
      </w:hyperlink>
      <w:r>
        <w:t xml:space="preserve">. This list structure suggests that both are akin to</w:t>
      </w:r>
      <w:r>
        <w:t xml:space="preserve"> </w:t>
      </w:r>
      <w:r>
        <w:rPr>
          <w:b/>
          <w:bCs/>
        </w:rPr>
        <w:t xml:space="preserve">catalogs or litanies</w:t>
      </w:r>
      <w:r>
        <w:t xml:space="preserve"> </w:t>
      </w:r>
      <w:r>
        <w:t xml:space="preserve">(e.g., a list of creation events, or a lineage list). They are not free-flowing prose but carefully ordered information, likely meant to be chanted or memorized as such.</w:t>
      </w:r>
    </w:p>
    <w:p>
      <w:pPr>
        <w:numPr>
          <w:ilvl w:val="0"/>
          <w:numId w:val="1003"/>
        </w:numPr>
      </w:pPr>
      <w:r>
        <w:rPr>
          <w:b/>
          <w:bCs/>
        </w:rPr>
        <w:t xml:space="preserve">Glyph-by-glyph correlations</w:t>
      </w:r>
      <w:r>
        <w:t xml:space="preserve">: Using the updated lexicon, we have matched key glyphs across the two texts and found consistent meanings that reinforce the above points. Glyph 76 (phallus) ties names together in both, whether to indicate procreation or lineage</w:t>
      </w:r>
      <w:hyperlink r:id="rId43">
        <w:r>
          <w:rPr>
            <w:rStyle w:val="Hyperlink"/>
          </w:rPr>
          <w:t xml:space="preserve">[21]</w:t>
        </w:r>
      </w:hyperlink>
      <w:hyperlink r:id="rId33">
        <w:r>
          <w:rPr>
            <w:rStyle w:val="Hyperlink"/>
          </w:rPr>
          <w:t xml:space="preserve">[13]</w:t>
        </w:r>
      </w:hyperlink>
      <w:r>
        <w:t xml:space="preserve">. Glyph 606/600 (bird) points to collective beings or spiritual entities important in both texts’ narratives</w:t>
      </w:r>
      <w:hyperlink r:id="rId40">
        <w:r>
          <w:rPr>
            <w:rStyle w:val="Hyperlink"/>
          </w:rPr>
          <w:t xml:space="preserve">[24]</w:t>
        </w:r>
      </w:hyperlink>
      <w:r>
        <w:t xml:space="preserve">. Glyph 700 (fish) may denote an object of creation or a metaphor for a victim, contextualizing whether the text is mythic or historical</w:t>
      </w:r>
      <w:hyperlink r:id="rId35">
        <w:r>
          <w:rPr>
            <w:rStyle w:val="Hyperlink"/>
          </w:rPr>
          <w:t xml:space="preserve">[15]</w:t>
        </w:r>
      </w:hyperlink>
      <w:r>
        <w:t xml:space="preserve">. Human figure glyphs (1, 200, 300, 400) represent the cast of characters (gods, ancestors, offspring) in both. These correspondences give us tangible clues: for instance, if we identify a sequence in Mamari (Text C) that reads similarly or uses the same glyph combinations, we could infer it too might be listing genealogies or mythic pairings.</w:t>
      </w:r>
    </w:p>
    <w:p>
      <w:pPr>
        <w:pStyle w:val="FirstParagraph"/>
      </w:pPr>
      <w:r>
        <w:t xml:space="preserve">The analysis of Texts I and B thus builds a foundational template for approaching other rongorongo texts, especially the</w:t>
      </w:r>
      <w:r>
        <w:t xml:space="preserve"> </w:t>
      </w:r>
      <w:r>
        <w:rPr>
          <w:b/>
          <w:bCs/>
        </w:rPr>
        <w:t xml:space="preserve">Mamari Tablet (Text C)</w:t>
      </w:r>
      <w:r>
        <w:t xml:space="preserve">. Mamari is known to contain the so-called “lunar calendar,” but it might also embed genealogy or myth (scholars like Barthel and Guy have noted narrative sequences in Mamari beyond the pure calendar). By applying the patterns observed here – e.g. looking for triadic structures or patronymic chains – we can more confidently identify sections of Mamari that could be cosmogonic or genealogical in nature. For example, if Mamari has a segment with alternating 200 and 76 glyphs, we might recognize it as a king list like those on the Staff and Aruku. Conversely, if it has sequences of glyph 8 (sun), 10 (moon), etc., joined by 76, we might see a creation hymn akin to Atua Matariri’s verses</w:t>
      </w:r>
      <w:hyperlink r:id="rId31">
        <w:r>
          <w:rPr>
            <w:rStyle w:val="Hyperlink"/>
          </w:rPr>
          <w:t xml:space="preserve">[10]</w:t>
        </w:r>
      </w:hyperlink>
      <w:r>
        <w:t xml:space="preserve">.</w:t>
      </w:r>
    </w:p>
    <w:p>
      <w:pPr>
        <w:pStyle w:val="BodyText"/>
      </w:pPr>
      <w:r>
        <w:t xml:space="preserve">In conclusion, the cross-correlation between the Santiago Staff and Aruku Kurenga reveals that</w:t>
      </w:r>
      <w:r>
        <w:t xml:space="preserve"> </w:t>
      </w:r>
      <w:r>
        <w:rPr>
          <w:b/>
          <w:bCs/>
        </w:rPr>
        <w:t xml:space="preserve">both texts serve a similar function: preserving a sequence of interrelated events or lineage steps through a repetitive, formulaic script</w:t>
      </w:r>
      <w:r>
        <w:t xml:space="preserve">. They likely encode</w:t>
      </w:r>
      <w:r>
        <w:t xml:space="preserve"> </w:t>
      </w:r>
      <w:r>
        <w:rPr>
          <w:b/>
          <w:bCs/>
        </w:rPr>
        <w:t xml:space="preserve">cosmogonic (“origin”) knowledge and genealogies</w:t>
      </w:r>
      <w:r>
        <w:t xml:space="preserve"> </w:t>
      </w:r>
      <w:r>
        <w:t xml:space="preserve">of either gods or chiefs, using the same repertoire of glyphs and structural devices. The confirmed matches (such as the use of glyph 76 as a relational marker, or the occurrence of specific thematic glyphs like birds and fish in analogous roles) and even the partial alignments (like the concept of repeating a passage thrice on Text B, versus repeating a formula with variations dozens of times on Text I) give us a blueprint. We see</w:t>
      </w:r>
      <w:r>
        <w:t xml:space="preserve"> </w:t>
      </w:r>
      <w:r>
        <w:rPr>
          <w:b/>
          <w:bCs/>
        </w:rPr>
        <w:t xml:space="preserve">contrasting uses</w:t>
      </w:r>
      <w:r>
        <w:t xml:space="preserve"> </w:t>
      </w:r>
      <w:r>
        <w:t xml:space="preserve">only in nuance: Text I spells out the copulation explicitly with glyph 76 in every instance, whereas Text B might show a more</w:t>
      </w:r>
      <w:r>
        <w:t xml:space="preserve"> </w:t>
      </w:r>
      <w:r>
        <w:rPr>
          <w:b/>
          <w:bCs/>
        </w:rPr>
        <w:t xml:space="preserve">abbreviated or stylistic approach</w:t>
      </w:r>
      <w:r>
        <w:t xml:space="preserve"> </w:t>
      </w:r>
      <w:r>
        <w:t xml:space="preserve">(repeating content rather than an explicit copula each time) – yet fundamentally, they are executing the</w:t>
      </w:r>
      <w:r>
        <w:t xml:space="preserve"> </w:t>
      </w:r>
      <w:r>
        <w:rPr>
          <w:i/>
          <w:iCs/>
        </w:rPr>
        <w:t xml:space="preserve">same task</w:t>
      </w:r>
      <w:r>
        <w:t xml:space="preserve"> </w:t>
      </w:r>
      <w:r>
        <w:t xml:space="preserve">in the script.</w:t>
      </w:r>
    </w:p>
    <w:p>
      <w:pPr>
        <w:pStyle w:val="BodyText"/>
      </w:pPr>
      <w:r>
        <w:t xml:space="preserve">This comparative study provides a clearer lens through which to view the rest of the rongorongo corpus. Having identified these patterns, researchers can now proceed to</w:t>
      </w:r>
      <w:r>
        <w:t xml:space="preserve"> </w:t>
      </w:r>
      <w:r>
        <w:rPr>
          <w:b/>
          <w:bCs/>
        </w:rPr>
        <w:t xml:space="preserve">Tablet C (Mamari)</w:t>
      </w:r>
      <w:r>
        <w:t xml:space="preserve"> </w:t>
      </w:r>
      <w:r>
        <w:t xml:space="preserve">and others to test for similar sequences, armed with the knowledge of what a cosmogonic or genealogical sequence looks like in glyph terms. The consistencies between Text I and Text B strengthen the case that rongorongo is at least partly</w:t>
      </w:r>
      <w:r>
        <w:t xml:space="preserve"> </w:t>
      </w:r>
      <w:r>
        <w:rPr>
          <w:b/>
          <w:bCs/>
        </w:rPr>
        <w:t xml:space="preserve">readable</w:t>
      </w:r>
      <w:r>
        <w:t xml:space="preserve"> </w:t>
      </w:r>
      <w:r>
        <w:t xml:space="preserve">once the genre and structure of a text are understood. We now have strong evidence that when we see certain glyph combinations (for example, an animal glyph followed by 76 and another glyph, or a person’s glyph with 76 attached as a suffix</w:t>
      </w:r>
      <w:hyperlink r:id="rId59">
        <w:r>
          <w:rPr>
            <w:rStyle w:val="Hyperlink"/>
          </w:rPr>
          <w:t xml:space="preserve">[42]</w:t>
        </w:r>
      </w:hyperlink>
      <w:r>
        <w:t xml:space="preserve">), we should interpret them as part of these formulaic “X of Y” or “X with Y produced Z” constructions that these two texts exemplify. Thus, the work on Texts I and B is a crucial stepping stone: it uncovers the</w:t>
      </w:r>
      <w:r>
        <w:t xml:space="preserve"> </w:t>
      </w:r>
      <w:r>
        <w:rPr>
          <w:b/>
          <w:bCs/>
        </w:rPr>
        <w:t xml:space="preserve">framework of meaning</w:t>
      </w:r>
      <w:r>
        <w:t xml:space="preserve"> </w:t>
      </w:r>
      <w:r>
        <w:t xml:space="preserve">– genealogical and cosmogonic – that likely underlies many of the rongorongo inscriptions, bringing us one step closer to unraveling the entire script’s mysteries.</w:t>
      </w:r>
    </w:p>
    <w:p>
      <w:pPr>
        <w:pStyle w:val="BodyText"/>
      </w:pPr>
      <w:r>
        <w:rPr>
          <w:b/>
          <w:bCs/>
        </w:rPr>
        <w:t xml:space="preserve">Sources:</w:t>
      </w:r>
    </w:p>
    <w:p>
      <w:pPr>
        <w:pStyle w:val="Compact"/>
        <w:numPr>
          <w:ilvl w:val="0"/>
          <w:numId w:val="1004"/>
        </w:numPr>
      </w:pPr>
      <w:r>
        <w:t xml:space="preserve">Pozdniakov, K. (1996). Analysis of phrase parallels between texts (Staff shares phrases with Gv and T)</w:t>
      </w:r>
      <w:hyperlink r:id="rId26">
        <w:r>
          <w:rPr>
            <w:rStyle w:val="Hyperlink"/>
          </w:rPr>
          <w:t xml:space="preserve">[6]</w:t>
        </w:r>
      </w:hyperlink>
      <w:r>
        <w:t xml:space="preserve">.</w:t>
      </w:r>
    </w:p>
    <w:p>
      <w:pPr>
        <w:pStyle w:val="Compact"/>
        <w:numPr>
          <w:ilvl w:val="0"/>
          <w:numId w:val="1004"/>
        </w:numPr>
      </w:pPr>
      <w:r>
        <w:t xml:space="preserve">Fischer, S. (1997).</w:t>
      </w:r>
      <w:r>
        <w:t xml:space="preserve"> </w:t>
      </w:r>
      <w:r>
        <w:rPr>
          <w:i/>
          <w:iCs/>
        </w:rPr>
        <w:t xml:space="preserve">Rongorongo</w:t>
      </w:r>
      <w:r>
        <w:t xml:space="preserve">: identified glyph 76 as “copulate” and proposed creation chant reading of Staff</w:t>
      </w:r>
      <w:hyperlink r:id="rId28">
        <w:r>
          <w:rPr>
            <w:rStyle w:val="Hyperlink"/>
          </w:rPr>
          <w:t xml:space="preserve">[7]</w:t>
        </w:r>
      </w:hyperlink>
      <w:hyperlink r:id="rId23">
        <w:r>
          <w:rPr>
            <w:rStyle w:val="Hyperlink"/>
          </w:rPr>
          <w:t xml:space="preserve">[3]</w:t>
        </w:r>
      </w:hyperlink>
      <w:r>
        <w:t xml:space="preserve">. Example:</w:t>
      </w:r>
      <w:r>
        <w:t xml:space="preserve"> </w:t>
      </w:r>
      <w:r>
        <w:rPr>
          <w:i/>
          <w:iCs/>
        </w:rPr>
        <w:t xml:space="preserve">606.76 700 8</w:t>
      </w:r>
      <w:r>
        <w:t xml:space="preserve"> </w:t>
      </w:r>
      <w:r>
        <w:t xml:space="preserve">= “all the birds copulated with the fish; the sun [was born]”</w:t>
      </w:r>
      <w:hyperlink r:id="rId47">
        <w:r>
          <w:rPr>
            <w:rStyle w:val="Hyperlink"/>
          </w:rPr>
          <w:t xml:space="preserve">[26]</w:t>
        </w:r>
      </w:hyperlink>
      <w:hyperlink r:id="rId30">
        <w:r>
          <w:rPr>
            <w:rStyle w:val="Hyperlink"/>
          </w:rPr>
          <w:t xml:space="preserve">[9]</w:t>
        </w:r>
      </w:hyperlink>
      <w:r>
        <w:t xml:space="preserve">.</w:t>
      </w:r>
    </w:p>
    <w:p>
      <w:pPr>
        <w:pStyle w:val="Compact"/>
        <w:numPr>
          <w:ilvl w:val="0"/>
          <w:numId w:val="1004"/>
        </w:numPr>
      </w:pPr>
      <w:r>
        <w:t xml:space="preserve">Guy, J. (1998). Critique of Fischer, suggesting 76 may mark patronymics (thus Staff as list of names)</w:t>
      </w:r>
      <w:hyperlink r:id="rId38">
        <w:r>
          <w:rPr>
            <w:rStyle w:val="Hyperlink"/>
          </w:rPr>
          <w:t xml:space="preserve">[17]</w:t>
        </w:r>
      </w:hyperlink>
      <w:r>
        <w:t xml:space="preserve">. Notion that</w:t>
      </w:r>
      <w:r>
        <w:t xml:space="preserve"> </w:t>
      </w:r>
      <w:r>
        <w:rPr>
          <w:i/>
          <w:iCs/>
        </w:rPr>
        <w:t xml:space="preserve">îka</w:t>
      </w:r>
      <w:r>
        <w:t xml:space="preserve"> </w:t>
      </w:r>
      <w:r>
        <w:t xml:space="preserve">(glyph 700) can mean “victim” (war casualty)</w:t>
      </w:r>
      <w:hyperlink r:id="rId35">
        <w:r>
          <w:rPr>
            <w:rStyle w:val="Hyperlink"/>
          </w:rPr>
          <w:t xml:space="preserve">[15]</w:t>
        </w:r>
      </w:hyperlink>
      <w:r>
        <w:t xml:space="preserve">.</w:t>
      </w:r>
    </w:p>
    <w:p>
      <w:pPr>
        <w:pStyle w:val="Compact"/>
        <w:numPr>
          <w:ilvl w:val="0"/>
          <w:numId w:val="1004"/>
        </w:numPr>
      </w:pPr>
      <w:r>
        <w:t xml:space="preserve">Butinov, N., &amp; Knorozov, Y. (1956). Hypothesis that Text B contains a genealogy or unified text in three variants</w:t>
      </w:r>
      <w:hyperlink r:id="rId22">
        <w:r>
          <w:rPr>
            <w:rStyle w:val="Hyperlink"/>
          </w:rPr>
          <w:t xml:space="preserve">[2]</w:t>
        </w:r>
      </w:hyperlink>
      <w:r>
        <w:t xml:space="preserve">; glyph 76 seen as patronymic “son of” linking titles</w:t>
      </w:r>
      <w:hyperlink r:id="rId33">
        <w:r>
          <w:rPr>
            <w:rStyle w:val="Hyperlink"/>
          </w:rPr>
          <w:t xml:space="preserve">[13]</w:t>
        </w:r>
      </w:hyperlink>
      <w:r>
        <w:t xml:space="preserve">.</w:t>
      </w:r>
    </w:p>
    <w:p>
      <w:pPr>
        <w:pStyle w:val="Compact"/>
        <w:numPr>
          <w:ilvl w:val="0"/>
          <w:numId w:val="1004"/>
        </w:numPr>
      </w:pPr>
      <w:r>
        <w:rPr>
          <w:b/>
          <w:bCs/>
        </w:rPr>
        <w:t xml:space="preserve">Rongorongo Lexicon (Updated)</w:t>
      </w:r>
      <w:r>
        <w:t xml:space="preserve"> </w:t>
      </w:r>
      <w:r>
        <w:t xml:space="preserve">– Entries for</w:t>
      </w:r>
      <w:r>
        <w:t xml:space="preserve"> </w:t>
      </w:r>
      <w:r>
        <w:rPr>
          <w:b/>
          <w:bCs/>
        </w:rPr>
        <w:t xml:space="preserve">glyph 76</w:t>
      </w:r>
      <w:r>
        <w:t xml:space="preserve"> </w:t>
      </w:r>
      <w:r>
        <w:t xml:space="preserve">(“copulate, procreate”</w:t>
      </w:r>
      <w:r>
        <w:t xml:space="preserve"> </w:t>
      </w:r>
      <w:r>
        <w:rPr>
          <w:i/>
          <w:iCs/>
        </w:rPr>
        <w:t xml:space="preserve">ai, fanau</w:t>
      </w:r>
      <w:r>
        <w:t xml:space="preserve">; phallic marker)</w:t>
      </w:r>
      <w:hyperlink r:id="rId43">
        <w:r>
          <w:rPr>
            <w:rStyle w:val="Hyperlink"/>
          </w:rPr>
          <w:t xml:space="preserve">[21]</w:t>
        </w:r>
      </w:hyperlink>
      <w:r>
        <w:t xml:space="preserve">,</w:t>
      </w:r>
      <w:r>
        <w:t xml:space="preserve"> </w:t>
      </w:r>
      <w:r>
        <w:rPr>
          <w:b/>
          <w:bCs/>
        </w:rPr>
        <w:t xml:space="preserve">glyph 606</w:t>
      </w:r>
      <w:r>
        <w:t xml:space="preserve"> </w:t>
      </w:r>
      <w:r>
        <w:t xml:space="preserve">(“birds (plural)”</w:t>
      </w:r>
      <w:r>
        <w:t xml:space="preserve"> </w:t>
      </w:r>
      <w:r>
        <w:rPr>
          <w:i/>
          <w:iCs/>
        </w:rPr>
        <w:t xml:space="preserve">manu</w:t>
      </w:r>
      <w:r>
        <w:t xml:space="preserve">; composite of bird + plural hand)</w:t>
      </w:r>
      <w:hyperlink r:id="rId40">
        <w:r>
          <w:rPr>
            <w:rStyle w:val="Hyperlink"/>
          </w:rPr>
          <w:t xml:space="preserve">[24]</w:t>
        </w:r>
      </w:hyperlink>
      <w:hyperlink r:id="rId46">
        <w:r>
          <w:rPr>
            <w:rStyle w:val="Hyperlink"/>
          </w:rPr>
          <w:t xml:space="preserve">[25]</w:t>
        </w:r>
      </w:hyperlink>
      <w:r>
        <w:t xml:space="preserve">,</w:t>
      </w:r>
      <w:r>
        <w:t xml:space="preserve"> </w:t>
      </w:r>
      <w:r>
        <w:rPr>
          <w:b/>
          <w:bCs/>
        </w:rPr>
        <w:t xml:space="preserve">glyph 700</w:t>
      </w:r>
      <w:r>
        <w:t xml:space="preserve"> </w:t>
      </w:r>
      <w:r>
        <w:t xml:space="preserve">(“fish”</w:t>
      </w:r>
      <w:r>
        <w:t xml:space="preserve"> </w:t>
      </w:r>
      <w:r>
        <w:rPr>
          <w:i/>
          <w:iCs/>
        </w:rPr>
        <w:t xml:space="preserve">ika</w:t>
      </w:r>
      <w:r>
        <w:t xml:space="preserve">; also “victim/sacrifice” in context)</w:t>
      </w:r>
      <w:hyperlink r:id="rId40">
        <w:r>
          <w:rPr>
            <w:rStyle w:val="Hyperlink"/>
          </w:rPr>
          <w:t xml:space="preserve">[29]</w:t>
        </w:r>
      </w:hyperlink>
      <w:hyperlink r:id="rId35">
        <w:r>
          <w:rPr>
            <w:rStyle w:val="Hyperlink"/>
          </w:rPr>
          <w:t xml:space="preserve">[15]</w:t>
        </w:r>
      </w:hyperlink>
      <w:r>
        <w:t xml:space="preserve">,</w:t>
      </w:r>
      <w:r>
        <w:t xml:space="preserve"> </w:t>
      </w:r>
      <w:r>
        <w:rPr>
          <w:b/>
          <w:bCs/>
        </w:rPr>
        <w:t xml:space="preserve">glyph 1/200</w:t>
      </w:r>
      <w:r>
        <w:t xml:space="preserve"> </w:t>
      </w:r>
      <w:r>
        <w:t xml:space="preserve">(“person”</w:t>
      </w:r>
      <w:r>
        <w:t xml:space="preserve"> </w:t>
      </w:r>
      <w:r>
        <w:rPr>
          <w:i/>
          <w:iCs/>
        </w:rPr>
        <w:t xml:space="preserve">tangata</w:t>
      </w:r>
      <w:r>
        <w:t xml:space="preserve">; “chief/man”</w:t>
      </w:r>
      <w:r>
        <w:t xml:space="preserve"> </w:t>
      </w:r>
      <w:r>
        <w:rPr>
          <w:i/>
          <w:iCs/>
        </w:rPr>
        <w:t xml:space="preserve">ariki</w:t>
      </w:r>
      <w:r>
        <w:t xml:space="preserve">)</w:t>
      </w:r>
      <w:hyperlink r:id="rId52">
        <w:r>
          <w:rPr>
            <w:rStyle w:val="Hyperlink"/>
          </w:rPr>
          <w:t xml:space="preserve">[33]</w:t>
        </w:r>
      </w:hyperlink>
      <w:hyperlink r:id="rId40">
        <w:r>
          <w:rPr>
            <w:rStyle w:val="Hyperlink"/>
          </w:rPr>
          <w:t xml:space="preserve">[34]</w:t>
        </w:r>
      </w:hyperlink>
      <w:r>
        <w:t xml:space="preserve">, etc., confirming their use in genealogical/mythic contexts.</w:t>
      </w:r>
    </w:p>
    <w:p>
      <w:pPr>
        <w:pStyle w:val="Compact"/>
        <w:numPr>
          <w:ilvl w:val="0"/>
          <w:numId w:val="1004"/>
        </w:numPr>
      </w:pPr>
      <w:r>
        <w:t xml:space="preserve">Thomson, W. (1891) / Métraux, A. – Collected Rapanui chants like</w:t>
      </w:r>
      <w:r>
        <w:t xml:space="preserve"> </w:t>
      </w:r>
      <w:r>
        <w:rPr>
          <w:i/>
          <w:iCs/>
        </w:rPr>
        <w:t xml:space="preserve">Atua Matariri</w:t>
      </w:r>
      <w:r>
        <w:t xml:space="preserve"> </w:t>
      </w:r>
      <w:r>
        <w:t xml:space="preserve">with verses of form “X copulated with Y produced Z”</w:t>
      </w:r>
      <w:hyperlink r:id="rId31">
        <w:r>
          <w:rPr>
            <w:rStyle w:val="Hyperlink"/>
          </w:rPr>
          <w:t xml:space="preserve">[10]</w:t>
        </w:r>
      </w:hyperlink>
      <w:r>
        <w:t xml:space="preserve">, demonstrating the cultural prototype for the Staff’s text.</w:t>
      </w:r>
    </w:p>
    <w:p>
      <w:pPr>
        <w:pStyle w:val="Compact"/>
        <w:numPr>
          <w:ilvl w:val="0"/>
          <w:numId w:val="1004"/>
        </w:numPr>
      </w:pPr>
      <w:r>
        <w:t xml:space="preserve">Horley, P. (2011). Paleographic study showing repetition and variant glyph forms on Aruku Kurenga (e.g., triplicate sequence starting with 003.001-470-091t)</w:t>
      </w:r>
      <w:hyperlink r:id="rId24">
        <w:r>
          <w:rPr>
            <w:rStyle w:val="Hyperlink"/>
          </w:rPr>
          <w:t xml:space="preserve">[4]</w:t>
        </w:r>
      </w:hyperlink>
      <w:r>
        <w:t xml:space="preserve"> </w:t>
      </w:r>
      <w:r>
        <w:t xml:space="preserve">and noting scribal techniques (bird-headed variant) across texts</w:t>
      </w:r>
      <w:hyperlink r:id="rId25">
        <w:r>
          <w:rPr>
            <w:rStyle w:val="Hyperlink"/>
          </w:rPr>
          <w:t xml:space="preserve">[5]</w:t>
        </w:r>
      </w:hyperlink>
      <w:r>
        <w:t xml:space="preserve">.</w:t>
      </w:r>
    </w:p>
    <w:bookmarkEnd w:id="60"/>
    <w:bookmarkEnd w:id="61"/>
    <w:bookmarkEnd w:id="62"/>
    <w:p>
      <w:r>
        <w:pict>
          <v:rect style="width:0;height:1.5pt" o:hralign="center" o:hrstd="t" o:hr="t"/>
        </w:pict>
      </w:r>
    </w:p>
    <w:bookmarkStart w:id="70" w:name="citations"/>
    <w:p>
      <w:pPr>
        <w:pStyle w:val="FirstParagraph"/>
      </w:pPr>
      <w:hyperlink r:id="rId21">
        <w:r>
          <w:rPr>
            <w:rStyle w:val="Hyperlink"/>
          </w:rPr>
          <w:t xml:space="preserve">[1]</w:t>
        </w:r>
      </w:hyperlink>
      <w:r>
        <w:t xml:space="preserve"> </w:t>
      </w:r>
      <w:hyperlink r:id="rId26">
        <w:r>
          <w:rPr>
            <w:rStyle w:val="Hyperlink"/>
          </w:rPr>
          <w:t xml:space="preserve">[6]</w:t>
        </w:r>
      </w:hyperlink>
      <w:r>
        <w:t xml:space="preserve"> </w:t>
      </w:r>
      <w:hyperlink r:id="rId34">
        <w:r>
          <w:rPr>
            <w:rStyle w:val="Hyperlink"/>
          </w:rPr>
          <w:t xml:space="preserve">[14]</w:t>
        </w:r>
      </w:hyperlink>
      <w:r>
        <w:t xml:space="preserve"> </w:t>
      </w:r>
      <w:hyperlink r:id="rId38">
        <w:r>
          <w:rPr>
            <w:rStyle w:val="Hyperlink"/>
          </w:rPr>
          <w:t xml:space="preserve">[17]</w:t>
        </w:r>
      </w:hyperlink>
      <w:r>
        <w:t xml:space="preserve"> </w:t>
      </w:r>
      <w:hyperlink r:id="rId51">
        <w:r>
          <w:rPr>
            <w:rStyle w:val="Hyperlink"/>
          </w:rPr>
          <w:t xml:space="preserve">[31]</w:t>
        </w:r>
      </w:hyperlink>
      <w:r>
        <w:t xml:space="preserve"> </w:t>
      </w:r>
      <w:r>
        <w:t xml:space="preserve">Rongorongo text I - Wikipedia</w:t>
      </w:r>
    </w:p>
    <w:p>
      <w:pPr>
        <w:pStyle w:val="BodyText"/>
      </w:pPr>
      <w:hyperlink r:id="rId63">
        <w:r>
          <w:rPr>
            <w:rStyle w:val="Hyperlink"/>
          </w:rPr>
          <w:t xml:space="preserve">https://en.wikipedia.org/wiki/Rongorongo_text_I</w:t>
        </w:r>
      </w:hyperlink>
    </w:p>
    <w:p>
      <w:pPr>
        <w:pStyle w:val="BodyText"/>
      </w:pPr>
      <w:hyperlink r:id="rId22">
        <w:r>
          <w:rPr>
            <w:rStyle w:val="Hyperlink"/>
          </w:rPr>
          <w:t xml:space="preserve">[2]</w:t>
        </w:r>
      </w:hyperlink>
      <w:r>
        <w:t xml:space="preserve"> </w:t>
      </w:r>
      <w:hyperlink r:id="rId41">
        <w:r>
          <w:rPr>
            <w:rStyle w:val="Hyperlink"/>
          </w:rPr>
          <w:t xml:space="preserve">[20]</w:t>
        </w:r>
      </w:hyperlink>
      <w:r>
        <w:t xml:space="preserve"> </w:t>
      </w:r>
      <w:r>
        <w:t xml:space="preserve">Rongorongo text B - Wikipedia</w:t>
      </w:r>
    </w:p>
    <w:p>
      <w:pPr>
        <w:pStyle w:val="BodyText"/>
      </w:pPr>
      <w:hyperlink r:id="rId64">
        <w:r>
          <w:rPr>
            <w:rStyle w:val="Hyperlink"/>
          </w:rPr>
          <w:t xml:space="preserve">https://en.wikipedia.org/wiki/Rongorongo_text_B</w:t>
        </w:r>
      </w:hyperlink>
    </w:p>
    <w:p>
      <w:pPr>
        <w:pStyle w:val="BodyText"/>
      </w:pPr>
      <w:hyperlink r:id="rId23">
        <w:r>
          <w:rPr>
            <w:rStyle w:val="Hyperlink"/>
          </w:rPr>
          <w:t xml:space="preserve">[3]</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5">
        <w:r>
          <w:rPr>
            <w:rStyle w:val="Hyperlink"/>
          </w:rPr>
          <w:t xml:space="preserve">[15]</w:t>
        </w:r>
      </w:hyperlink>
      <w:r>
        <w:t xml:space="preserve"> </w:t>
      </w:r>
      <w:hyperlink r:id="rId37">
        <w:r>
          <w:rPr>
            <w:rStyle w:val="Hyperlink"/>
          </w:rPr>
          <w:t xml:space="preserve">[16]</w:t>
        </w:r>
      </w:hyperlink>
      <w:r>
        <w:t xml:space="preserve"> </w:t>
      </w:r>
      <w:hyperlink r:id="rId39">
        <w:r>
          <w:rPr>
            <w:rStyle w:val="Hyperlink"/>
          </w:rPr>
          <w:t xml:space="preserve">[18]</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50">
        <w:r>
          <w:rPr>
            <w:rStyle w:val="Hyperlink"/>
          </w:rPr>
          <w:t xml:space="preserve">[30]</w:t>
        </w:r>
      </w:hyperlink>
      <w:r>
        <w:t xml:space="preserve"> </w:t>
      </w:r>
      <w:hyperlink r:id="rId55">
        <w:r>
          <w:rPr>
            <w:rStyle w:val="Hyperlink"/>
          </w:rPr>
          <w:t xml:space="preserve">[37]</w:t>
        </w:r>
      </w:hyperlink>
      <w:r>
        <w:t xml:space="preserve"> </w:t>
      </w:r>
      <w:hyperlink r:id="rId57">
        <w:r>
          <w:rPr>
            <w:rStyle w:val="Hyperlink"/>
          </w:rPr>
          <w:t xml:space="preserve">[39]</w:t>
        </w:r>
      </w:hyperlink>
      <w:r>
        <w:t xml:space="preserve"> </w:t>
      </w:r>
      <w:hyperlink r:id="rId59">
        <w:r>
          <w:rPr>
            <w:rStyle w:val="Hyperlink"/>
          </w:rPr>
          <w:t xml:space="preserve">[42]</w:t>
        </w:r>
      </w:hyperlink>
      <w:r>
        <w:t xml:space="preserve"> </w:t>
      </w:r>
      <w:r>
        <w:t xml:space="preserve">Decipherment of rongorongo - Wikipedia</w:t>
      </w:r>
    </w:p>
    <w:p>
      <w:pPr>
        <w:pStyle w:val="BodyText"/>
      </w:pPr>
      <w:hyperlink r:id="rId65">
        <w:r>
          <w:rPr>
            <w:rStyle w:val="Hyperlink"/>
          </w:rPr>
          <w:t xml:space="preserve">https://en.wikipedia.org/wiki/Decipherment_of_rongorongo</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r>
        <w:t xml:space="preserve">Rongorongo Script: Carving Techniques and Scribal Corrections</w:t>
      </w:r>
    </w:p>
    <w:p>
      <w:pPr>
        <w:pStyle w:val="BodyText"/>
      </w:pPr>
      <w:hyperlink r:id="rId66">
        <w:r>
          <w:rPr>
            <w:rStyle w:val="Hyperlink"/>
          </w:rPr>
          <w:t xml:space="preserve">https://journals.openedition.org/jso/5813?lang=en</w:t>
        </w:r>
      </w:hyperlink>
    </w:p>
    <w:p>
      <w:pPr>
        <w:pStyle w:val="BodyText"/>
      </w:pPr>
      <w:hyperlink r:id="rId40">
        <w:r>
          <w:rPr>
            <w:rStyle w:val="Hyperlink"/>
          </w:rPr>
          <w:t xml:space="preserve">[19]</w:t>
        </w:r>
      </w:hyperlink>
      <w:r>
        <w:t xml:space="preserve"> </w:t>
      </w:r>
      <w:hyperlink r:id="rId43">
        <w:r>
          <w:rPr>
            <w:rStyle w:val="Hyperlink"/>
          </w:rPr>
          <w:t xml:space="preserve">[21]</w:t>
        </w:r>
      </w:hyperlink>
      <w:r>
        <w:t xml:space="preserve"> </w:t>
      </w:r>
      <w:hyperlink r:id="rId45">
        <w:r>
          <w:rPr>
            <w:rStyle w:val="Hyperlink"/>
          </w:rPr>
          <w:t xml:space="preserve">[23]</w:t>
        </w:r>
      </w:hyperlink>
      <w:r>
        <w:t xml:space="preserve"> </w:t>
      </w:r>
      <w:hyperlink r:id="rId40">
        <w:r>
          <w:rPr>
            <w:rStyle w:val="Hyperlink"/>
          </w:rPr>
          <w:t xml:space="preserve">[24]</w:t>
        </w:r>
      </w:hyperlink>
      <w:r>
        <w:t xml:space="preserve"> </w:t>
      </w:r>
      <w:hyperlink r:id="rId40">
        <w:r>
          <w:rPr>
            <w:rStyle w:val="Hyperlink"/>
          </w:rPr>
          <w:t xml:space="preserve">[29]</w:t>
        </w:r>
      </w:hyperlink>
      <w:r>
        <w:t xml:space="preserve"> </w:t>
      </w:r>
      <w:hyperlink r:id="rId40">
        <w:r>
          <w:rPr>
            <w:rStyle w:val="Hyperlink"/>
          </w:rPr>
          <w:t xml:space="preserve">[32]</w:t>
        </w:r>
      </w:hyperlink>
      <w:r>
        <w:t xml:space="preserve"> </w:t>
      </w:r>
      <w:hyperlink r:id="rId52">
        <w:r>
          <w:rPr>
            <w:rStyle w:val="Hyperlink"/>
          </w:rPr>
          <w:t xml:space="preserve">[33]</w:t>
        </w:r>
      </w:hyperlink>
      <w:r>
        <w:t xml:space="preserve"> </w:t>
      </w:r>
      <w:hyperlink r:id="rId40">
        <w:r>
          <w:rPr>
            <w:rStyle w:val="Hyperlink"/>
          </w:rPr>
          <w:t xml:space="preserve">[34]</w:t>
        </w:r>
      </w:hyperlink>
      <w:r>
        <w:t xml:space="preserve"> </w:t>
      </w:r>
      <w:hyperlink r:id="rId53">
        <w:r>
          <w:rPr>
            <w:rStyle w:val="Hyperlink"/>
          </w:rPr>
          <w:t xml:space="preserve">[35]</w:t>
        </w:r>
      </w:hyperlink>
      <w:r>
        <w:t xml:space="preserve"> </w:t>
      </w:r>
      <w:hyperlink r:id="rId54">
        <w:r>
          <w:rPr>
            <w:rStyle w:val="Hyperlink"/>
          </w:rPr>
          <w:t xml:space="preserve">[36]</w:t>
        </w:r>
      </w:hyperlink>
      <w:r>
        <w:t xml:space="preserve"> </w:t>
      </w:r>
      <w:hyperlink r:id="rId40">
        <w:r>
          <w:rPr>
            <w:rStyle w:val="Hyperlink"/>
          </w:rPr>
          <w:t xml:space="preserve">[40]</w:t>
        </w:r>
      </w:hyperlink>
      <w:r>
        <w:t xml:space="preserve"> </w:t>
      </w:r>
      <w:hyperlink r:id="rId40">
        <w:r>
          <w:rPr>
            <w:rStyle w:val="Hyperlink"/>
          </w:rPr>
          <w:t xml:space="preserve">[41]</w:t>
        </w:r>
      </w:hyperlink>
      <w:r>
        <w:t xml:space="preserve"> </w:t>
      </w:r>
      <w:r>
        <w:t xml:space="preserve">rongorongo_lexicon.json</w:t>
      </w:r>
    </w:p>
    <w:p>
      <w:pPr>
        <w:pStyle w:val="BodyText"/>
      </w:pPr>
      <w:hyperlink r:id="rId67">
        <w:r>
          <w:rPr>
            <w:rStyle w:val="Hyperlink"/>
          </w:rPr>
          <w:t xml:space="preserve">file://file-6kzTLW3jdvuTG8pr7SyDQ4</w:t>
        </w:r>
      </w:hyperlink>
    </w:p>
    <w:p>
      <w:pPr>
        <w:pStyle w:val="BodyText"/>
      </w:pPr>
      <w:hyperlink r:id="rId44">
        <w:r>
          <w:rPr>
            <w:rStyle w:val="Hyperlink"/>
          </w:rPr>
          <w:t xml:space="preserve">[22]</w:t>
        </w:r>
      </w:hyperlink>
      <w:r>
        <w:t xml:space="preserve"> </w:t>
      </w:r>
      <w:hyperlink r:id="rId46">
        <w:r>
          <w:rPr>
            <w:rStyle w:val="Hyperlink"/>
          </w:rPr>
          <w:t xml:space="preserve">[25]</w:t>
        </w:r>
      </w:hyperlink>
      <w:r>
        <w:t xml:space="preserve"> </w:t>
      </w:r>
      <w:hyperlink r:id="rId56">
        <w:r>
          <w:rPr>
            <w:rStyle w:val="Hyperlink"/>
          </w:rPr>
          <w:t xml:space="preserve">[38]</w:t>
        </w:r>
      </w:hyperlink>
      <w:r>
        <w:t xml:space="preserve"> </w:t>
      </w:r>
      <w:r>
        <w:t xml:space="preserve">rongorongo_signs.json</w:t>
      </w:r>
    </w:p>
    <w:p>
      <w:pPr>
        <w:pStyle w:val="BodyText"/>
      </w:pPr>
      <w:hyperlink r:id="rId68">
        <w:r>
          <w:rPr>
            <w:rStyle w:val="Hyperlink"/>
          </w:rPr>
          <w:t xml:space="preserve">file://file-33ZjiqaoViPoHaDhL9xBmQ</w:t>
        </w:r>
      </w:hyperlink>
    </w:p>
    <w:p>
      <w:pPr>
        <w:pStyle w:val="BodyText"/>
      </w:pPr>
      <w:hyperlink r:id="rId49">
        <w:r>
          <w:rPr>
            <w:rStyle w:val="Hyperlink"/>
          </w:rPr>
          <w:t xml:space="preserve">[28]</w:t>
        </w:r>
      </w:hyperlink>
      <w:r>
        <w:t xml:space="preserve"> </w:t>
      </w:r>
      <w:r>
        <w:t xml:space="preserve">The Rongorongo 'Lunar Calendar' of Rapa Nui (Easter Island) and ...</w:t>
      </w:r>
    </w:p>
    <w:p>
      <w:pPr>
        <w:pStyle w:val="BodyText"/>
      </w:pPr>
      <w:hyperlink r:id="rId69">
        <w:r>
          <w:rPr>
            <w:rStyle w:val="Hyperlink"/>
          </w:rPr>
          <w:t xml:space="preserve">https://academic.oup.com/book/58672/chapter/485388496</w:t>
        </w:r>
      </w:hyperlink>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file://file-33ZjiqaoViPoHaDhL9xBmQ" TargetMode="External" /><Relationship Type="http://schemas.openxmlformats.org/officeDocument/2006/relationships/hyperlink" Id="rId56" Target="file://file-33ZjiqaoViPoHaDhL9xBmQ#:~:text=%7B%20,300" TargetMode="External" /><Relationship Type="http://schemas.openxmlformats.org/officeDocument/2006/relationships/hyperlink" Id="rId46" Target="file://file-33ZjiqaoViPoHaDhL9xBmQ#:~:text=%7D%2C%20%7B%20,hand%2Fplural%20marker" TargetMode="External" /><Relationship Type="http://schemas.openxmlformats.org/officeDocument/2006/relationships/hyperlink" Id="rId44" Target="file://file-33ZjiqaoViPoHaDhL9xBmQ#:~:text=,breast%20%2F%20nurture%20%2F%20female" TargetMode="External" /><Relationship Type="http://schemas.openxmlformats.org/officeDocument/2006/relationships/hyperlink" Id="rId67" Target="file://file-6kzTLW3jdvuTG8pr7SyDQ4" TargetMode="External" /><Relationship Type="http://schemas.openxmlformats.org/officeDocument/2006/relationships/hyperlink" Id="rId40" Target="file://file-6kzTLW3jdvuTG8pr7SyDQ4#:~:text=%7B%20,%7D%2C" TargetMode="External" /><Relationship Type="http://schemas.openxmlformats.org/officeDocument/2006/relationships/hyperlink" Id="rId45" Target="file://file-6kzTLW3jdvuTG8pr7SyDQ4#:~:text=%7D%2C%20%7B%20,Reproductive%20action%2C%20offspring%20creation" TargetMode="External" /><Relationship Type="http://schemas.openxmlformats.org/officeDocument/2006/relationships/hyperlink" Id="rId53" Target="file://file-6kzTLW3jdvuTG8pr7SyDQ4#:~:text=,300" TargetMode="External" /><Relationship Type="http://schemas.openxmlformats.org/officeDocument/2006/relationships/hyperlink" Id="rId43" Target="file://file-6kzTLW3jdvuTG8pr7SyDQ4#:~:text=,76" TargetMode="External" /><Relationship Type="http://schemas.openxmlformats.org/officeDocument/2006/relationships/hyperlink" Id="rId52" Target="file://file-6kzTLW3jdvuTG8pr7SyDQ4#:~:text=,figure%2C%20appears%20in%20genealogical%20contexts" TargetMode="External" /><Relationship Type="http://schemas.openxmlformats.org/officeDocument/2006/relationships/hyperlink" Id="rId54" Target="file://file-6kzTLW3jdvuTG8pr7SyDQ4#:~:text=,young" TargetMode="External" /><Relationship Type="http://schemas.openxmlformats.org/officeDocument/2006/relationships/hyperlink" Id="rId69" Target="https://academic.oup.com/book/58672/chapter/485388496" TargetMode="External" /><Relationship Type="http://schemas.openxmlformats.org/officeDocument/2006/relationships/hyperlink" Id="rId49" Target="https://academic.oup.com/book/58672/chapter/485388496#:~:text=The%20Rongorongo%20%27Lunar%20Calendar%27%20of,glyph%20that%20should%20indicate" TargetMode="External" /><Relationship Type="http://schemas.openxmlformats.org/officeDocument/2006/relationships/hyperlink" Id="rId65" Target="https://en.wikipedia.org/wiki/Decipherment_of_rongorongo" TargetMode="External" /><Relationship Type="http://schemas.openxmlformats.org/officeDocument/2006/relationships/hyperlink" Id="rId55" Target="https://en.wikipedia.org/wiki/Decipherment_of_rongorongo#:~:text=,and%20goddess%20Taporo%20produced%20thistle" TargetMode="External" /><Relationship Type="http://schemas.openxmlformats.org/officeDocument/2006/relationships/hyperlink" Id="rId48" Target="https://en.wikipedia.org/wiki/Decipherment_of_rongorongo#:~:text=,does%20not%20follow%20from%20his" TargetMode="External" /><Relationship Type="http://schemas.openxmlformats.org/officeDocument/2006/relationships/hyperlink" Id="rId28" Target="https://en.wikipedia.org/wiki/Decipherment_of_rongorongo#:~:text=Fischer%20identified%20glyph%2076%20as,primary%20example%20was%20this%20one" TargetMode="External" /><Relationship Type="http://schemas.openxmlformats.org/officeDocument/2006/relationships/hyperlink" Id="rId30" Target="https://en.wikipedia.org/wiki/Decipherment_of_rongorongo#:~:text=Fischer%20proposed%20that%20the%20glyph,the%20analogous%20phonetic%20reading%20of" TargetMode="External" /><Relationship Type="http://schemas.openxmlformats.org/officeDocument/2006/relationships/hyperlink" Id="rId32" Target="https://en.wikipedia.org/wiki/Decipherment_of_rongorongo#:~:text=Fischer%20supported%20his%20interpretation%20by,glottal%20stops%20or%20long%20vowels" TargetMode="External" /><Relationship Type="http://schemas.openxmlformats.org/officeDocument/2006/relationships/hyperlink" Id="rId50" Target="https://en.wikipedia.org/wiki/Decipherment_of_rongorongo#:~:text=He%20claimed%20similar%20phallic%20triplets,59" TargetMode="External" /><Relationship Type="http://schemas.openxmlformats.org/officeDocument/2006/relationships/hyperlink" Id="rId29" Target="https://en.wikipedia.org/wiki/Decipherment_of_rongorongo#:~:text=Image%3A%20glyph%20sequence%20606,8" TargetMode="External" /><Relationship Type="http://schemas.openxmlformats.org/officeDocument/2006/relationships/hyperlink" Id="rId57" Target="https://en.wikipedia.org/wiki/Decipherment_of_rongorongo#:~:text=Image%3A%20part%20of%20the%20suspected,genealogy%20in%20line%20Gv6" TargetMode="External" /><Relationship Type="http://schemas.openxmlformats.org/officeDocument/2006/relationships/hyperlink" Id="rId33" Target="https://en.wikipedia.org/wiki/Decipherment_of_rongorongo#:~:text=Now%2C%20if%20the%20repeated%20independent,then%20this%20means%20something%20like" TargetMode="External" /><Relationship Type="http://schemas.openxmlformats.org/officeDocument/2006/relationships/hyperlink" Id="rId47" Target="https://en.wikipedia.org/wiki/Decipherment_of_rongorongo#:~:text=On%20the%20basis%20that%20the,citation%20needed" TargetMode="External" /><Relationship Type="http://schemas.openxmlformats.org/officeDocument/2006/relationships/hyperlink" Id="rId23" Target="https://en.wikipedia.org/wiki/Decipherment_of_rongorongo#:~:text=about%20half,note%2017" TargetMode="External" /><Relationship Type="http://schemas.openxmlformats.org/officeDocument/2006/relationships/hyperlink" Id="rId59" Target="https://en.wikipedia.org/wiki/Decipherment_of_rongorongo#:~:text=glyph%2076%20Image%3A%20glyph%2076,then%20this%20means%20something%20like" TargetMode="External" /><Relationship Type="http://schemas.openxmlformats.org/officeDocument/2006/relationships/hyperlink" Id="rId31" Target="https://en.wikipedia.org/wiki/Decipherment_of_rongorongo#:~:text=recitations%2C%20Apai%20and%20Atua%20Matariri%2C,note%2011" TargetMode="External" /><Relationship Type="http://schemas.openxmlformats.org/officeDocument/2006/relationships/hyperlink" Id="rId39" Target="https://en.wikipedia.org/wiki/Decipherment_of_rongorongo#:~:text=sequences%20on%20the%20staff%20fully,altogether%20the%20four%20glyphs%20of" TargetMode="External" /><Relationship Type="http://schemas.openxmlformats.org/officeDocument/2006/relationships/hyperlink" Id="rId35" Target="https://en.wikipedia.org/wiki/Decipherment_of_rongorongo#:~:text=the%20Santiago%20Staff%20would%20consist,51" TargetMode="External" /><Relationship Type="http://schemas.openxmlformats.org/officeDocument/2006/relationships/hyperlink" Id="rId37" Target="https://en.wikipedia.org/wiki/Decipherment_of_rongorongo#:~:text=the%20tablets,glyphs%2C%20with%20the%20first%20bearing" TargetMode="External" /><Relationship Type="http://schemas.openxmlformats.org/officeDocument/2006/relationships/hyperlink" Id="rId64" Target="https://en.wikipedia.org/wiki/Rongorongo_text_B" TargetMode="External" /><Relationship Type="http://schemas.openxmlformats.org/officeDocument/2006/relationships/hyperlink" Id="rId22" Target="https://en.wikipedia.org/wiki/Rongorongo_text_B#:~:text=Butinov%20and%20Knorozov%20,text%2C%20given%20in%20three%20variants" TargetMode="External" /><Relationship Type="http://schemas.openxmlformats.org/officeDocument/2006/relationships/hyperlink" Id="rId41" Target="https://en.wikipedia.org/wiki/Rongorongo_text_B#:~:text=Fischer%20believes%20that%20Aruku%20Kurenga,collation%20of%20several%20different%20texts" TargetMode="External" /><Relationship Type="http://schemas.openxmlformats.org/officeDocument/2006/relationships/hyperlink" Id="rId63" Target="https://en.wikipedia.org/wiki/Rongorongo_text_I" TargetMode="External" /><Relationship Type="http://schemas.openxmlformats.org/officeDocument/2006/relationships/hyperlink" Id="rId38" Target="https://en.wikipedia.org/wiki/Rongorongo_text_I#:~:text=Guy%20,of%20their%20heroes%20and%20victims" TargetMode="External" /><Relationship Type="http://schemas.openxmlformats.org/officeDocument/2006/relationships/hyperlink" Id="rId26" Target="https://en.wikipedia.org/wiki/Rongorongo_text_I#:~:text=Pozdniakov%20,rest%20of%20the%20rongorongo%20corpus" TargetMode="External" /><Relationship Type="http://schemas.openxmlformats.org/officeDocument/2006/relationships/hyperlink" Id="rId21" Target="https://en.wikipedia.org/wiki/Rongorongo_text_I#:~:text=The%20Staff%20is%20one%20of,divided%20the%20text%20into%20sections" TargetMode="External" /><Relationship Type="http://schemas.openxmlformats.org/officeDocument/2006/relationships/hyperlink" Id="rId51" Target="https://en.wikipedia.org/wiki/Rongorongo_text_I#:~:text=phallus%20is%20a%20patronymic%20marker%2C,of%20their%20heroes%20and%20victims" TargetMode="External" /><Relationship Type="http://schemas.openxmlformats.org/officeDocument/2006/relationships/hyperlink" Id="rId34" Target="https://en.wikipedia.org/wiki/Rongorongo_text_I#:~:text=the%20field,564%20times%20on%20the%20Staff" TargetMode="External" /><Relationship Type="http://schemas.openxmlformats.org/officeDocument/2006/relationships/hyperlink" Id="rId66" Target="https://journals.openedition.org/jso/5813?lang=en" TargetMode="External" /><Relationship Type="http://schemas.openxmlformats.org/officeDocument/2006/relationships/hyperlink" Id="rId24" Target="https://journals.openedition.org/jso/5813?lang=en#:~:text=glyphs,of%20the%20same%20sign%3B%20similarly" TargetMode="External" /><Relationship Type="http://schemas.openxmlformats.org/officeDocument/2006/relationships/hyperlink" Id="rId25" Target="https://journals.openedition.org/jso/5813?lang=en#:~:text=with%20a%20shark%20tooth,Barthel%2C%201958%3A%20238" TargetMode="External" /></Relationships>
</file>

<file path=word/_rels/footnotes.xml.rels><?xml version="1.0" encoding="UTF-8"?><Relationships xmlns="http://schemas.openxmlformats.org/package/2006/relationships"><Relationship Type="http://schemas.openxmlformats.org/officeDocument/2006/relationships/hyperlink" Id="rId68" Target="file://file-33ZjiqaoViPoHaDhL9xBmQ" TargetMode="External" /><Relationship Type="http://schemas.openxmlformats.org/officeDocument/2006/relationships/hyperlink" Id="rId56" Target="file://file-33ZjiqaoViPoHaDhL9xBmQ#:~:text=%7B%20,300" TargetMode="External" /><Relationship Type="http://schemas.openxmlformats.org/officeDocument/2006/relationships/hyperlink" Id="rId46" Target="file://file-33ZjiqaoViPoHaDhL9xBmQ#:~:text=%7D%2C%20%7B%20,hand%2Fplural%20marker" TargetMode="External" /><Relationship Type="http://schemas.openxmlformats.org/officeDocument/2006/relationships/hyperlink" Id="rId44" Target="file://file-33ZjiqaoViPoHaDhL9xBmQ#:~:text=,breast%20%2F%20nurture%20%2F%20female" TargetMode="External" /><Relationship Type="http://schemas.openxmlformats.org/officeDocument/2006/relationships/hyperlink" Id="rId67" Target="file://file-6kzTLW3jdvuTG8pr7SyDQ4" TargetMode="External" /><Relationship Type="http://schemas.openxmlformats.org/officeDocument/2006/relationships/hyperlink" Id="rId40" Target="file://file-6kzTLW3jdvuTG8pr7SyDQ4#:~:text=%7B%20,%7D%2C" TargetMode="External" /><Relationship Type="http://schemas.openxmlformats.org/officeDocument/2006/relationships/hyperlink" Id="rId45" Target="file://file-6kzTLW3jdvuTG8pr7SyDQ4#:~:text=%7D%2C%20%7B%20,Reproductive%20action%2C%20offspring%20creation" TargetMode="External" /><Relationship Type="http://schemas.openxmlformats.org/officeDocument/2006/relationships/hyperlink" Id="rId53" Target="file://file-6kzTLW3jdvuTG8pr7SyDQ4#:~:text=,300" TargetMode="External" /><Relationship Type="http://schemas.openxmlformats.org/officeDocument/2006/relationships/hyperlink" Id="rId43" Target="file://file-6kzTLW3jdvuTG8pr7SyDQ4#:~:text=,76" TargetMode="External" /><Relationship Type="http://schemas.openxmlformats.org/officeDocument/2006/relationships/hyperlink" Id="rId52" Target="file://file-6kzTLW3jdvuTG8pr7SyDQ4#:~:text=,figure%2C%20appears%20in%20genealogical%20contexts" TargetMode="External" /><Relationship Type="http://schemas.openxmlformats.org/officeDocument/2006/relationships/hyperlink" Id="rId54" Target="file://file-6kzTLW3jdvuTG8pr7SyDQ4#:~:text=,young" TargetMode="External" /><Relationship Type="http://schemas.openxmlformats.org/officeDocument/2006/relationships/hyperlink" Id="rId69" Target="https://academic.oup.com/book/58672/chapter/485388496" TargetMode="External" /><Relationship Type="http://schemas.openxmlformats.org/officeDocument/2006/relationships/hyperlink" Id="rId49" Target="https://academic.oup.com/book/58672/chapter/485388496#:~:text=The%20Rongorongo%20%27Lunar%20Calendar%27%20of,glyph%20that%20should%20indicate" TargetMode="External" /><Relationship Type="http://schemas.openxmlformats.org/officeDocument/2006/relationships/hyperlink" Id="rId65" Target="https://en.wikipedia.org/wiki/Decipherment_of_rongorongo" TargetMode="External" /><Relationship Type="http://schemas.openxmlformats.org/officeDocument/2006/relationships/hyperlink" Id="rId55" Target="https://en.wikipedia.org/wiki/Decipherment_of_rongorongo#:~:text=,and%20goddess%20Taporo%20produced%20thistle" TargetMode="External" /><Relationship Type="http://schemas.openxmlformats.org/officeDocument/2006/relationships/hyperlink" Id="rId48" Target="https://en.wikipedia.org/wiki/Decipherment_of_rongorongo#:~:text=,does%20not%20follow%20from%20his" TargetMode="External" /><Relationship Type="http://schemas.openxmlformats.org/officeDocument/2006/relationships/hyperlink" Id="rId28" Target="https://en.wikipedia.org/wiki/Decipherment_of_rongorongo#:~:text=Fischer%20identified%20glyph%2076%20as,primary%20example%20was%20this%20one" TargetMode="External" /><Relationship Type="http://schemas.openxmlformats.org/officeDocument/2006/relationships/hyperlink" Id="rId30" Target="https://en.wikipedia.org/wiki/Decipherment_of_rongorongo#:~:text=Fischer%20proposed%20that%20the%20glyph,the%20analogous%20phonetic%20reading%20of" TargetMode="External" /><Relationship Type="http://schemas.openxmlformats.org/officeDocument/2006/relationships/hyperlink" Id="rId32" Target="https://en.wikipedia.org/wiki/Decipherment_of_rongorongo#:~:text=Fischer%20supported%20his%20interpretation%20by,glottal%20stops%20or%20long%20vowels" TargetMode="External" /><Relationship Type="http://schemas.openxmlformats.org/officeDocument/2006/relationships/hyperlink" Id="rId50" Target="https://en.wikipedia.org/wiki/Decipherment_of_rongorongo#:~:text=He%20claimed%20similar%20phallic%20triplets,59" TargetMode="External" /><Relationship Type="http://schemas.openxmlformats.org/officeDocument/2006/relationships/hyperlink" Id="rId29" Target="https://en.wikipedia.org/wiki/Decipherment_of_rongorongo#:~:text=Image%3A%20glyph%20sequence%20606,8" TargetMode="External" /><Relationship Type="http://schemas.openxmlformats.org/officeDocument/2006/relationships/hyperlink" Id="rId57" Target="https://en.wikipedia.org/wiki/Decipherment_of_rongorongo#:~:text=Image%3A%20part%20of%20the%20suspected,genealogy%20in%20line%20Gv6" TargetMode="External" /><Relationship Type="http://schemas.openxmlformats.org/officeDocument/2006/relationships/hyperlink" Id="rId33" Target="https://en.wikipedia.org/wiki/Decipherment_of_rongorongo#:~:text=Now%2C%20if%20the%20repeated%20independent,then%20this%20means%20something%20like" TargetMode="External" /><Relationship Type="http://schemas.openxmlformats.org/officeDocument/2006/relationships/hyperlink" Id="rId47" Target="https://en.wikipedia.org/wiki/Decipherment_of_rongorongo#:~:text=On%20the%20basis%20that%20the,citation%20needed" TargetMode="External" /><Relationship Type="http://schemas.openxmlformats.org/officeDocument/2006/relationships/hyperlink" Id="rId23" Target="https://en.wikipedia.org/wiki/Decipherment_of_rongorongo#:~:text=about%20half,note%2017" TargetMode="External" /><Relationship Type="http://schemas.openxmlformats.org/officeDocument/2006/relationships/hyperlink" Id="rId59" Target="https://en.wikipedia.org/wiki/Decipherment_of_rongorongo#:~:text=glyph%2076%20Image%3A%20glyph%2076,then%20this%20means%20something%20like" TargetMode="External" /><Relationship Type="http://schemas.openxmlformats.org/officeDocument/2006/relationships/hyperlink" Id="rId31" Target="https://en.wikipedia.org/wiki/Decipherment_of_rongorongo#:~:text=recitations%2C%20Apai%20and%20Atua%20Matariri%2C,note%2011" TargetMode="External" /><Relationship Type="http://schemas.openxmlformats.org/officeDocument/2006/relationships/hyperlink" Id="rId39" Target="https://en.wikipedia.org/wiki/Decipherment_of_rongorongo#:~:text=sequences%20on%20the%20staff%20fully,altogether%20the%20four%20glyphs%20of" TargetMode="External" /><Relationship Type="http://schemas.openxmlformats.org/officeDocument/2006/relationships/hyperlink" Id="rId35" Target="https://en.wikipedia.org/wiki/Decipherment_of_rongorongo#:~:text=the%20Santiago%20Staff%20would%20consist,51" TargetMode="External" /><Relationship Type="http://schemas.openxmlformats.org/officeDocument/2006/relationships/hyperlink" Id="rId37" Target="https://en.wikipedia.org/wiki/Decipherment_of_rongorongo#:~:text=the%20tablets,glyphs%2C%20with%20the%20first%20bearing" TargetMode="External" /><Relationship Type="http://schemas.openxmlformats.org/officeDocument/2006/relationships/hyperlink" Id="rId64" Target="https://en.wikipedia.org/wiki/Rongorongo_text_B" TargetMode="External" /><Relationship Type="http://schemas.openxmlformats.org/officeDocument/2006/relationships/hyperlink" Id="rId22" Target="https://en.wikipedia.org/wiki/Rongorongo_text_B#:~:text=Butinov%20and%20Knorozov%20,text%2C%20given%20in%20three%20variants" TargetMode="External" /><Relationship Type="http://schemas.openxmlformats.org/officeDocument/2006/relationships/hyperlink" Id="rId41" Target="https://en.wikipedia.org/wiki/Rongorongo_text_B#:~:text=Fischer%20believes%20that%20Aruku%20Kurenga,collation%20of%20several%20different%20texts" TargetMode="External" /><Relationship Type="http://schemas.openxmlformats.org/officeDocument/2006/relationships/hyperlink" Id="rId63" Target="https://en.wikipedia.org/wiki/Rongorongo_text_I" TargetMode="External" /><Relationship Type="http://schemas.openxmlformats.org/officeDocument/2006/relationships/hyperlink" Id="rId38" Target="https://en.wikipedia.org/wiki/Rongorongo_text_I#:~:text=Guy%20,of%20their%20heroes%20and%20victims" TargetMode="External" /><Relationship Type="http://schemas.openxmlformats.org/officeDocument/2006/relationships/hyperlink" Id="rId26" Target="https://en.wikipedia.org/wiki/Rongorongo_text_I#:~:text=Pozdniakov%20,rest%20of%20the%20rongorongo%20corpus" TargetMode="External" /><Relationship Type="http://schemas.openxmlformats.org/officeDocument/2006/relationships/hyperlink" Id="rId21" Target="https://en.wikipedia.org/wiki/Rongorongo_text_I#:~:text=The%20Staff%20is%20one%20of,divided%20the%20text%20into%20sections" TargetMode="External" /><Relationship Type="http://schemas.openxmlformats.org/officeDocument/2006/relationships/hyperlink" Id="rId51" Target="https://en.wikipedia.org/wiki/Rongorongo_text_I#:~:text=phallus%20is%20a%20patronymic%20marker%2C,of%20their%20heroes%20and%20victims" TargetMode="External" /><Relationship Type="http://schemas.openxmlformats.org/officeDocument/2006/relationships/hyperlink" Id="rId34" Target="https://en.wikipedia.org/wiki/Rongorongo_text_I#:~:text=the%20field,564%20times%20on%20the%20Staff" TargetMode="External" /><Relationship Type="http://schemas.openxmlformats.org/officeDocument/2006/relationships/hyperlink" Id="rId66" Target="https://journals.openedition.org/jso/5813?lang=en" TargetMode="External" /><Relationship Type="http://schemas.openxmlformats.org/officeDocument/2006/relationships/hyperlink" Id="rId24" Target="https://journals.openedition.org/jso/5813?lang=en#:~:text=glyphs,of%20the%20same%20sign%3B%20similarly" TargetMode="External" /><Relationship Type="http://schemas.openxmlformats.org/officeDocument/2006/relationships/hyperlink" Id="rId25" Target="https://journals.openedition.org/jso/5813?lang=en#:~:text=with%20a%20shark%20tooth,Barthel%2C%201958%3A%2023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2025-12-20T21:57:25Z</dcterms:created>
  <dcterms:modified xsi:type="dcterms:W3CDTF">2025-12-20T21:57:25Z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