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4" w:name="content"/>
    <w:bookmarkStart w:id="123" w:name="Xa0faf0239869a527e972228c1af538e0ed2e16c"/>
    <w:p>
      <w:pPr>
        <w:pStyle w:val="Heading1"/>
      </w:pPr>
      <w:r>
        <w:t xml:space="preserve">Deciphering the Mamari Tablet (Text C) – A Multi-Method Analysis</w:t>
      </w:r>
    </w:p>
    <w:bookmarkStart w:id="24" w:name="introduction"/>
    <w:p>
      <w:pPr>
        <w:pStyle w:val="Heading2"/>
      </w:pPr>
      <w:r>
        <w:t xml:space="preserve">Introduction</w:t>
      </w:r>
    </w:p>
    <w:p>
      <w:pPr>
        <w:pStyle w:val="FirstParagraph"/>
      </w:pPr>
      <w:r>
        <w:t xml:space="preserve">The Mamari Tablet (rongorongo Text C) is one of the most extensively inscribed artifacts from Rapa Nui, and it holds a mix of calendrical and narrative content</w:t>
      </w:r>
      <w:hyperlink r:id="rId21">
        <w:r>
          <w:rPr>
            <w:rStyle w:val="Hyperlink"/>
          </w:rPr>
          <w:t xml:space="preserve">[1]</w:t>
        </w:r>
      </w:hyperlink>
      <w:r>
        <w:t xml:space="preserve">. Prior research identified a</w:t>
      </w:r>
      <w:r>
        <w:t xml:space="preserve"> </w:t>
      </w:r>
      <w:r>
        <w:rPr>
          <w:b/>
          <w:bCs/>
        </w:rPr>
        <w:t xml:space="preserve">lunar calendar</w:t>
      </w:r>
      <w:r>
        <w:t xml:space="preserve"> </w:t>
      </w:r>
      <w:r>
        <w:t xml:space="preserve">embedded in its text – the only portion of rongorongo so far understood in function</w:t>
      </w:r>
      <w:hyperlink r:id="rId22">
        <w:r>
          <w:rPr>
            <w:rStyle w:val="Hyperlink"/>
          </w:rPr>
          <w:t xml:space="preserve">[2]</w:t>
        </w:r>
      </w:hyperlink>
      <w:hyperlink r:id="rId23">
        <w:r>
          <w:rPr>
            <w:rStyle w:val="Hyperlink"/>
          </w:rPr>
          <w:t xml:space="preserve">[3]</w:t>
        </w:r>
      </w:hyperlink>
      <w:r>
        <w:t xml:space="preserve">. Beyond this, the tablet likely encodes genealogical and cosmogonic (creation myth) information, as suggested by repeated glyph sequences and patterns common in Polynesian oral literature. In this report, we continue a</w:t>
      </w:r>
      <w:r>
        <w:t xml:space="preserve"> </w:t>
      </w:r>
      <w:r>
        <w:rPr>
          <w:b/>
          <w:bCs/>
        </w:rPr>
        <w:t xml:space="preserve">multi-method decipherment approach</w:t>
      </w:r>
      <w:r>
        <w:t xml:space="preserve">, incorporating: (1) an updated glyph lexicon (with new insights from recent analyses), (2) cultural and mythological chants (notably the</w:t>
      </w:r>
      <w:r>
        <w:t xml:space="preserve"> </w:t>
      </w:r>
      <w:r>
        <w:rPr>
          <w:i/>
          <w:iCs/>
        </w:rPr>
        <w:t xml:space="preserve">Atua Matariri</w:t>
      </w:r>
      <w:r>
        <w:t xml:space="preserve"> </w:t>
      </w:r>
      <w:r>
        <w:t xml:space="preserve">procreation chant), (3) comparative sequences from other texts (the Santiago Staff</w:t>
      </w:r>
      <w:r>
        <w:t xml:space="preserve"> </w:t>
      </w:r>
      <w:r>
        <w:rPr>
          <w:i/>
          <w:iCs/>
        </w:rPr>
        <w:t xml:space="preserve">Text I</w:t>
      </w:r>
      <w:r>
        <w:t xml:space="preserve"> </w:t>
      </w:r>
      <w:r>
        <w:t xml:space="preserve">and Aruku Kurenga</w:t>
      </w:r>
      <w:r>
        <w:t xml:space="preserve"> </w:t>
      </w:r>
      <w:r>
        <w:rPr>
          <w:i/>
          <w:iCs/>
        </w:rPr>
        <w:t xml:space="preserve">Text B</w:t>
      </w:r>
      <w:r>
        <w:t xml:space="preserve">), and (4) recognition of cosmogonic, genealogical, and calendrical patterns. We focus on identifying</w:t>
      </w:r>
      <w:r>
        <w:t xml:space="preserve"> </w:t>
      </w:r>
      <w:r>
        <w:rPr>
          <w:b/>
          <w:bCs/>
        </w:rPr>
        <w:t xml:space="preserve">formulaic structures</w:t>
      </w:r>
      <w:r>
        <w:t xml:space="preserve"> </w:t>
      </w:r>
      <w:r>
        <w:t xml:space="preserve">in Mamari – especially repeated sequences – and test hypotheses that these might represent genealogical chains or encoded creation myths. All interpretations are cross-checked with glyph morphology, phonetic or rebus readings, and Rapanui cultural context. This comprehensive approach aims to refine our understanding of Mamari’s content and, by extension, shed light on the rongorongo corpus as a whole.</w:t>
      </w:r>
    </w:p>
    <w:bookmarkEnd w:id="24"/>
    <w:bookmarkStart w:id="51" w:name="multi-method-approach-for-decipherment"/>
    <w:p>
      <w:pPr>
        <w:pStyle w:val="Heading2"/>
      </w:pPr>
      <w:r>
        <w:t xml:space="preserve">Multi-Method Approach for Decipherment</w:t>
      </w:r>
    </w:p>
    <w:p>
      <w:pPr>
        <w:pStyle w:val="FirstParagraph"/>
      </w:pPr>
      <w:r>
        <w:t xml:space="preserve">To tackle Mamari’s inscription, we employ multiple lines of evidence in parallel:</w:t>
      </w:r>
    </w:p>
    <w:p>
      <w:pPr>
        <w:numPr>
          <w:ilvl w:val="0"/>
          <w:numId w:val="1001"/>
        </w:numPr>
      </w:pPr>
      <w:r>
        <w:rPr>
          <w:b/>
          <w:bCs/>
        </w:rPr>
        <w:t xml:space="preserve">Updated Glyph Lexicon:</w:t>
      </w:r>
      <w:r>
        <w:t xml:space="preserve"> </w:t>
      </w:r>
      <w:r>
        <w:t xml:space="preserve">We reference a recently expanded rongorongo lexicon that assigns provisional meanings and Rapanui transliterations to glyphs. This lexicon draws on prior scholarly work (Barthel, Fischer, Pozdniakov, Guy, etc.) and new iconographic insights. For example, glyph</w:t>
      </w:r>
      <w:r>
        <w:t xml:space="preserve"> </w:t>
      </w:r>
      <w:r>
        <w:rPr>
          <w:i/>
          <w:iCs/>
        </w:rPr>
        <w:t xml:space="preserve">76</w:t>
      </w:r>
      <w:r>
        <w:t xml:space="preserve"> </w:t>
      </w:r>
      <w:r>
        <w:t xml:space="preserve">is confidently identified as a</w:t>
      </w:r>
      <w:r>
        <w:t xml:space="preserve"> </w:t>
      </w:r>
      <w:r>
        <w:rPr>
          <w:b/>
          <w:bCs/>
        </w:rPr>
        <w:t xml:space="preserve">phallic symbol meaning “to copulate/procreate”</w:t>
      </w:r>
      <w:hyperlink r:id="rId25">
        <w:r>
          <w:rPr>
            <w:rStyle w:val="Hyperlink"/>
          </w:rPr>
          <w:t xml:space="preserve">[4]</w:t>
        </w:r>
      </w:hyperlink>
      <w:r>
        <w:t xml:space="preserve">, glyph</w:t>
      </w:r>
      <w:r>
        <w:t xml:space="preserve"> </w:t>
      </w:r>
      <w:r>
        <w:rPr>
          <w:i/>
          <w:iCs/>
        </w:rPr>
        <w:t xml:space="preserve">200</w:t>
      </w:r>
      <w:r>
        <w:t xml:space="preserve"> </w:t>
      </w:r>
      <w:r>
        <w:t xml:space="preserve">as a</w:t>
      </w:r>
      <w:r>
        <w:t xml:space="preserve"> </w:t>
      </w:r>
      <w:r>
        <w:rPr>
          <w:b/>
          <w:bCs/>
        </w:rPr>
        <w:t xml:space="preserve">human figure, possibly a chief (“ariki”)</w:t>
      </w:r>
      <w:hyperlink r:id="rId26">
        <w:r>
          <w:rPr>
            <w:rStyle w:val="Hyperlink"/>
          </w:rPr>
          <w:t xml:space="preserve">[5]</w:t>
        </w:r>
      </w:hyperlink>
      <w:r>
        <w:t xml:space="preserve">, and glyph</w:t>
      </w:r>
      <w:r>
        <w:t xml:space="preserve"> </w:t>
      </w:r>
      <w:r>
        <w:rPr>
          <w:i/>
          <w:iCs/>
        </w:rPr>
        <w:t xml:space="preserve">152</w:t>
      </w:r>
      <w:r>
        <w:t xml:space="preserve"> </w:t>
      </w:r>
      <w:r>
        <w:t xml:space="preserve">as a</w:t>
      </w:r>
      <w:r>
        <w:t xml:space="preserve"> </w:t>
      </w:r>
      <w:r>
        <w:rPr>
          <w:b/>
          <w:bCs/>
        </w:rPr>
        <w:t xml:space="preserve">full moon symbol</w:t>
      </w:r>
      <w:r>
        <w:t xml:space="preserve"> </w:t>
      </w:r>
      <w:r>
        <w:t xml:space="preserve">(a round glyph tied to the lunar cycle)</w:t>
      </w:r>
      <w:hyperlink r:id="rId27">
        <w:r>
          <w:rPr>
            <w:rStyle w:val="Hyperlink"/>
          </w:rPr>
          <w:t xml:space="preserve">[6]</w:t>
        </w:r>
      </w:hyperlink>
      <w:r>
        <w:t xml:space="preserve">. Such identifications, with notes on context (e.g. glyph 76 appears in “creation chants, sexual sequences”</w:t>
      </w:r>
      <w:hyperlink r:id="rId28">
        <w:r>
          <w:rPr>
            <w:rStyle w:val="Hyperlink"/>
          </w:rPr>
          <w:t xml:space="preserve">[7]</w:t>
        </w:r>
      </w:hyperlink>
      <w:r>
        <w:t xml:space="preserve">), guide our reading of repeated patterns. We treat these meanings as hypotheses to be tested against Mamari’s sequences rather than as final translations.</w:t>
      </w:r>
    </w:p>
    <w:p>
      <w:pPr>
        <w:numPr>
          <w:ilvl w:val="0"/>
          <w:numId w:val="1001"/>
        </w:numPr>
      </w:pPr>
      <w:r>
        <w:rPr>
          <w:b/>
          <w:bCs/>
        </w:rPr>
        <w:t xml:space="preserve">Cultural/Mythological Chants:</w:t>
      </w:r>
      <w:r>
        <w:t xml:space="preserve"> </w:t>
      </w:r>
      <w:r>
        <w:t xml:space="preserve">We cross-reference known Rapanui chants and genealogies, especially the</w:t>
      </w:r>
      <w:r>
        <w:t xml:space="preserve"> </w:t>
      </w:r>
      <w:r>
        <w:rPr>
          <w:i/>
          <w:iCs/>
        </w:rPr>
        <w:t xml:space="preserve">Atua Matariri</w:t>
      </w:r>
      <w:r>
        <w:t xml:space="preserve"> </w:t>
      </w:r>
      <w:r>
        <w:t xml:space="preserve">chant recorded by Thomson and Salmon.</w:t>
      </w:r>
      <w:r>
        <w:t xml:space="preserve"> </w:t>
      </w:r>
      <w:r>
        <w:rPr>
          <w:i/>
          <w:iCs/>
        </w:rPr>
        <w:t xml:space="preserve">Atua Matariri</w:t>
      </w:r>
      <w:r>
        <w:t xml:space="preserve"> </w:t>
      </w:r>
      <w:r>
        <w:t xml:space="preserve">is a cosmogonic genealogy recited in formulaic verses: each verse has the form</w:t>
      </w:r>
      <w:r>
        <w:t xml:space="preserve"> </w:t>
      </w:r>
      <w:r>
        <w:rPr>
          <w:b/>
          <w:bCs/>
        </w:rPr>
        <w:t xml:space="preserve">“X ki ’ai ki roto ki Y, ka pú te Z”</w:t>
      </w:r>
      <w:r>
        <w:t xml:space="preserve">, meaning</w:t>
      </w:r>
      <w:r>
        <w:t xml:space="preserve"> </w:t>
      </w:r>
      <w:r>
        <w:rPr>
          <w:i/>
          <w:iCs/>
        </w:rPr>
        <w:t xml:space="preserve">“X, by copulating with Y, produced Z”</w:t>
      </w:r>
      <w:hyperlink r:id="rId29">
        <w:r>
          <w:rPr>
            <w:rStyle w:val="Hyperlink"/>
          </w:rPr>
          <w:t xml:space="preserve">[8]</w:t>
        </w:r>
      </w:hyperlink>
      <w:r>
        <w:t xml:space="preserve">. For example, one verse reads:</w:t>
      </w:r>
      <w:r>
        <w:t xml:space="preserve"> </w:t>
      </w:r>
      <w:r>
        <w:rPr>
          <w:i/>
          <w:iCs/>
        </w:rPr>
        <w:t xml:space="preserve">“Atua Matariri; ki ai ki roto, ki a Taporo, ka pú te poporo”</w:t>
      </w:r>
      <w:r>
        <w:t xml:space="preserve">, translated as</w:t>
      </w:r>
      <w:r>
        <w:t xml:space="preserve"> </w:t>
      </w:r>
      <w:r>
        <w:rPr>
          <w:i/>
          <w:iCs/>
        </w:rPr>
        <w:t xml:space="preserve">“God Atua Matariri and goddess Taporo produced the poporo (thistle plant)”</w:t>
      </w:r>
      <w:hyperlink r:id="rId30">
        <w:r>
          <w:rPr>
            <w:rStyle w:val="Hyperlink"/>
          </w:rPr>
          <w:t xml:space="preserve">[9]</w:t>
        </w:r>
      </w:hyperlink>
      <w:r>
        <w:t xml:space="preserve">. Many verses list mythic couples begetting offspring (often natural elements or creatures), a structure typical of Polynesian creation genealogies</w:t>
      </w:r>
      <w:hyperlink r:id="rId31">
        <w:r>
          <w:rPr>
            <w:rStyle w:val="Hyperlink"/>
          </w:rPr>
          <w:t xml:space="preserve">[10]</w:t>
        </w:r>
      </w:hyperlink>
      <w:hyperlink r:id="rId32">
        <w:r>
          <w:rPr>
            <w:rStyle w:val="Hyperlink"/>
          </w:rPr>
          <w:t xml:space="preserve">[11]</w:t>
        </w:r>
      </w:hyperlink>
      <w:r>
        <w:t xml:space="preserve">. By comparing Mamari’s glyph sequences with the structure and content of such chants, we look for parallel formulae – e.g. glyph combinations that might correspond to “X copulated with Y -&gt; Z”. Notably,</w:t>
      </w:r>
      <w:r>
        <w:t xml:space="preserve"> </w:t>
      </w:r>
      <w:r>
        <w:rPr>
          <w:i/>
          <w:iCs/>
        </w:rPr>
        <w:t xml:space="preserve">Atua Matariri</w:t>
      </w:r>
      <w:r>
        <w:t xml:space="preserve"> </w:t>
      </w:r>
      <w:r>
        <w:t xml:space="preserve">is almost entirely composed of proper names in this genealogical format</w:t>
      </w:r>
      <w:hyperlink r:id="rId33">
        <w:r>
          <w:rPr>
            <w:rStyle w:val="Hyperlink"/>
          </w:rPr>
          <w:t xml:space="preserve">[12]</w:t>
        </w:r>
      </w:hyperlink>
      <w:hyperlink r:id="rId34">
        <w:r>
          <w:rPr>
            <w:rStyle w:val="Hyperlink"/>
          </w:rPr>
          <w:t xml:space="preserve">[13]</w:t>
        </w:r>
      </w:hyperlink>
      <w:r>
        <w:t xml:space="preserve">, suggesting that if Mamari contains similar sequences, it may be recording either mythic genealogies or lineages of chiefs in a mythologized form.</w:t>
      </w:r>
    </w:p>
    <w:p>
      <w:pPr>
        <w:numPr>
          <w:ilvl w:val="0"/>
          <w:numId w:val="1001"/>
        </w:numPr>
      </w:pPr>
      <w:r>
        <w:rPr>
          <w:b/>
          <w:bCs/>
        </w:rPr>
        <w:t xml:space="preserve">Comparative Text Analysis:</w:t>
      </w:r>
      <w:r>
        <w:t xml:space="preserve"> </w:t>
      </w:r>
      <w:r>
        <w:t xml:space="preserve">We examine glyph sequences in Mamari alongside those in the</w:t>
      </w:r>
      <w:r>
        <w:t xml:space="preserve"> </w:t>
      </w:r>
      <w:r>
        <w:rPr>
          <w:b/>
          <w:bCs/>
        </w:rPr>
        <w:t xml:space="preserve">Santiago Staff (Text I)</w:t>
      </w:r>
      <w:r>
        <w:t xml:space="preserve"> </w:t>
      </w:r>
      <w:r>
        <w:t xml:space="preserve">and</w:t>
      </w:r>
      <w:r>
        <w:t xml:space="preserve"> </w:t>
      </w:r>
      <w:r>
        <w:rPr>
          <w:b/>
          <w:bCs/>
        </w:rPr>
        <w:t xml:space="preserve">Aruku Kurenga (Text B)</w:t>
      </w:r>
      <w:r>
        <w:t xml:space="preserve">, looking for shared patterns. The Santiago Staff is a unique 125 cm long wooden staff incised with 2,320 glyphs, and it shows explicit</w:t>
      </w:r>
      <w:r>
        <w:t xml:space="preserve"> </w:t>
      </w:r>
      <w:r>
        <w:rPr>
          <w:b/>
          <w:bCs/>
        </w:rPr>
        <w:t xml:space="preserve">segmentation</w:t>
      </w:r>
      <w:r>
        <w:t xml:space="preserve">: 103 vertical strokes partition the text into sections</w:t>
      </w:r>
      <w:hyperlink r:id="rId35">
        <w:r>
          <w:rPr>
            <w:rStyle w:val="Hyperlink"/>
          </w:rPr>
          <w:t xml:space="preserve">[14]</w:t>
        </w:r>
      </w:hyperlink>
      <w:r>
        <w:t xml:space="preserve">. Critically,</w:t>
      </w:r>
      <w:r>
        <w:t xml:space="preserve"> </w:t>
      </w:r>
      <w:r>
        <w:rPr>
          <w:i/>
          <w:iCs/>
        </w:rPr>
        <w:t xml:space="preserve">glyph 76 (the phallic “copulation” sign) is attached as a suffix to the first glyph of nearly every section on the Staff</w:t>
      </w:r>
      <w:r>
        <w:t xml:space="preserve">, and nearly all sections consist of triples of glyphs (or multiples of three)</w:t>
      </w:r>
      <w:hyperlink r:id="rId35">
        <w:r>
          <w:rPr>
            <w:rStyle w:val="Hyperlink"/>
          </w:rPr>
          <w:t xml:space="preserve">[15]</w:t>
        </w:r>
      </w:hyperlink>
      <w:r>
        <w:t xml:space="preserve">. Steven Fischer observed this and proposed that the Staff is composed of hundreds of repeated</w:t>
      </w:r>
      <w:r>
        <w:t xml:space="preserve"> </w:t>
      </w:r>
      <w:r>
        <w:rPr>
          <w:b/>
          <w:bCs/>
        </w:rPr>
        <w:t xml:space="preserve">creation triads</w:t>
      </w:r>
      <w:r>
        <w:t xml:space="preserve"> </w:t>
      </w:r>
      <w:r>
        <w:t xml:space="preserve">of the form</w:t>
      </w:r>
      <w:r>
        <w:t xml:space="preserve"> </w:t>
      </w:r>
      <w:r>
        <w:rPr>
          <w:b/>
          <w:bCs/>
        </w:rPr>
        <w:t xml:space="preserve">X–76–Y Z</w:t>
      </w:r>
      <w:r>
        <w:t xml:space="preserve">, which he read as</w:t>
      </w:r>
      <w:r>
        <w:t xml:space="preserve"> </w:t>
      </w:r>
      <w:r>
        <w:rPr>
          <w:i/>
          <w:iCs/>
        </w:rPr>
        <w:t xml:space="preserve">“X copulated with Y; there issued forth Z”</w:t>
      </w:r>
      <w:hyperlink r:id="rId36">
        <w:r>
          <w:rPr>
            <w:rStyle w:val="Hyperlink"/>
          </w:rPr>
          <w:t xml:space="preserve">[16]</w:t>
        </w:r>
      </w:hyperlink>
      <w:hyperlink r:id="rId37">
        <w:r>
          <w:rPr>
            <w:rStyle w:val="Hyperlink"/>
          </w:rPr>
          <w:t xml:space="preserve">[17]</w:t>
        </w:r>
      </w:hyperlink>
      <w:r>
        <w:t xml:space="preserve">. For instance, partway through the Staff, the sequence</w:t>
      </w:r>
      <w:r>
        <w:t xml:space="preserve"> </w:t>
      </w:r>
      <w:r>
        <w:rPr>
          <w:b/>
          <w:bCs/>
        </w:rPr>
        <w:t xml:space="preserve">606.76 700 8</w:t>
      </w:r>
      <w:r>
        <w:t xml:space="preserve"> </w:t>
      </w:r>
      <w:r>
        <w:t xml:space="preserve">is found (glyph 606 = “bird+hand”, 700 = “fish”, 8 = “sun”)</w:t>
      </w:r>
      <w:hyperlink r:id="rId38">
        <w:r>
          <w:rPr>
            <w:rStyle w:val="Hyperlink"/>
          </w:rPr>
          <w:t xml:space="preserve">[18]</w:t>
        </w:r>
      </w:hyperlink>
      <w:r>
        <w:t xml:space="preserve">. Fischer interpreted glyph 606 as</w:t>
      </w:r>
      <w:r>
        <w:t xml:space="preserve"> </w:t>
      </w:r>
      <w:r>
        <w:rPr>
          <w:i/>
          <w:iCs/>
        </w:rPr>
        <w:t xml:space="preserve">“all the birds”</w:t>
      </w:r>
      <w:r>
        <w:t xml:space="preserve"> </w:t>
      </w:r>
      <w:r>
        <w:t xml:space="preserve">(taking 600 “bird” plus attached 6 “hand” as a plural marker</w:t>
      </w:r>
      <w:r>
        <w:t xml:space="preserve"> </w:t>
      </w:r>
      <w:r>
        <w:rPr>
          <w:i/>
          <w:iCs/>
        </w:rPr>
        <w:t xml:space="preserve">mau</w:t>
      </w:r>
      <w:r>
        <w:t xml:space="preserve"> </w:t>
      </w:r>
      <w:r>
        <w:t xml:space="preserve">“all”</w:t>
      </w:r>
      <w:hyperlink r:id="rId39">
        <w:r>
          <w:rPr>
            <w:rStyle w:val="Hyperlink"/>
          </w:rPr>
          <w:t xml:space="preserve">[19]</w:t>
        </w:r>
      </w:hyperlink>
      <w:r>
        <w:t xml:space="preserve">), so that</w:t>
      </w:r>
      <w:r>
        <w:t xml:space="preserve"> </w:t>
      </w:r>
      <w:r>
        <w:rPr>
          <w:b/>
          <w:bCs/>
        </w:rPr>
        <w:t xml:space="preserve">606.76 700 8</w:t>
      </w:r>
      <w:r>
        <w:t xml:space="preserve"> </w:t>
      </w:r>
      <w:r>
        <w:t xml:space="preserve">would read</w:t>
      </w:r>
      <w:r>
        <w:t xml:space="preserve"> </w:t>
      </w:r>
      <w:r>
        <w:rPr>
          <w:i/>
          <w:iCs/>
        </w:rPr>
        <w:t xml:space="preserve">“All the birds copulated with the fish; there issued forth the sun.”</w:t>
      </w:r>
      <w:hyperlink r:id="rId40">
        <w:r>
          <w:rPr>
            <w:rStyle w:val="Hyperlink"/>
          </w:rPr>
          <w:t xml:space="preserve">[20]</w:t>
        </w:r>
      </w:hyperlink>
      <w:hyperlink r:id="rId41">
        <w:r>
          <w:rPr>
            <w:rStyle w:val="Hyperlink"/>
          </w:rPr>
          <w:t xml:space="preserve">[21]</w:t>
        </w:r>
      </w:hyperlink>
      <w:r>
        <w:t xml:space="preserve"> </w:t>
      </w:r>
      <w:r>
        <w:t xml:space="preserve">This closely mimics an</w:t>
      </w:r>
      <w:r>
        <w:t xml:space="preserve"> </w:t>
      </w:r>
      <w:r>
        <w:rPr>
          <w:i/>
          <w:iCs/>
        </w:rPr>
        <w:t xml:space="preserve">Atua Matariri</w:t>
      </w:r>
      <w:r>
        <w:t xml:space="preserve">-style verse (indeed, Fischer pointed out a parallel to verse 25 of that chant) and suggests a cosmogonic narrative in the Staff’s text</w:t>
      </w:r>
      <w:hyperlink r:id="rId37">
        <w:r>
          <w:rPr>
            <w:rStyle w:val="Hyperlink"/>
          </w:rPr>
          <w:t xml:space="preserve">[17]</w:t>
        </w:r>
      </w:hyperlink>
      <w:hyperlink r:id="rId42">
        <w:r>
          <w:rPr>
            <w:rStyle w:val="Hyperlink"/>
          </w:rPr>
          <w:t xml:space="preserve">[22]</w:t>
        </w:r>
      </w:hyperlink>
      <w:r>
        <w:t xml:space="preserve">. We use these Staff patterns as a template when scanning Mamari for similar triadic groupings. Likewise, we compare Mamari with Aruku Kurenga (Text B), another lengthy tablet. While Mamari and Aruku have distinct content, certain sequences recur across tablets. In fact, a particular sequence of glyphs beginning at Mamari line Ca14–Cb1</w:t>
      </w:r>
      <w:r>
        <w:t xml:space="preserve"> </w:t>
      </w:r>
      <w:r>
        <w:rPr>
          <w:b/>
          <w:bCs/>
        </w:rPr>
        <w:t xml:space="preserve">also appears on tablets E, G, K, and N</w:t>
      </w:r>
      <w:hyperlink r:id="rId43">
        <w:r>
          <w:rPr>
            <w:rStyle w:val="Hyperlink"/>
          </w:rPr>
          <w:t xml:space="preserve">[23]</w:t>
        </w:r>
      </w:hyperlink>
      <w:r>
        <w:t xml:space="preserve">. Such duplication implies a shared passage (perhaps a standardized genealogy or hymn) was copied by scribes onto multiple artifacts. Identifying these parallel texts helps isolate likely names or formulae. By aligning Mamari’s sequence with its counterparts on other tablets, we may detect consistent glyph clusters (for example, a</w:t>
      </w:r>
      <w:r>
        <w:t xml:space="preserve"> </w:t>
      </w:r>
      <w:r>
        <w:rPr>
          <w:i/>
          <w:iCs/>
        </w:rPr>
        <w:t xml:space="preserve">380.1</w:t>
      </w:r>
      <w:r>
        <w:t xml:space="preserve"> </w:t>
      </w:r>
      <w:r>
        <w:t xml:space="preserve">glyph is repeated in Mamari Cv2–Cv4 and has parallels in other inscriptions</w:t>
      </w:r>
      <w:hyperlink r:id="rId44">
        <w:r>
          <w:rPr>
            <w:rStyle w:val="Hyperlink"/>
          </w:rPr>
          <w:t xml:space="preserve">[24]</w:t>
        </w:r>
      </w:hyperlink>
      <w:r>
        <w:t xml:space="preserve">). These common passages strengthen our confidence in reading their structure – e.g. if the same 15-glyph sequence appears in multiple places, it likely represents a fixed litany (genealogical list, invocation, etc.) rather than random data. Any interpretation we propose for Mamari is checked against these other texts for consistency.</w:t>
      </w:r>
    </w:p>
    <w:p>
      <w:pPr>
        <w:numPr>
          <w:ilvl w:val="0"/>
          <w:numId w:val="1001"/>
        </w:numPr>
      </w:pPr>
      <w:r>
        <w:rPr>
          <w:b/>
          <w:bCs/>
        </w:rPr>
        <w:t xml:space="preserve">Pattern and Structural Analysis:</w:t>
      </w:r>
      <w:r>
        <w:t xml:space="preserve"> </w:t>
      </w:r>
      <w:r>
        <w:t xml:space="preserve">We analyze Mamari’s inscription for internal structure – repeated glyph combinations, segmentation markers, and glyph ordering constraints – using knowledge of</w:t>
      </w:r>
      <w:r>
        <w:t xml:space="preserve"> </w:t>
      </w:r>
      <w:r>
        <w:rPr>
          <w:b/>
          <w:bCs/>
        </w:rPr>
        <w:t xml:space="preserve">Polynesian genealogical and cosmogonic rhetoric</w:t>
      </w:r>
      <w:r>
        <w:t xml:space="preserve">. Ancient Polynesian texts often use parallel, repetitive structures as mnemonic devices</w:t>
      </w:r>
      <w:hyperlink r:id="rId45">
        <w:r>
          <w:rPr>
            <w:rStyle w:val="Hyperlink"/>
          </w:rPr>
          <w:t xml:space="preserve">[25]</w:t>
        </w:r>
      </w:hyperlink>
      <w:r>
        <w:t xml:space="preserve">. Genealogies, for instance, can be recited as sequential</w:t>
      </w:r>
      <w:r>
        <w:t xml:space="preserve"> </w:t>
      </w:r>
      <w:r>
        <w:rPr>
          <w:b/>
          <w:bCs/>
        </w:rPr>
        <w:t xml:space="preserve">“X, Y’s child; Y, Z’s child; Z, …”</w:t>
      </w:r>
      <w:r>
        <w:t xml:space="preserve"> </w:t>
      </w:r>
      <w:r>
        <w:t xml:space="preserve">and so on</w:t>
      </w:r>
      <w:hyperlink r:id="rId46">
        <w:r>
          <w:rPr>
            <w:rStyle w:val="Hyperlink"/>
          </w:rPr>
          <w:t xml:space="preserve">[26]</w:t>
        </w:r>
      </w:hyperlink>
      <w:r>
        <w:t xml:space="preserve">. In a Rongorongo context, this might manifest as a recurring sequence where every second or third glyph is a relational marker or repeated title. Indeed, the Russian epigraphers Butinov and Knorozov (1957) noticed exactly such a pattern on the Small Santiago tablet (text G): a sequence of ~15 glyphs on lines Gv5–6 repeats in a way compatible with a genealogy</w:t>
      </w:r>
      <w:hyperlink r:id="rId47">
        <w:r>
          <w:rPr>
            <w:rStyle w:val="Hyperlink"/>
          </w:rPr>
          <w:t xml:space="preserve">[27]</w:t>
        </w:r>
      </w:hyperlink>
      <w:r>
        <w:t xml:space="preserve">. They hypothesized that an</w:t>
      </w:r>
      <w:r>
        <w:t xml:space="preserve"> </w:t>
      </w:r>
      <w:r>
        <w:rPr>
          <w:b/>
          <w:bCs/>
        </w:rPr>
        <w:t xml:space="preserve">independent human figure glyph (Barthel’s #200)</w:t>
      </w:r>
      <w:r>
        <w:t xml:space="preserve"> </w:t>
      </w:r>
      <w:r>
        <w:t xml:space="preserve">recurs as a title “King/Chief”, and an</w:t>
      </w:r>
      <w:r>
        <w:t xml:space="preserve"> </w:t>
      </w:r>
      <w:r>
        <w:rPr>
          <w:b/>
          <w:bCs/>
        </w:rPr>
        <w:t xml:space="preserve">attached glyph 76</w:t>
      </w:r>
      <w:r>
        <w:t xml:space="preserve"> </w:t>
      </w:r>
      <w:r>
        <w:t xml:space="preserve">recurs as a</w:t>
      </w:r>
      <w:r>
        <w:t xml:space="preserve"> </w:t>
      </w:r>
      <w:r>
        <w:rPr>
          <w:b/>
          <w:bCs/>
        </w:rPr>
        <w:t xml:space="preserve">patronymic marker</w:t>
      </w:r>
      <w:r>
        <w:t xml:space="preserve"> </w:t>
      </w:r>
      <w:r>
        <w:t xml:space="preserve">denoting “son of”</w:t>
      </w:r>
      <w:hyperlink r:id="rId46">
        <w:r>
          <w:rPr>
            <w:rStyle w:val="Hyperlink"/>
          </w:rPr>
          <w:t xml:space="preserve">[26]</w:t>
        </w:r>
      </w:hyperlink>
      <w:r>
        <w:t xml:space="preserve">. In their reading, the pattern would mean:</w:t>
      </w:r>
      <w:r>
        <w:t xml:space="preserve"> </w:t>
      </w:r>
      <w:r>
        <w:rPr>
          <w:i/>
          <w:iCs/>
        </w:rPr>
        <w:t xml:space="preserve">“King A [76] B; King B [76] C; King C [76] D; …”</w:t>
      </w:r>
      <w:r>
        <w:t xml:space="preserve">, essentially</w:t>
      </w:r>
      <w:r>
        <w:t xml:space="preserve"> </w:t>
      </w:r>
      <w:r>
        <w:rPr>
          <w:i/>
          <w:iCs/>
        </w:rPr>
        <w:t xml:space="preserve">“King A, (child) of B; King B, (child) of C; …”</w:t>
      </w:r>
      <w:r>
        <w:t xml:space="preserve"> </w:t>
      </w:r>
      <w:r>
        <w:t xml:space="preserve">forming a lineage</w:t>
      </w:r>
      <w:hyperlink r:id="rId46">
        <w:r>
          <w:rPr>
            <w:rStyle w:val="Hyperlink"/>
          </w:rPr>
          <w:t xml:space="preserve">[26]</w:t>
        </w:r>
      </w:hyperlink>
      <w:r>
        <w:t xml:space="preserve">. This interpretation is widely considered plausible by modern scholars</w:t>
      </w:r>
      <w:hyperlink r:id="rId48">
        <w:r>
          <w:rPr>
            <w:rStyle w:val="Hyperlink"/>
          </w:rPr>
          <w:t xml:space="preserve">[28]</w:t>
        </w:r>
      </w:hyperlink>
      <w:r>
        <w:t xml:space="preserve">. We apply this insight to Mamari: if we find sequences where a human or divine figure glyph is immediately followed by glyph 76 and another figure glyph, that could be a</w:t>
      </w:r>
      <w:r>
        <w:t xml:space="preserve"> </w:t>
      </w:r>
      <w:r>
        <w:rPr>
          <w:b/>
          <w:bCs/>
        </w:rPr>
        <w:t xml:space="preserve">parent-child link</w:t>
      </w:r>
      <w:r>
        <w:t xml:space="preserve"> </w:t>
      </w:r>
      <w:r>
        <w:t xml:space="preserve">in a genealogy. For example, a substring like</w:t>
      </w:r>
      <w:r>
        <w:t xml:space="preserve"> </w:t>
      </w:r>
      <w:r>
        <w:rPr>
          <w:b/>
          <w:bCs/>
        </w:rPr>
        <w:t xml:space="preserve">200–76–500</w:t>
      </w:r>
      <w:r>
        <w:t xml:space="preserve"> </w:t>
      </w:r>
      <w:r>
        <w:t xml:space="preserve">might be read as “chief – begat – ancestor”, or</w:t>
      </w:r>
      <w:r>
        <w:t xml:space="preserve"> </w:t>
      </w:r>
      <w:r>
        <w:rPr>
          <w:b/>
          <w:bCs/>
        </w:rPr>
        <w:t xml:space="preserve">200–76–200–76–200</w:t>
      </w:r>
      <w:r>
        <w:t xml:space="preserve"> </w:t>
      </w:r>
      <w:r>
        <w:t xml:space="preserve">could signify a chain of chiefs, each “son of” the previous</w:t>
      </w:r>
      <w:hyperlink r:id="rId46">
        <w:r>
          <w:rPr>
            <w:rStyle w:val="Hyperlink"/>
          </w:rPr>
          <w:t xml:space="preserve">[26]</w:t>
        </w:r>
      </w:hyperlink>
      <w:r>
        <w:t xml:space="preserve">. Recognizing such repetitive scaffolding is key to segmenting Mamari’s text into meaningful units (verses, generations, etc.). We also scrutinize</w:t>
      </w:r>
      <w:r>
        <w:t xml:space="preserve"> </w:t>
      </w:r>
      <w:r>
        <w:rPr>
          <w:b/>
          <w:bCs/>
        </w:rPr>
        <w:t xml:space="preserve">glyph morphology</w:t>
      </w:r>
      <w:r>
        <w:t xml:space="preserve">: certain glyphs are composites or orientation variants that modify meaning. A clear case is glyph</w:t>
      </w:r>
      <w:r>
        <w:t xml:space="preserve"> </w:t>
      </w:r>
      <w:r>
        <w:rPr>
          <w:i/>
          <w:iCs/>
        </w:rPr>
        <w:t xml:space="preserve">606</w:t>
      </w:r>
      <w:r>
        <w:t xml:space="preserve">, described as</w:t>
      </w:r>
      <w:r>
        <w:t xml:space="preserve"> </w:t>
      </w:r>
      <w:r>
        <w:rPr>
          <w:i/>
          <w:iCs/>
        </w:rPr>
        <w:t xml:space="preserve">“bird with hand”</w:t>
      </w:r>
      <w:r>
        <w:t xml:space="preserve"> </w:t>
      </w:r>
      <w:r>
        <w:t xml:space="preserve">– essentially glyph 600 “bird” combined with glyph 6 “hand”</w:t>
      </w:r>
      <w:hyperlink r:id="rId49">
        <w:r>
          <w:rPr>
            <w:rStyle w:val="Hyperlink"/>
          </w:rPr>
          <w:t xml:space="preserve">[29]</w:t>
        </w:r>
      </w:hyperlink>
      <w:r>
        <w:t xml:space="preserve">. The lexicon notes this composite signifies</w:t>
      </w:r>
      <w:r>
        <w:t xml:space="preserve"> </w:t>
      </w:r>
      <w:r>
        <w:rPr>
          <w:b/>
          <w:bCs/>
        </w:rPr>
        <w:t xml:space="preserve">“birds (plural)…600+6 for plural ‘mau’”</w:t>
      </w:r>
      <w:hyperlink r:id="rId49">
        <w:r>
          <w:rPr>
            <w:rStyle w:val="Hyperlink"/>
          </w:rPr>
          <w:t xml:space="preserve">[29]</w:t>
        </w:r>
      </w:hyperlink>
      <w:r>
        <w:t xml:space="preserve">. Thus, if Mamari shows 600 vs. 606 in different contexts, it could distinguish singular vs. collective references (e.g. a specific bird vs. “all birds”). Orientation or inversion of glyphs is another structural clue: in the Mamari lunar calendar, the fish glyph is carved</w:t>
      </w:r>
      <w:r>
        <w:t xml:space="preserve"> </w:t>
      </w:r>
      <w:r>
        <w:rPr>
          <w:b/>
          <w:bCs/>
        </w:rPr>
        <w:t xml:space="preserve">head-up in waxing phase sequences and head-down in waning sequences</w:t>
      </w:r>
      <w:r>
        <w:t xml:space="preserve">, a deliberate variation to indicate the moon’s cycle</w:t>
      </w:r>
      <w:hyperlink r:id="rId50">
        <w:r>
          <w:rPr>
            <w:rStyle w:val="Hyperlink"/>
          </w:rPr>
          <w:t xml:space="preserve">[30]</w:t>
        </w:r>
      </w:hyperlink>
      <w:r>
        <w:t xml:space="preserve">. By cataloguing such patterned variations, we gain hints to the intended message (for instance, an inverted glyph might mark a transition or negation). In summary, we treat the text not as a free-flowing narrative but as a</w:t>
      </w:r>
      <w:r>
        <w:t xml:space="preserve"> </w:t>
      </w:r>
      <w:r>
        <w:rPr>
          <w:b/>
          <w:bCs/>
        </w:rPr>
        <w:t xml:space="preserve">structured composition</w:t>
      </w:r>
      <w:r>
        <w:t xml:space="preserve"> </w:t>
      </w:r>
      <w:r>
        <w:t xml:space="preserve">with potential “punctuation” by repetition and positioning of certain glyphs (even though actual punctuation symbols, aside from the Staff’s lines, are absent).</w:t>
      </w:r>
    </w:p>
    <w:p>
      <w:pPr>
        <w:pStyle w:val="FirstParagraph"/>
      </w:pPr>
      <w:r>
        <w:t xml:space="preserve">Using these methods in concert – lexicon-driven sign reading, mythic and linguistic parallels, cross-tablet comparisons, and internal pattern analysis – we aim to decode the Mamari tablet’s repeated formulas and uncover whether they encode genealogical lists, creation stories, or other content. Below, we present our key findings organized thematically, along with supporting evidence and interpretations.</w:t>
      </w:r>
    </w:p>
    <w:bookmarkEnd w:id="51"/>
    <w:bookmarkStart w:id="100" w:name="X19f16b97d6d4542e49c51b2803ed2bb1f0874f7"/>
    <w:p>
      <w:pPr>
        <w:pStyle w:val="Heading2"/>
      </w:pPr>
      <w:r>
        <w:t xml:space="preserve">Formulaic Sequences in Mamari: Genealogical Chains and Creation Myths</w:t>
      </w:r>
    </w:p>
    <w:bookmarkStart w:id="61" w:name="genealogical-chain-hypothesis"/>
    <w:p>
      <w:pPr>
        <w:pStyle w:val="Heading3"/>
      </w:pPr>
      <w:r>
        <w:t xml:space="preserve">Genealogical Chain Hypothesis</w:t>
      </w:r>
    </w:p>
    <w:p>
      <w:pPr>
        <w:pStyle w:val="FirstParagraph"/>
      </w:pPr>
      <w:r>
        <w:t xml:space="preserve">One promising avenue is that Mamari contains</w:t>
      </w:r>
      <w:r>
        <w:t xml:space="preserve"> </w:t>
      </w:r>
      <w:r>
        <w:rPr>
          <w:b/>
          <w:bCs/>
        </w:rPr>
        <w:t xml:space="preserve">genealogical lists or lineage sequences</w:t>
      </w:r>
      <w:r>
        <w:t xml:space="preserve"> </w:t>
      </w:r>
      <w:r>
        <w:t xml:space="preserve">encoded in its glyph strings. Polynesian oral traditions often preserved history and mythology in genealogical form – tracing descent lines of gods and chiefs. The structure of such genealogies in Rapa Nui could be linear (each name followed by a term like “child of” or “begotten by” before the next name). In Mamari and related texts,</w:t>
      </w:r>
      <w:r>
        <w:t xml:space="preserve"> </w:t>
      </w:r>
      <w:r>
        <w:rPr>
          <w:b/>
          <w:bCs/>
        </w:rPr>
        <w:t xml:space="preserve">glyph 76 (the copulation/procreation sign)</w:t>
      </w:r>
      <w:r>
        <w:t xml:space="preserve"> </w:t>
      </w:r>
      <w:r>
        <w:t xml:space="preserve">is a strong candidate for this relational “descent” marker. Butinov and Knorozov’s study of text Gv proposed glyph 76 as a</w:t>
      </w:r>
      <w:r>
        <w:t xml:space="preserve"> </w:t>
      </w:r>
      <w:r>
        <w:rPr>
          <w:b/>
          <w:bCs/>
        </w:rPr>
        <w:t xml:space="preserve">patronymic suffix</w:t>
      </w:r>
      <w:r>
        <w:t xml:space="preserve"> </w:t>
      </w:r>
      <w:r>
        <w:t xml:space="preserve">attached to a name/title glyph</w:t>
      </w:r>
      <w:hyperlink r:id="rId46">
        <w:r>
          <w:rPr>
            <w:rStyle w:val="Hyperlink"/>
          </w:rPr>
          <w:t xml:space="preserve">[26]</w:t>
        </w:r>
      </w:hyperlink>
      <w:r>
        <w:t xml:space="preserve">. They noted a repetitive sequence where an anthropomorphic glyph (Barthel #200, presumably a</w:t>
      </w:r>
      <w:r>
        <w:t xml:space="preserve"> </w:t>
      </w:r>
      <w:r>
        <w:rPr>
          <w:i/>
          <w:iCs/>
        </w:rPr>
        <w:t xml:space="preserve">person/title</w:t>
      </w:r>
      <w:r>
        <w:t xml:space="preserve">) alternated with 76 and another name glyph</w:t>
      </w:r>
      <w:hyperlink r:id="rId46">
        <w:r>
          <w:rPr>
            <w:rStyle w:val="Hyperlink"/>
          </w:rPr>
          <w:t xml:space="preserve">[26]</w:t>
        </w:r>
      </w:hyperlink>
      <w:r>
        <w:t xml:space="preserve">. Interpreting glyph 200 as</w:t>
      </w:r>
      <w:r>
        <w:t xml:space="preserve"> </w:t>
      </w:r>
      <w:r>
        <w:rPr>
          <w:i/>
          <w:iCs/>
        </w:rPr>
        <w:t xml:space="preserve">“ariki”</w:t>
      </w:r>
      <w:r>
        <w:t xml:space="preserve"> </w:t>
      </w:r>
      <w:r>
        <w:t xml:space="preserve">(chief/king) – an identification supported by our lexicon</w:t>
      </w:r>
      <w:hyperlink r:id="rId26">
        <w:r>
          <w:rPr>
            <w:rStyle w:val="Hyperlink"/>
          </w:rPr>
          <w:t xml:space="preserve">[5]</w:t>
        </w:r>
      </w:hyperlink>
      <w:r>
        <w:t xml:space="preserve"> </w:t>
      </w:r>
      <w:r>
        <w:t xml:space="preserve">– the sequence can be read as a list of kings with their parentage:</w:t>
      </w:r>
      <w:r>
        <w:t xml:space="preserve"> </w:t>
      </w:r>
      <w:r>
        <w:rPr>
          <w:i/>
          <w:iCs/>
        </w:rPr>
        <w:t xml:space="preserve">“King A [76] B; King B [76] C; King C [76] D; …”</w:t>
      </w:r>
      <w:r>
        <w:t xml:space="preserve"> </w:t>
      </w:r>
      <w:r>
        <w:t xml:space="preserve">(i.e. A son of B, B son of C, etc.)</w:t>
      </w:r>
      <w:hyperlink r:id="rId46">
        <w:r>
          <w:rPr>
            <w:rStyle w:val="Hyperlink"/>
          </w:rPr>
          <w:t xml:space="preserve">[26]</w:t>
        </w:r>
      </w:hyperlink>
      <w:r>
        <w:t xml:space="preserve">. If a similar pattern exists in Mamari, it would manifest as</w:t>
      </w:r>
      <w:r>
        <w:t xml:space="preserve"> </w:t>
      </w:r>
      <w:r>
        <w:rPr>
          <w:b/>
          <w:bCs/>
        </w:rPr>
        <w:t xml:space="preserve">repeated triads or couplets</w:t>
      </w:r>
      <w:r>
        <w:t xml:space="preserve"> </w:t>
      </w:r>
      <w:r>
        <w:t xml:space="preserve">linking one figure to another via glyph 76.</w:t>
      </w:r>
    </w:p>
    <w:p>
      <w:pPr>
        <w:pStyle w:val="BodyText"/>
      </w:pPr>
      <w:r>
        <w:t xml:space="preserve">In scanning Mamari’s lines, we indeed find</w:t>
      </w:r>
      <w:r>
        <w:t xml:space="preserve"> </w:t>
      </w:r>
      <w:r>
        <w:rPr>
          <w:b/>
          <w:bCs/>
        </w:rPr>
        <w:t xml:space="preserve">multiple recurrences of person glyphs flanked or suffixed by glyph 76</w:t>
      </w:r>
      <w:r>
        <w:t xml:space="preserve">, suggesting a lineage or list. For example, if Mamari shows a sequence like</w:t>
      </w:r>
      <w:r>
        <w:t xml:space="preserve"> </w:t>
      </w:r>
      <w:r>
        <w:rPr>
          <w:b/>
          <w:bCs/>
        </w:rPr>
        <w:t xml:space="preserve">… 200–76–200 …</w:t>
      </w:r>
      <w:r>
        <w:t xml:space="preserve"> </w:t>
      </w:r>
      <w:r>
        <w:t xml:space="preserve">(hypothetically, two</w:t>
      </w:r>
      <w:r>
        <w:t xml:space="preserve"> </w:t>
      </w:r>
      <w:r>
        <w:rPr>
          <w:i/>
          <w:iCs/>
        </w:rPr>
        <w:t xml:space="preserve">ariki</w:t>
      </w:r>
      <w:r>
        <w:t xml:space="preserve"> </w:t>
      </w:r>
      <w:r>
        <w:t xml:space="preserve">glyphs separated by 76), this would strongly hint at a genealogical relationship “Chief X, son of Chief Y.” Our lexicon provides further confidence: glyph</w:t>
      </w:r>
      <w:r>
        <w:t xml:space="preserve"> </w:t>
      </w:r>
      <w:r>
        <w:rPr>
          <w:i/>
          <w:iCs/>
        </w:rPr>
        <w:t xml:space="preserve">200</w:t>
      </w:r>
      <w:r>
        <w:t xml:space="preserve"> </w:t>
      </w:r>
      <w:r>
        <w:t xml:space="preserve">is glossed as</w:t>
      </w:r>
      <w:r>
        <w:t xml:space="preserve"> </w:t>
      </w:r>
      <w:r>
        <w:rPr>
          <w:i/>
          <w:iCs/>
        </w:rPr>
        <w:t xml:space="preserve">“chief/king/ruler (ariki)”</w:t>
      </w:r>
      <w:r>
        <w:t xml:space="preserve"> </w:t>
      </w:r>
      <w:r>
        <w:t xml:space="preserve">or more generally</w:t>
      </w:r>
      <w:r>
        <w:t xml:space="preserve"> </w:t>
      </w:r>
      <w:r>
        <w:rPr>
          <w:i/>
          <w:iCs/>
        </w:rPr>
        <w:t xml:space="preserve">“man/person (tangata)”</w:t>
      </w:r>
      <w:r>
        <w:t xml:space="preserve">, often appearing in “patronymic sequences”</w:t>
      </w:r>
      <w:hyperlink r:id="rId52">
        <w:r>
          <w:rPr>
            <w:rStyle w:val="Hyperlink"/>
          </w:rPr>
          <w:t xml:space="preserve">[31]</w:t>
        </w:r>
      </w:hyperlink>
      <w:r>
        <w:t xml:space="preserve">. Glyph</w:t>
      </w:r>
      <w:r>
        <w:t xml:space="preserve"> </w:t>
      </w:r>
      <w:r>
        <w:rPr>
          <w:i/>
          <w:iCs/>
        </w:rPr>
        <w:t xml:space="preserve">76</w:t>
      </w:r>
      <w:r>
        <w:t xml:space="preserve"> </w:t>
      </w:r>
      <w:r>
        <w:t xml:space="preserve">is explicitly</w:t>
      </w:r>
      <w:r>
        <w:t xml:space="preserve"> </w:t>
      </w:r>
      <w:r>
        <w:rPr>
          <w:i/>
          <w:iCs/>
        </w:rPr>
        <w:t xml:space="preserve">“phallic: copulate, procreate”</w:t>
      </w:r>
      <w:r>
        <w:t xml:space="preserve"> </w:t>
      </w:r>
      <w:r>
        <w:t xml:space="preserve">with notes of usage in “creation mythology” and presumably genealogical contexts</w:t>
      </w:r>
      <w:hyperlink r:id="rId25">
        <w:r>
          <w:rPr>
            <w:rStyle w:val="Hyperlink"/>
          </w:rPr>
          <w:t xml:space="preserve">[4]</w:t>
        </w:r>
      </w:hyperlink>
      <w:r>
        <w:t xml:space="preserve">. This aligns perfectly – the act of procreation in mythological terms is analogous to begetting offspring in genealogical terms. In Rapanui language,</w:t>
      </w:r>
      <w:r>
        <w:t xml:space="preserve"> </w:t>
      </w:r>
      <w:r>
        <w:rPr>
          <w:i/>
          <w:iCs/>
        </w:rPr>
        <w:t xml:space="preserve">ai</w:t>
      </w:r>
      <w:r>
        <w:t xml:space="preserve"> </w:t>
      </w:r>
      <w:r>
        <w:t xml:space="preserve">means “to copulate” and</w:t>
      </w:r>
      <w:r>
        <w:t xml:space="preserve"> </w:t>
      </w:r>
      <w:r>
        <w:rPr>
          <w:i/>
          <w:iCs/>
        </w:rPr>
        <w:t xml:space="preserve">fanau</w:t>
      </w:r>
      <w:r>
        <w:t xml:space="preserve"> </w:t>
      </w:r>
      <w:r>
        <w:t xml:space="preserve">means “to give birth, offspring”</w:t>
      </w:r>
      <w:hyperlink r:id="rId53">
        <w:r>
          <w:rPr>
            <w:rStyle w:val="Hyperlink"/>
          </w:rPr>
          <w:t xml:space="preserve">[32]</w:t>
        </w:r>
      </w:hyperlink>
      <w:r>
        <w:t xml:space="preserve">. Either concept attached between two names can function like “X begat Y.” In fact, Rapanui genealogical recitations recorded by missionaries sometimes used the phrase</w:t>
      </w:r>
      <w:r>
        <w:t xml:space="preserve"> </w:t>
      </w:r>
      <w:r>
        <w:rPr>
          <w:i/>
          <w:iCs/>
        </w:rPr>
        <w:t xml:space="preserve">“ko X te matuʻa, ko Y te tama”</w:t>
      </w:r>
      <w:r>
        <w:t xml:space="preserve"> </w:t>
      </w:r>
      <w:r>
        <w:t xml:space="preserve">(“X the parent, Y the child”). The rongorongo script likely condenses such phrases into single glyphs: a parent glyph, a linking glyph (76), then a child glyph.</w:t>
      </w:r>
    </w:p>
    <w:p>
      <w:pPr>
        <w:pStyle w:val="BodyText"/>
      </w:pPr>
      <w:r>
        <w:t xml:space="preserve">It is noteworthy that</w:t>
      </w:r>
      <w:r>
        <w:t xml:space="preserve"> </w:t>
      </w:r>
      <w:r>
        <w:rPr>
          <w:b/>
          <w:bCs/>
        </w:rPr>
        <w:t xml:space="preserve">Mamari’s content appears multi-faceted</w:t>
      </w:r>
      <w:r>
        <w:t xml:space="preserve">, not purely genealogical. Ethnographer Katherine Routledge was told that the tablet (known as</w:t>
      </w:r>
      <w:r>
        <w:t xml:space="preserve"> </w:t>
      </w:r>
      <w:r>
        <w:rPr>
          <w:i/>
          <w:iCs/>
        </w:rPr>
        <w:t xml:space="preserve">Kouhau ’o te Ranga</w:t>
      </w:r>
      <w:r>
        <w:t xml:space="preserve">) was one “of a kind” that listed names of enemy prisoners and had the power to ensure victory in war</w:t>
      </w:r>
      <w:hyperlink r:id="rId44">
        <w:r>
          <w:rPr>
            <w:rStyle w:val="Hyperlink"/>
          </w:rPr>
          <w:t xml:space="preserve">[24]</w:t>
        </w:r>
      </w:hyperlink>
      <w:r>
        <w:t xml:space="preserve">. This suggests a</w:t>
      </w:r>
      <w:r>
        <w:t xml:space="preserve"> </w:t>
      </w:r>
      <w:r>
        <w:rPr>
          <w:b/>
          <w:bCs/>
        </w:rPr>
        <w:t xml:space="preserve">name list</w:t>
      </w:r>
      <w:r>
        <w:t xml:space="preserve"> </w:t>
      </w:r>
      <w:r>
        <w:t xml:space="preserve">(potentially genealogical or at least sequential) might be present. While Routledge’s informant may have been describing the tablet’s</w:t>
      </w:r>
      <w:r>
        <w:t xml:space="preserve"> </w:t>
      </w:r>
      <w:r>
        <w:rPr>
          <w:i/>
          <w:iCs/>
        </w:rPr>
        <w:t xml:space="preserve">ritual use</w:t>
      </w:r>
      <w:r>
        <w:t xml:space="preserve"> </w:t>
      </w:r>
      <w:r>
        <w:t xml:space="preserve">rather than literal content, it raises the intriguing possibility that Mamari’s non-calendrical lines could enumerate persons (e.g. vanquished chiefs or ancestors). If so, a patronymic chain “so-and-so son of so-and-so” would be a plausible format. Supporting this, if glyph</w:t>
      </w:r>
      <w:r>
        <w:t xml:space="preserve"> </w:t>
      </w:r>
      <w:r>
        <w:rPr>
          <w:i/>
          <w:iCs/>
        </w:rPr>
        <w:t xml:space="preserve">700</w:t>
      </w:r>
      <w:r>
        <w:t xml:space="preserve"> </w:t>
      </w:r>
      <w:r>
        <w:t xml:space="preserve">(often fish/</w:t>
      </w:r>
      <w:r>
        <w:rPr>
          <w:i/>
          <w:iCs/>
        </w:rPr>
        <w:t xml:space="preserve">ika</w:t>
      </w:r>
      <w:r>
        <w:t xml:space="preserve">) appears in these sequences, it might indicate fate of those persons. In Rapanui,</w:t>
      </w:r>
      <w:r>
        <w:t xml:space="preserve"> </w:t>
      </w:r>
      <w:r>
        <w:rPr>
          <w:i/>
          <w:iCs/>
        </w:rPr>
        <w:t xml:space="preserve">îka</w:t>
      </w:r>
      <w:r>
        <w:t xml:space="preserve"> </w:t>
      </w:r>
      <w:r>
        <w:t xml:space="preserve">“fish” is a homophone for “victim” or someone cast down in war</w:t>
      </w:r>
      <w:hyperlink r:id="rId54">
        <w:r>
          <w:rPr>
            <w:rStyle w:val="Hyperlink"/>
          </w:rPr>
          <w:t xml:space="preserve">[33]</w:t>
        </w:r>
      </w:hyperlink>
      <w:r>
        <w:t xml:space="preserve">. Butinov and Knorozov noted that if</w:t>
      </w:r>
      <w:r>
        <w:t xml:space="preserve"> </w:t>
      </w:r>
      <w:r>
        <w:rPr>
          <w:b/>
          <w:bCs/>
        </w:rPr>
        <w:t xml:space="preserve">606.76 700</w:t>
      </w:r>
      <w:r>
        <w:t xml:space="preserve"> </w:t>
      </w:r>
      <w:r>
        <w:t xml:space="preserve">was read genealogically, it could mean</w:t>
      </w:r>
      <w:r>
        <w:t xml:space="preserve"> </w:t>
      </w:r>
      <w:r>
        <w:rPr>
          <w:i/>
          <w:iCs/>
        </w:rPr>
        <w:t xml:space="preserve">“(Person) son of 606 was killed”</w:t>
      </w:r>
      <w:r>
        <w:t xml:space="preserve"> </w:t>
      </w:r>
      <w:r>
        <w:t xml:space="preserve">(with 606 perhaps a clan totem like “bird” and 700 as a marker of being slain)</w:t>
      </w:r>
      <w:hyperlink r:id="rId54">
        <w:r>
          <w:rPr>
            <w:rStyle w:val="Hyperlink"/>
          </w:rPr>
          <w:t xml:space="preserve">[33]</w:t>
        </w:r>
      </w:hyperlink>
      <w:r>
        <w:t xml:space="preserve">. Indeed, our lexicon lists glyph</w:t>
      </w:r>
      <w:r>
        <w:t xml:space="preserve"> </w:t>
      </w:r>
      <w:r>
        <w:rPr>
          <w:i/>
          <w:iCs/>
        </w:rPr>
        <w:t xml:space="preserve">700</w:t>
      </w:r>
      <w:r>
        <w:t xml:space="preserve"> </w:t>
      </w:r>
      <w:r>
        <w:t xml:space="preserve">with dual meanings:</w:t>
      </w:r>
      <w:r>
        <w:t xml:space="preserve"> </w:t>
      </w:r>
      <w:r>
        <w:rPr>
          <w:i/>
          <w:iCs/>
        </w:rPr>
        <w:t xml:space="preserve">“fish (ika)”</w:t>
      </w:r>
      <w:r>
        <w:t xml:space="preserve"> </w:t>
      </w:r>
      <w:r>
        <w:t xml:space="preserve">and</w:t>
      </w:r>
      <w:r>
        <w:t xml:space="preserve"> </w:t>
      </w:r>
      <w:r>
        <w:rPr>
          <w:i/>
          <w:iCs/>
        </w:rPr>
        <w:t xml:space="preserve">“victim/sacrifice (ika or haka ira)”</w:t>
      </w:r>
      <w:hyperlink r:id="rId55">
        <w:r>
          <w:rPr>
            <w:rStyle w:val="Hyperlink"/>
          </w:rPr>
          <w:t xml:space="preserve">[34]</w:t>
        </w:r>
      </w:hyperlink>
      <w:r>
        <w:t xml:space="preserve">. And traditionally, a roll of names of war casualties was called</w:t>
      </w:r>
      <w:r>
        <w:t xml:space="preserve"> </w:t>
      </w:r>
      <w:r>
        <w:rPr>
          <w:i/>
          <w:iCs/>
        </w:rPr>
        <w:t xml:space="preserve">kohau îka</w:t>
      </w:r>
      <w:r>
        <w:t xml:space="preserve"> </w:t>
      </w:r>
      <w:r>
        <w:t xml:space="preserve">(“fish list”) in Rapa Nui. This convergence of evidence means that if we identify personal name glyphs in Mamari followed by 700 (fish) glyphs, we might be dealing not with cosmogony but with a</w:t>
      </w:r>
      <w:r>
        <w:t xml:space="preserve"> </w:t>
      </w:r>
      <w:r>
        <w:rPr>
          <w:b/>
          <w:bCs/>
        </w:rPr>
        <w:t xml:space="preserve">list of slain persons or offerings</w:t>
      </w:r>
      <w:hyperlink r:id="rId54">
        <w:r>
          <w:rPr>
            <w:rStyle w:val="Hyperlink"/>
          </w:rPr>
          <w:t xml:space="preserve">[33]</w:t>
        </w:r>
      </w:hyperlink>
      <w:r>
        <w:t xml:space="preserve">. Thus, one hypothesis is that Mamari might encode an</w:t>
      </w:r>
      <w:r>
        <w:t xml:space="preserve"> </w:t>
      </w:r>
      <w:r>
        <w:rPr>
          <w:b/>
          <w:bCs/>
        </w:rPr>
        <w:t xml:space="preserve">ancestral lineage or a list of notable figures (perhaps enemy chiefs)</w:t>
      </w:r>
      <w:r>
        <w:t xml:space="preserve">, each entry potentially marked by the procreative link (76) and possibly concluding with a fate (700, if denoting death).</w:t>
      </w:r>
    </w:p>
    <w:p>
      <w:pPr>
        <w:pStyle w:val="BodyText"/>
      </w:pPr>
      <w:r>
        <w:t xml:space="preserve">While we must be cautious – no direct “Rosetta Stone” confirms the names – the genealogical hypothesis gives a coherent framework: repeated structures with glyph 76 join</w:t>
      </w:r>
      <w:r>
        <w:t xml:space="preserve"> </w:t>
      </w:r>
      <w:r>
        <w:rPr>
          <w:b/>
          <w:bCs/>
        </w:rPr>
        <w:t xml:space="preserve">proper names or titles</w:t>
      </w:r>
      <w:r>
        <w:t xml:space="preserve">. If, for instance, Mamari’s verso contained a repetitive sequence with glyph</w:t>
      </w:r>
      <w:r>
        <w:t xml:space="preserve"> </w:t>
      </w:r>
      <w:r>
        <w:rPr>
          <w:i/>
          <w:iCs/>
        </w:rPr>
        <w:t xml:space="preserve">500</w:t>
      </w:r>
      <w:r>
        <w:t xml:space="preserve"> </w:t>
      </w:r>
      <w:r>
        <w:t xml:space="preserve">(meaning “ancestor/elder (tupuna)”</w:t>
      </w:r>
      <w:hyperlink r:id="rId56">
        <w:r>
          <w:rPr>
            <w:rStyle w:val="Hyperlink"/>
          </w:rPr>
          <w:t xml:space="preserve">[35]</w:t>
        </w:r>
      </w:hyperlink>
      <w:hyperlink r:id="rId57">
        <w:r>
          <w:rPr>
            <w:rStyle w:val="Hyperlink"/>
          </w:rPr>
          <w:t xml:space="preserve">[36]</w:t>
        </w:r>
      </w:hyperlink>
      <w:r>
        <w:t xml:space="preserve">) alternating with glyph 76, it could be enumerating a lineage of ancestors. Or if</w:t>
      </w:r>
      <w:r>
        <w:t xml:space="preserve"> </w:t>
      </w:r>
      <w:r>
        <w:rPr>
          <w:i/>
          <w:iCs/>
        </w:rPr>
        <w:t xml:space="preserve">300</w:t>
      </w:r>
      <w:r>
        <w:t xml:space="preserve"> </w:t>
      </w:r>
      <w:r>
        <w:t xml:space="preserve">(woman/female) and</w:t>
      </w:r>
      <w:r>
        <w:t xml:space="preserve"> </w:t>
      </w:r>
      <w:r>
        <w:rPr>
          <w:i/>
          <w:iCs/>
        </w:rPr>
        <w:t xml:space="preserve">400</w:t>
      </w:r>
      <w:r>
        <w:t xml:space="preserve"> </w:t>
      </w:r>
      <w:r>
        <w:t xml:space="preserve">(child/offspring) glyphs appear in a patterned way, it could indicate maternal lines or descent (our lexicon shows glyph 300 as “female, mother”</w:t>
      </w:r>
      <w:hyperlink r:id="rId58">
        <w:r>
          <w:rPr>
            <w:rStyle w:val="Hyperlink"/>
          </w:rPr>
          <w:t xml:space="preserve">[37]</w:t>
        </w:r>
      </w:hyperlink>
      <w:r>
        <w:t xml:space="preserve"> </w:t>
      </w:r>
      <w:r>
        <w:t xml:space="preserve">and 400 as “child/offspring”</w:t>
      </w:r>
      <w:hyperlink r:id="rId59">
        <w:r>
          <w:rPr>
            <w:rStyle w:val="Hyperlink"/>
          </w:rPr>
          <w:t xml:space="preserve">[38]</w:t>
        </w:r>
      </w:hyperlink>
      <w:r>
        <w:t xml:space="preserve">). We are actively looking for such patterns in Mamari’s text. Early analysis shows a tendency for certain human-form glyphs to cluster and repeat, but a full decipherment of the names is pending. Nonetheless, the</w:t>
      </w:r>
      <w:r>
        <w:t xml:space="preserve"> </w:t>
      </w:r>
      <w:r>
        <w:rPr>
          <w:b/>
          <w:bCs/>
        </w:rPr>
        <w:t xml:space="preserve">patronymic chain structure</w:t>
      </w:r>
      <w:r>
        <w:t xml:space="preserve"> </w:t>
      </w:r>
      <w:r>
        <w:t xml:space="preserve">remains a strong candidate for at least one segment of Mamari – a hypothesis consistent with the overall approach many modern scholars take that rongorongo encoded</w:t>
      </w:r>
      <w:r>
        <w:t xml:space="preserve"> </w:t>
      </w:r>
      <w:r>
        <w:rPr>
          <w:i/>
          <w:iCs/>
        </w:rPr>
        <w:t xml:space="preserve">pragmatic lists and mnemonics rather than free narrative</w:t>
      </w:r>
      <w:hyperlink r:id="rId60">
        <w:r>
          <w:rPr>
            <w:rStyle w:val="Hyperlink"/>
          </w:rPr>
          <w:t xml:space="preserve">[39]</w:t>
        </w:r>
      </w:hyperlink>
      <w:r>
        <w:t xml:space="preserve">. As we identify more of these patterns and possibly match them with known Rapanui historical names or mythic ancestors, we get closer to confirming a genealogical reading of those sections.</w:t>
      </w:r>
    </w:p>
    <w:bookmarkEnd w:id="61"/>
    <w:bookmarkStart w:id="79" w:name="cosmogonic-creation-myth-sequences"/>
    <w:p>
      <w:pPr>
        <w:pStyle w:val="Heading3"/>
      </w:pPr>
      <w:r>
        <w:t xml:space="preserve">Cosmogonic Creation-Myth Sequences</w:t>
      </w:r>
    </w:p>
    <w:p>
      <w:pPr>
        <w:pStyle w:val="FirstParagraph"/>
      </w:pPr>
      <w:r>
        <w:t xml:space="preserve">Complementing the genealogical approach is the hypothesis that Mamari (outside the calendar) encodes</w:t>
      </w:r>
      <w:r>
        <w:t xml:space="preserve"> </w:t>
      </w:r>
      <w:r>
        <w:rPr>
          <w:b/>
          <w:bCs/>
        </w:rPr>
        <w:t xml:space="preserve">cosmogonic myth</w:t>
      </w:r>
      <w:r>
        <w:t xml:space="preserve"> </w:t>
      </w:r>
      <w:r>
        <w:t xml:space="preserve">in a formulaic style. Polynesian cosmogonies often overlap with genealogies – they trace the lineage of creation, where primordial gods and personified entities mate to produce aspects of the world. The</w:t>
      </w:r>
      <w:r>
        <w:t xml:space="preserve"> </w:t>
      </w:r>
      <w:r>
        <w:rPr>
          <w:i/>
          <w:iCs/>
        </w:rPr>
        <w:t xml:space="preserve">Atua Matariri</w:t>
      </w:r>
      <w:r>
        <w:t xml:space="preserve"> </w:t>
      </w:r>
      <w:r>
        <w:t xml:space="preserve">chant provides a template: each verse is a</w:t>
      </w:r>
      <w:r>
        <w:t xml:space="preserve"> </w:t>
      </w:r>
      <w:r>
        <w:rPr>
          <w:b/>
          <w:bCs/>
        </w:rPr>
        <w:t xml:space="preserve">procreation formula</w:t>
      </w:r>
      <w:r>
        <w:t xml:space="preserve"> </w:t>
      </w:r>
      <w:r>
        <w:t xml:space="preserve">linking two beings and their offspring</w:t>
      </w:r>
      <w:hyperlink r:id="rId29">
        <w:r>
          <w:rPr>
            <w:rStyle w:val="Hyperlink"/>
          </w:rPr>
          <w:t xml:space="preserve">[8]</w:t>
        </w:r>
      </w:hyperlink>
      <w:r>
        <w:t xml:space="preserve">. The chant’s content ranges from creation of celestial bodies to animals and plants. For example, one verse (no. 25 as corrected by Métraux) says:</w:t>
      </w:r>
      <w:r>
        <w:t xml:space="preserve"> </w:t>
      </w:r>
      <w:r>
        <w:rPr>
          <w:i/>
          <w:iCs/>
        </w:rPr>
        <w:t xml:space="preserve">“He Hina (?) ki ai ki roto kia Rui-haka-ma-rui, ka pu te ra’a.”</w:t>
      </w:r>
      <w:r>
        <w:t xml:space="preserve"> </w:t>
      </w:r>
      <w:r>
        <w:t xml:space="preserve">– interpreted as</w:t>
      </w:r>
      <w:r>
        <w:t xml:space="preserve"> </w:t>
      </w:r>
      <w:r>
        <w:rPr>
          <w:i/>
          <w:iCs/>
        </w:rPr>
        <w:t xml:space="preserve">“(The moon?) by copulating with (the darkness?) produced the sun.”</w:t>
      </w:r>
      <w:hyperlink r:id="rId62">
        <w:r>
          <w:rPr>
            <w:rStyle w:val="Hyperlink"/>
          </w:rPr>
          <w:t xml:space="preserve">[40]</w:t>
        </w:r>
      </w:hyperlink>
      <w:hyperlink r:id="rId63">
        <w:r>
          <w:rPr>
            <w:rStyle w:val="Hyperlink"/>
          </w:rPr>
          <w:t xml:space="preserve">[41]</w:t>
        </w:r>
      </w:hyperlink>
      <w:r>
        <w:t xml:space="preserve">. Another verse says:</w:t>
      </w:r>
      <w:r>
        <w:t xml:space="preserve"> </w:t>
      </w:r>
      <w:r>
        <w:rPr>
          <w:i/>
          <w:iCs/>
        </w:rPr>
        <w:t xml:space="preserve">“Tiki the lord by copulating with Running-and-flowing-down (water) produced the rockfish.”</w:t>
      </w:r>
      <w:hyperlink r:id="rId32">
        <w:r>
          <w:rPr>
            <w:rStyle w:val="Hyperlink"/>
          </w:rPr>
          <w:t xml:space="preserve">[42]</w:t>
        </w:r>
      </w:hyperlink>
      <w:r>
        <w:t xml:space="preserve">, and yet another:</w:t>
      </w:r>
      <w:r>
        <w:t xml:space="preserve"> </w:t>
      </w:r>
      <w:r>
        <w:rPr>
          <w:i/>
          <w:iCs/>
        </w:rPr>
        <w:t xml:space="preserve">“Tiki the lord by copulating with Hina-the-heaped-up (piled earth) produced Hina-kauhara.”</w:t>
      </w:r>
      <w:hyperlink r:id="rId32">
        <w:r>
          <w:rPr>
            <w:rStyle w:val="Hyperlink"/>
          </w:rPr>
          <w:t xml:space="preserve">[11]</w:t>
        </w:r>
      </w:hyperlink>
      <w:r>
        <w:t xml:space="preserve">. These are clearly mythological accounts of creation: the god Tiki (equated on Easter Island with creator god Makemake</w:t>
      </w:r>
      <w:hyperlink r:id="rId64">
        <w:r>
          <w:rPr>
            <w:rStyle w:val="Hyperlink"/>
          </w:rPr>
          <w:t xml:space="preserve">[43]</w:t>
        </w:r>
      </w:hyperlink>
      <w:r>
        <w:t xml:space="preserve">)</w:t>
      </w:r>
      <w:r>
        <w:t xml:space="preserve"> </w:t>
      </w:r>
      <w:r>
        <w:rPr>
          <w:b/>
          <w:bCs/>
        </w:rPr>
        <w:t xml:space="preserve">experiments with various partners</w:t>
      </w:r>
      <w:r>
        <w:t xml:space="preserve"> </w:t>
      </w:r>
      <w:r>
        <w:t xml:space="preserve">– water, soil, stone, etc. – to engender new life forms (fish, perhaps the first humans, etc.). This myth of</w:t>
      </w:r>
      <w:r>
        <w:t xml:space="preserve"> </w:t>
      </w:r>
      <w:r>
        <w:rPr>
          <w:i/>
          <w:iCs/>
        </w:rPr>
        <w:t xml:space="preserve">Makemake’s procreative attempts</w:t>
      </w:r>
      <w:r>
        <w:t xml:space="preserve"> </w:t>
      </w:r>
      <w:r>
        <w:t xml:space="preserve">is known in Easter Island oral lore and even has parallels in other Polynesian islands (e.g. a Mangarevan chant lists 20 procreations of Tiki with different objects to explain natural phenomena</w:t>
      </w:r>
      <w:hyperlink r:id="rId64">
        <w:r>
          <w:rPr>
            <w:rStyle w:val="Hyperlink"/>
          </w:rPr>
          <w:t xml:space="preserve">[43]</w:t>
        </w:r>
      </w:hyperlink>
      <w:r>
        <w:t xml:space="preserve">).</w:t>
      </w:r>
    </w:p>
    <w:p>
      <w:pPr>
        <w:pStyle w:val="BodyText"/>
      </w:pPr>
      <w:r>
        <w:t xml:space="preserve">We suspect that</w:t>
      </w:r>
      <w:r>
        <w:t xml:space="preserve"> </w:t>
      </w:r>
      <w:r>
        <w:rPr>
          <w:b/>
          <w:bCs/>
        </w:rPr>
        <w:t xml:space="preserve">Mamari may record a similar cosmogonic litany</w:t>
      </w:r>
      <w:r>
        <w:t xml:space="preserve">, given that parts of its text parallel other tablets thought to have mythical content. Notably, Fischer argued that the Santiago Staff is essentially a long creation chant of this kind</w:t>
      </w:r>
      <w:hyperlink r:id="rId36">
        <w:r>
          <w:rPr>
            <w:rStyle w:val="Hyperlink"/>
          </w:rPr>
          <w:t xml:space="preserve">[16]</w:t>
        </w:r>
      </w:hyperlink>
      <w:r>
        <w:t xml:space="preserve">, and he linked its patterns to</w:t>
      </w:r>
      <w:r>
        <w:t xml:space="preserve"> </w:t>
      </w:r>
      <w:r>
        <w:rPr>
          <w:i/>
          <w:iCs/>
        </w:rPr>
        <w:t xml:space="preserve">Atua Matariri</w:t>
      </w:r>
      <w:r>
        <w:t xml:space="preserve">. He identified dozens of</w:t>
      </w:r>
      <w:r>
        <w:t xml:space="preserve"> </w:t>
      </w:r>
      <w:r>
        <w:rPr>
          <w:b/>
          <w:bCs/>
        </w:rPr>
        <w:t xml:space="preserve">“phallic triplets”</w:t>
      </w:r>
      <w:r>
        <w:t xml:space="preserve"> </w:t>
      </w:r>
      <w:r>
        <w:t xml:space="preserve">on the Staff – sequences of three glyphs where glyph 76 (penis) attaches to the first glyph and the three together could read</w:t>
      </w:r>
      <w:r>
        <w:t xml:space="preserve"> </w:t>
      </w:r>
      <w:r>
        <w:rPr>
          <w:i/>
          <w:iCs/>
        </w:rPr>
        <w:t xml:space="preserve">“X copulated, (with) Y, (produced) Z.”</w:t>
      </w:r>
      <w:hyperlink r:id="rId36">
        <w:r>
          <w:rPr>
            <w:rStyle w:val="Hyperlink"/>
          </w:rPr>
          <w:t xml:space="preserve">[16]</w:t>
        </w:r>
      </w:hyperlink>
      <w:hyperlink r:id="rId65">
        <w:r>
          <w:rPr>
            <w:rStyle w:val="Hyperlink"/>
          </w:rPr>
          <w:t xml:space="preserve">[44]</w:t>
        </w:r>
      </w:hyperlink>
      <w:r>
        <w:t xml:space="preserve">. For instance, the Staff sequence</w:t>
      </w:r>
      <w:r>
        <w:t xml:space="preserve"> </w:t>
      </w:r>
      <w:r>
        <w:rPr>
          <w:b/>
          <w:bCs/>
        </w:rPr>
        <w:t xml:space="preserve">606.76–700–8</w:t>
      </w:r>
      <w:r>
        <w:t xml:space="preserve"> </w:t>
      </w:r>
      <w:r>
        <w:t xml:space="preserve">he interpreted as</w:t>
      </w:r>
      <w:r>
        <w:t xml:space="preserve"> </w:t>
      </w:r>
      <w:r>
        <w:rPr>
          <w:i/>
          <w:iCs/>
        </w:rPr>
        <w:t xml:space="preserve">“te manu mau ki ’ai ki roto ki te îka, ka pú te ra’ā”</w:t>
      </w:r>
      <w:r>
        <w:t xml:space="preserve"> </w:t>
      </w:r>
      <w:r>
        <w:t xml:space="preserve">(“All the birds copulated with the fish; there issued forth the sun”)</w:t>
      </w:r>
      <w:hyperlink r:id="rId41">
        <w:r>
          <w:rPr>
            <w:rStyle w:val="Hyperlink"/>
          </w:rPr>
          <w:t xml:space="preserve">[21]</w:t>
        </w:r>
      </w:hyperlink>
      <w:r>
        <w:t xml:space="preserve">. This corresponds to a highly mythic statement (no literal Polynesian myth has birds mating with fish to make the sun, but it’s structurally akin to the creative metaphors in Atua Matariri)</w:t>
      </w:r>
      <w:hyperlink r:id="rId66">
        <w:r>
          <w:rPr>
            <w:rStyle w:val="Hyperlink"/>
          </w:rPr>
          <w:t xml:space="preserve">[45]</w:t>
        </w:r>
      </w:hyperlink>
      <w:hyperlink r:id="rId63">
        <w:r>
          <w:rPr>
            <w:rStyle w:val="Hyperlink"/>
          </w:rPr>
          <w:t xml:space="preserve">[41]</w:t>
        </w:r>
      </w:hyperlink>
      <w:r>
        <w:t xml:space="preserve">. If Fischer’s general idea is right, then</w:t>
      </w:r>
      <w:r>
        <w:t xml:space="preserve"> </w:t>
      </w:r>
      <w:r>
        <w:rPr>
          <w:b/>
          <w:bCs/>
        </w:rPr>
        <w:t xml:space="preserve">Mamari might contain shorter segments of such creation-triplets</w:t>
      </w:r>
      <w:r>
        <w:t xml:space="preserve">. We know Mamari’s text is varied</w:t>
      </w:r>
      <w:hyperlink r:id="rId44">
        <w:r>
          <w:rPr>
            <w:rStyle w:val="Hyperlink"/>
          </w:rPr>
          <w:t xml:space="preserve">[46]</w:t>
        </w:r>
      </w:hyperlink>
      <w:r>
        <w:t xml:space="preserve"> </w:t>
      </w:r>
      <w:r>
        <w:t xml:space="preserve">– only a portion is the calendar, leaving other parts possibly for mythology or king lists. In fact, Sergei Rjabchikov and other researchers have long postulated that certain Mamari lines describe a</w:t>
      </w:r>
      <w:r>
        <w:t xml:space="preserve"> </w:t>
      </w:r>
      <w:r>
        <w:rPr>
          <w:i/>
          <w:iCs/>
        </w:rPr>
        <w:t xml:space="preserve">creation or origin narrative</w:t>
      </w:r>
      <w:r>
        <w:t xml:space="preserve">, given the presence of glyphs that could mean “beginning” or “origin” (for example, glyph</w:t>
      </w:r>
      <w:r>
        <w:t xml:space="preserve"> </w:t>
      </w:r>
      <w:r>
        <w:rPr>
          <w:i/>
          <w:iCs/>
        </w:rPr>
        <w:t xml:space="preserve">610</w:t>
      </w:r>
      <w:r>
        <w:t xml:space="preserve"> </w:t>
      </w:r>
      <w:r>
        <w:t xml:space="preserve">in our lexicon is</w:t>
      </w:r>
      <w:r>
        <w:t xml:space="preserve"> </w:t>
      </w:r>
      <w:r>
        <w:rPr>
          <w:i/>
          <w:iCs/>
        </w:rPr>
        <w:t xml:space="preserve">“hua / timu / origin”</w:t>
      </w:r>
      <w:r>
        <w:t xml:space="preserve"> </w:t>
      </w:r>
      <w:r>
        <w:t xml:space="preserve">– an egg-like symbol representing the concept of</w:t>
      </w:r>
      <w:r>
        <w:t xml:space="preserve"> </w:t>
      </w:r>
      <w:r>
        <w:rPr>
          <w:i/>
          <w:iCs/>
        </w:rPr>
        <w:t xml:space="preserve">birth or beginning</w:t>
      </w:r>
      <w:hyperlink r:id="rId67">
        <w:r>
          <w:rPr>
            <w:rStyle w:val="Hyperlink"/>
          </w:rPr>
          <w:t xml:space="preserve">[47]</w:t>
        </w:r>
      </w:hyperlink>
      <w:hyperlink r:id="rId68">
        <w:r>
          <w:rPr>
            <w:rStyle w:val="Hyperlink"/>
          </w:rPr>
          <w:t xml:space="preserve">[48]</w:t>
        </w:r>
      </w:hyperlink>
      <w:r>
        <w:t xml:space="preserve">). Glyph 610 appears to depict an egg (hua) which in Polynesian symbolism often stands for the start of life or the world. Its occurrence in Mamari alongside procreative glyphs would strongly point to cosmogonic content (e.g. the “cosmic egg” motif). Indeed, the lexicon notes glyph 610 as</w:t>
      </w:r>
      <w:r>
        <w:t xml:space="preserve"> </w:t>
      </w:r>
      <w:r>
        <w:rPr>
          <w:i/>
          <w:iCs/>
        </w:rPr>
        <w:t xml:space="preserve">“reproductive symbol, origin”</w:t>
      </w:r>
      <w:hyperlink r:id="rId69">
        <w:r>
          <w:rPr>
            <w:rStyle w:val="Hyperlink"/>
          </w:rPr>
          <w:t xml:space="preserve">[49]</w:t>
        </w:r>
      </w:hyperlink>
      <w:r>
        <w:t xml:space="preserve"> </w:t>
      </w:r>
      <w:r>
        <w:t xml:space="preserve">and glyph 600 (bird) as being used in “creation mythology” contexts</w:t>
      </w:r>
      <w:hyperlink r:id="rId70">
        <w:r>
          <w:rPr>
            <w:rStyle w:val="Hyperlink"/>
          </w:rPr>
          <w:t xml:space="preserve">[50]</w:t>
        </w:r>
      </w:hyperlink>
      <w:r>
        <w:t xml:space="preserve">.</w:t>
      </w:r>
    </w:p>
    <w:p>
      <w:pPr>
        <w:pStyle w:val="BodyText"/>
      </w:pPr>
      <w:r>
        <w:t xml:space="preserve">By cross-referencing with</w:t>
      </w:r>
      <w:r>
        <w:t xml:space="preserve"> </w:t>
      </w:r>
      <w:r>
        <w:rPr>
          <w:i/>
          <w:iCs/>
        </w:rPr>
        <w:t xml:space="preserve">Atua Matariri</w:t>
      </w:r>
      <w:r>
        <w:t xml:space="preserve">, we can identify likely</w:t>
      </w:r>
      <w:r>
        <w:t xml:space="preserve"> </w:t>
      </w:r>
      <w:r>
        <w:rPr>
          <w:b/>
          <w:bCs/>
        </w:rPr>
        <w:t xml:space="preserve">mythic “couples” and “offspring”</w:t>
      </w:r>
      <w:r>
        <w:t xml:space="preserve"> </w:t>
      </w:r>
      <w:r>
        <w:t xml:space="preserve">in the text. For instance, if Mamari has a sequence like</w:t>
      </w:r>
      <w:r>
        <w:t xml:space="preserve"> </w:t>
      </w:r>
      <w:r>
        <w:rPr>
          <w:b/>
          <w:bCs/>
        </w:rPr>
        <w:t xml:space="preserve">(glyph for Moon) – 76 – (glyph for Darkness) – (glyph for Sun)</w:t>
      </w:r>
      <w:r>
        <w:t xml:space="preserve">, it would match the Hina+Darkness = Sun verse. Remarkably, our lexicon does list glyphs for many natural entities:</w:t>
      </w:r>
      <w:r>
        <w:t xml:space="preserve"> </w:t>
      </w:r>
      <w:r>
        <w:rPr>
          <w:i/>
          <w:iCs/>
        </w:rPr>
        <w:t xml:space="preserve">Moon</w:t>
      </w:r>
      <w:r>
        <w:t xml:space="preserve"> </w:t>
      </w:r>
      <w:r>
        <w:t xml:space="preserve">is glyph 10 (</w:t>
      </w:r>
      <w:r>
        <w:rPr>
          <w:i/>
          <w:iCs/>
        </w:rPr>
        <w:t xml:space="preserve">māhina</w:t>
      </w:r>
      <w:r>
        <w:t xml:space="preserve">, a crescent shape)</w:t>
      </w:r>
      <w:hyperlink r:id="rId71">
        <w:r>
          <w:rPr>
            <w:rStyle w:val="Hyperlink"/>
          </w:rPr>
          <w:t xml:space="preserve">[51]</w:t>
        </w:r>
      </w:hyperlink>
      <w:r>
        <w:t xml:space="preserve">,</w:t>
      </w:r>
      <w:r>
        <w:t xml:space="preserve"> </w:t>
      </w:r>
      <w:r>
        <w:rPr>
          <w:i/>
          <w:iCs/>
        </w:rPr>
        <w:t xml:space="preserve">Sun</w:t>
      </w:r>
      <w:r>
        <w:t xml:space="preserve"> </w:t>
      </w:r>
      <w:r>
        <w:t xml:space="preserve">is glyph 8 (</w:t>
      </w:r>
      <w:r>
        <w:rPr>
          <w:i/>
          <w:iCs/>
        </w:rPr>
        <w:t xml:space="preserve">ra’a</w:t>
      </w:r>
      <w:r>
        <w:t xml:space="preserve">, a radial sunburst)</w:t>
      </w:r>
      <w:hyperlink r:id="rId72">
        <w:r>
          <w:rPr>
            <w:rStyle w:val="Hyperlink"/>
          </w:rPr>
          <w:t xml:space="preserve">[52]</w:t>
        </w:r>
      </w:hyperlink>
      <w:r>
        <w:t xml:space="preserve">,</w:t>
      </w:r>
      <w:r>
        <w:t xml:space="preserve"> </w:t>
      </w:r>
      <w:r>
        <w:rPr>
          <w:i/>
          <w:iCs/>
        </w:rPr>
        <w:t xml:space="preserve">Water</w:t>
      </w:r>
      <w:r>
        <w:t xml:space="preserve"> </w:t>
      </w:r>
      <w:r>
        <w:t xml:space="preserve">is glyph 40 (</w:t>
      </w:r>
      <w:r>
        <w:rPr>
          <w:i/>
          <w:iCs/>
        </w:rPr>
        <w:t xml:space="preserve">vai</w:t>
      </w:r>
      <w:r>
        <w:t xml:space="preserve">, wavy lines)</w:t>
      </w:r>
      <w:hyperlink r:id="rId73">
        <w:r>
          <w:rPr>
            <w:rStyle w:val="Hyperlink"/>
          </w:rPr>
          <w:t xml:space="preserve">[53]</w:t>
        </w:r>
      </w:hyperlink>
      <w:r>
        <w:t xml:space="preserve">,</w:t>
      </w:r>
      <w:r>
        <w:t xml:space="preserve"> </w:t>
      </w:r>
      <w:r>
        <w:rPr>
          <w:i/>
          <w:iCs/>
        </w:rPr>
        <w:t xml:space="preserve">Stone/Rock</w:t>
      </w:r>
      <w:r>
        <w:t xml:space="preserve"> </w:t>
      </w:r>
      <w:r>
        <w:t xml:space="preserve">is glyph 50 (</w:t>
      </w:r>
      <w:r>
        <w:rPr>
          <w:i/>
          <w:iCs/>
        </w:rPr>
        <w:t xml:space="preserve">ma’ea</w:t>
      </w:r>
      <w:r>
        <w:t xml:space="preserve">, angular shape)</w:t>
      </w:r>
      <w:hyperlink r:id="rId74">
        <w:r>
          <w:rPr>
            <w:rStyle w:val="Hyperlink"/>
          </w:rPr>
          <w:t xml:space="preserve">[54]</w:t>
        </w:r>
      </w:hyperlink>
      <w:r>
        <w:t xml:space="preserve">,</w:t>
      </w:r>
      <w:r>
        <w:t xml:space="preserve"> </w:t>
      </w:r>
      <w:r>
        <w:rPr>
          <w:i/>
          <w:iCs/>
        </w:rPr>
        <w:t xml:space="preserve">Bird</w:t>
      </w:r>
      <w:r>
        <w:t xml:space="preserve"> </w:t>
      </w:r>
      <w:r>
        <w:t xml:space="preserve">is 600 (</w:t>
      </w:r>
      <w:r>
        <w:rPr>
          <w:i/>
          <w:iCs/>
        </w:rPr>
        <w:t xml:space="preserve">manu</w:t>
      </w:r>
      <w:r>
        <w:t xml:space="preserve">) and</w:t>
      </w:r>
      <w:r>
        <w:t xml:space="preserve"> </w:t>
      </w:r>
      <w:r>
        <w:rPr>
          <w:i/>
          <w:iCs/>
        </w:rPr>
        <w:t xml:space="preserve">Fish</w:t>
      </w:r>
      <w:r>
        <w:t xml:space="preserve"> </w:t>
      </w:r>
      <w:r>
        <w:t xml:space="preserve">is 700 (</w:t>
      </w:r>
      <w:r>
        <w:rPr>
          <w:i/>
          <w:iCs/>
        </w:rPr>
        <w:t xml:space="preserve">ika</w:t>
      </w:r>
      <w:r>
        <w:t xml:space="preserve">) as noted. If we find a triad like</w:t>
      </w:r>
      <w:r>
        <w:t xml:space="preserve"> </w:t>
      </w:r>
      <w:r>
        <w:rPr>
          <w:b/>
          <w:bCs/>
        </w:rPr>
        <w:t xml:space="preserve">40–76–700</w:t>
      </w:r>
      <w:r>
        <w:t xml:space="preserve"> </w:t>
      </w:r>
      <w:r>
        <w:t xml:space="preserve">(water–copulate–fish) or</w:t>
      </w:r>
      <w:r>
        <w:t xml:space="preserve"> </w:t>
      </w:r>
      <w:r>
        <w:rPr>
          <w:b/>
          <w:bCs/>
        </w:rPr>
        <w:t xml:space="preserve">50–76–?</w:t>
      </w:r>
      <w:r>
        <w:t xml:space="preserve"> </w:t>
      </w:r>
      <w:r>
        <w:t xml:space="preserve">(stone–copulate–something), those could be shorthand for the myths of water and stone being used to create living beings</w:t>
      </w:r>
      <w:hyperlink r:id="rId32">
        <w:r>
          <w:rPr>
            <w:rStyle w:val="Hyperlink"/>
          </w:rPr>
          <w:t xml:space="preserve">[11]</w:t>
        </w:r>
      </w:hyperlink>
      <w:hyperlink r:id="rId64">
        <w:r>
          <w:rPr>
            <w:rStyle w:val="Hyperlink"/>
          </w:rPr>
          <w:t xml:space="preserve">[43]</w:t>
        </w:r>
      </w:hyperlink>
      <w:r>
        <w:t xml:space="preserve">. For example, “Tiki copulated with water to produce fish” might be encoded as [Tiki glyph]–76–40–700 (with or without a separate offspring glyph if the offspring is just “fish”). Likewise, “Tiki with stone produced red earth (or a person)” might show up as [Tiki]–76–50–… etc. One challenge is identifying glyphs for specific gods like Tiki or Makemake. There isn’t a universally agreed “god” glyph, but candidates exist (perhaps an ornate human figure or a specific face glyph). For instance, glyph</w:t>
      </w:r>
      <w:r>
        <w:t xml:space="preserve"> </w:t>
      </w:r>
      <w:r>
        <w:rPr>
          <w:i/>
          <w:iCs/>
        </w:rPr>
        <w:t xml:space="preserve">280</w:t>
      </w:r>
      <w:r>
        <w:t xml:space="preserve"> </w:t>
      </w:r>
      <w:r>
        <w:t xml:space="preserve">(a turtle/honu) and</w:t>
      </w:r>
      <w:r>
        <w:t xml:space="preserve"> </w:t>
      </w:r>
      <w:r>
        <w:rPr>
          <w:i/>
          <w:iCs/>
        </w:rPr>
        <w:t xml:space="preserve">730</w:t>
      </w:r>
      <w:r>
        <w:t xml:space="preserve"> </w:t>
      </w:r>
      <w:r>
        <w:t xml:space="preserve">(a shark) are sometimes thought to stand for clan symbols or mythic beings, and critics of Fischer pointed out that his method would absurdly read some sequences as animals copulating with a human to produce themselves</w:t>
      </w:r>
      <w:hyperlink r:id="rId75">
        <w:r>
          <w:rPr>
            <w:rStyle w:val="Hyperlink"/>
          </w:rPr>
          <w:t xml:space="preserve">[55]</w:t>
        </w:r>
      </w:hyperlink>
      <w:r>
        <w:t xml:space="preserve">. However, in a mythic sense, those sequences might actually be describing totemic origins (e.g.,</w:t>
      </w:r>
      <w:r>
        <w:t xml:space="preserve"> </w:t>
      </w:r>
      <w:r>
        <w:rPr>
          <w:i/>
          <w:iCs/>
        </w:rPr>
        <w:t xml:space="preserve">Turtle clan descends from man</w:t>
      </w:r>
      <w:r>
        <w:t xml:space="preserve"> </w:t>
      </w:r>
      <w:r>
        <w:t xml:space="preserve">or vice versa). The key is context: if a series of different natural element glyphs all appear with the same anthropomorphic glyph and 76, it’s likely a myth of that figure producing various offspring.</w:t>
      </w:r>
    </w:p>
    <w:p>
      <w:pPr>
        <w:pStyle w:val="BodyText"/>
      </w:pPr>
      <w:r>
        <w:t xml:space="preserve">We are carefully examining Mamari for</w:t>
      </w:r>
      <w:r>
        <w:t xml:space="preserve"> </w:t>
      </w:r>
      <w:r>
        <w:rPr>
          <w:b/>
          <w:bCs/>
        </w:rPr>
        <w:t xml:space="preserve">clusters of glyphs that repeat with systematic variation</w:t>
      </w:r>
      <w:r>
        <w:t xml:space="preserve">, which is a hallmark of list-like cosmogonic texts. One promising sign is that Mamari shares certain sequences with the</w:t>
      </w:r>
      <w:r>
        <w:t xml:space="preserve"> </w:t>
      </w:r>
      <w:r>
        <w:rPr>
          <w:i/>
          <w:iCs/>
        </w:rPr>
        <w:t xml:space="preserve">Atua Matariri</w:t>
      </w:r>
      <w:r>
        <w:t xml:space="preserve"> </w:t>
      </w:r>
      <w:r>
        <w:t xml:space="preserve">text itself (text R). According to Pozdniakov, tablet R (Small Washington) contains the Atua Matariri chant recorded by Ure Va’e Iko</w:t>
      </w:r>
      <w:hyperlink r:id="rId76">
        <w:r>
          <w:rPr>
            <w:rStyle w:val="Hyperlink"/>
          </w:rPr>
          <w:t xml:space="preserve">[56]</w:t>
        </w:r>
      </w:hyperlink>
      <w:r>
        <w:t xml:space="preserve">. Some glyph combinations on Mamari might mirror those on R, hinting that the two could be independent renditions of a common mythic genealogy. Additionally, internal repetition within Mamari might indicate a refrain or structure. For example, a sequence of four glyphs in Mamari’s recto line 6–7 is repeated eight times (with slight modifications) to mark divisions in the calendar</w:t>
      </w:r>
      <w:hyperlink r:id="rId50">
        <w:r>
          <w:rPr>
            <w:rStyle w:val="Hyperlink"/>
          </w:rPr>
          <w:t xml:space="preserve">[30]</w:t>
        </w:r>
      </w:hyperlink>
      <w:r>
        <w:t xml:space="preserve">. If elsewhere a triple or quadruple sequence is repeated regularly, it might mark verses in a chant. We will illustrate this with any identified patterns in Mamari’s text: for instance, if we found</w:t>
      </w:r>
      <w:r>
        <w:t xml:space="preserve"> </w:t>
      </w:r>
      <w:r>
        <w:rPr>
          <w:b/>
          <w:bCs/>
        </w:rPr>
        <w:t xml:space="preserve">X–76–Y Z</w:t>
      </w:r>
      <w:r>
        <w:t xml:space="preserve"> </w:t>
      </w:r>
      <w:r>
        <w:t xml:space="preserve">appearing, say, five times with different X, Y, Z, that strongly suggests a</w:t>
      </w:r>
      <w:r>
        <w:t xml:space="preserve"> </w:t>
      </w:r>
      <w:r>
        <w:rPr>
          <w:i/>
          <w:iCs/>
        </w:rPr>
        <w:t xml:space="preserve">procreation list</w:t>
      </w:r>
      <w:r>
        <w:t xml:space="preserve"> </w:t>
      </w:r>
      <w:r>
        <w:t xml:space="preserve">(each entry being a verse like in Atua Matariri).</w:t>
      </w:r>
    </w:p>
    <w:p>
      <w:pPr>
        <w:pStyle w:val="BodyText"/>
      </w:pPr>
      <w:r>
        <w:t xml:space="preserve">In summary, the cosmogonic hypothesis posits that Mamari encodes a series of</w:t>
      </w:r>
      <w:r>
        <w:t xml:space="preserve"> </w:t>
      </w:r>
      <w:r>
        <w:rPr>
          <w:i/>
          <w:iCs/>
        </w:rPr>
        <w:t xml:space="preserve">mythic “begetting” episodes</w:t>
      </w:r>
      <w:r>
        <w:t xml:space="preserve">. To test it, we leverage known myth motifs (moon giving birth to sun, etc.) and look for corresponding glyphs in the right positions. Early evidence is encouraging: the tablet contains many glyphs for elemental and celestial concepts (sun, moon, stars, water, earth, animals), and glyph 76 is attested in the corpus as a creation marker</w:t>
      </w:r>
      <w:hyperlink r:id="rId25">
        <w:r>
          <w:rPr>
            <w:rStyle w:val="Hyperlink"/>
          </w:rPr>
          <w:t xml:space="preserve">[4]</w:t>
        </w:r>
      </w:hyperlink>
      <w:r>
        <w:t xml:space="preserve">. By aligning these with Rapa Nui mythic narratives, we hope to read portions of Mamari as a</w:t>
      </w:r>
      <w:r>
        <w:t xml:space="preserve"> </w:t>
      </w:r>
      <w:r>
        <w:rPr>
          <w:b/>
          <w:bCs/>
        </w:rPr>
        <w:t xml:space="preserve">Polynesian-style creation chant</w:t>
      </w:r>
      <w:r>
        <w:t xml:space="preserve"> </w:t>
      </w:r>
      <w:r>
        <w:t xml:space="preserve">that enumerates how various aspects of the world came to be. Such an interpretation would transform our view of rongorongo: rather than mundane records, these could be sacred texts preserving the island’s cosmogony in a semi-graphic form. We remain cautious, however – as Fischer’s interpretation was criticized for forcing too many sequences into the triadic formula and finding illogical combinations</w:t>
      </w:r>
      <w:hyperlink r:id="rId77">
        <w:r>
          <w:rPr>
            <w:rStyle w:val="Hyperlink"/>
          </w:rPr>
          <w:t xml:space="preserve">[57]</w:t>
        </w:r>
      </w:hyperlink>
      <w:hyperlink r:id="rId78">
        <w:r>
          <w:rPr>
            <w:rStyle w:val="Hyperlink"/>
          </w:rPr>
          <w:t xml:space="preserve">[58]</w:t>
        </w:r>
      </w:hyperlink>
      <w:r>
        <w:t xml:space="preserve">. We thus validate each proposed mythic reading with cultural consistency: e.g., “Moon and Darkness produced Sun” is plausible in Rapa Nui lore</w:t>
      </w:r>
      <w:hyperlink r:id="rId63">
        <w:r>
          <w:rPr>
            <w:rStyle w:val="Hyperlink"/>
          </w:rPr>
          <w:t xml:space="preserve">[41]</w:t>
        </w:r>
      </w:hyperlink>
      <w:r>
        <w:t xml:space="preserve">, whereas “Birds and Fish produced Sun” has no known parallel and might be an overreach (or a misunderstood metaphor)</w:t>
      </w:r>
      <w:hyperlink r:id="rId66">
        <w:r>
          <w:rPr>
            <w:rStyle w:val="Hyperlink"/>
          </w:rPr>
          <w:t xml:space="preserve">[45]</w:t>
        </w:r>
      </w:hyperlink>
      <w:r>
        <w:t xml:space="preserve">. Every candidate translation is checked against Rapanui language (via the lexicon) to ensure phonetic feasibility and against known mythology to ensure semantic sense. Where the cosmogonic reading doesn’t fit, the genealogical or historical reading might – and vice versa. We remain open to whichever interpretation the evidence favors, and it is possible that</w:t>
      </w:r>
      <w:r>
        <w:t xml:space="preserve"> </w:t>
      </w:r>
      <w:r>
        <w:rPr>
          <w:b/>
          <w:bCs/>
        </w:rPr>
        <w:t xml:space="preserve">Mamari contains both</w:t>
      </w:r>
      <w:r>
        <w:t xml:space="preserve">: e.g., a mythic genealogy of the gods followed by a lineage of kings, showing the continuity from creation to the ruling class.</w:t>
      </w:r>
    </w:p>
    <w:bookmarkEnd w:id="79"/>
    <w:bookmarkStart w:id="84" w:name="glyph-76-the-relational-linchpin"/>
    <w:p>
      <w:pPr>
        <w:pStyle w:val="Heading3"/>
      </w:pPr>
      <w:r>
        <w:t xml:space="preserve">Glyph 76 – The “Relational” Linchpin</w:t>
      </w:r>
    </w:p>
    <w:p>
      <w:pPr>
        <w:pStyle w:val="FirstParagraph"/>
      </w:pPr>
      <w:r>
        <w:t xml:space="preserve">Central to both the genealogical and cosmogonic interpretations is</w:t>
      </w:r>
      <w:r>
        <w:t xml:space="preserve"> </w:t>
      </w:r>
      <w:r>
        <w:rPr>
          <w:b/>
          <w:bCs/>
        </w:rPr>
        <w:t xml:space="preserve">glyph 76</w:t>
      </w:r>
      <w:r>
        <w:t xml:space="preserve">, which we have identified as a likely</w:t>
      </w:r>
      <w:r>
        <w:t xml:space="preserve"> </w:t>
      </w:r>
      <w:r>
        <w:rPr>
          <w:i/>
          <w:iCs/>
        </w:rPr>
        <w:t xml:space="preserve">relational marker</w:t>
      </w:r>
      <w:r>
        <w:t xml:space="preserve"> </w:t>
      </w:r>
      <w:r>
        <w:t xml:space="preserve">(whether “begat” in genealogies or “copulated with” in myths). Glyph 76’s importance cannot be overstated: it appears to function much like a grammatical connector in an otherwise logographic script. Its visual form, according to Fischer and others, is explicitly</w:t>
      </w:r>
      <w:r>
        <w:t xml:space="preserve"> </w:t>
      </w:r>
      <w:r>
        <w:rPr>
          <w:b/>
          <w:bCs/>
        </w:rPr>
        <w:t xml:space="preserve">phallic</w:t>
      </w:r>
      <w:hyperlink r:id="rId25">
        <w:r>
          <w:rPr>
            <w:rStyle w:val="Hyperlink"/>
          </w:rPr>
          <w:t xml:space="preserve">[4]</w:t>
        </w:r>
      </w:hyperlink>
      <w:r>
        <w:t xml:space="preserve">, which naturally aligns with concepts of generation, lineage, and male potency. High-confidence readings of 76 in the lexicon include Rapanui</w:t>
      </w:r>
      <w:r>
        <w:t xml:space="preserve"> </w:t>
      </w:r>
      <w:r>
        <w:rPr>
          <w:i/>
          <w:iCs/>
        </w:rPr>
        <w:t xml:space="preserve">“ai”</w:t>
      </w:r>
      <w:r>
        <w:t xml:space="preserve"> </w:t>
      </w:r>
      <w:r>
        <w:t xml:space="preserve">(to copulate) and</w:t>
      </w:r>
      <w:r>
        <w:t xml:space="preserve"> </w:t>
      </w:r>
      <w:r>
        <w:rPr>
          <w:i/>
          <w:iCs/>
        </w:rPr>
        <w:t xml:space="preserve">“fanau”</w:t>
      </w:r>
      <w:r>
        <w:t xml:space="preserve"> </w:t>
      </w:r>
      <w:r>
        <w:t xml:space="preserve">(to produce offspring)</w:t>
      </w:r>
      <w:hyperlink r:id="rId53">
        <w:r>
          <w:rPr>
            <w:rStyle w:val="Hyperlink"/>
          </w:rPr>
          <w:t xml:space="preserve">[32]</w:t>
        </w:r>
      </w:hyperlink>
      <w:r>
        <w:t xml:space="preserve">, and even the gloss “sex” is given with 95% confidence</w:t>
      </w:r>
      <w:hyperlink r:id="rId80">
        <w:r>
          <w:rPr>
            <w:rStyle w:val="Hyperlink"/>
          </w:rPr>
          <w:t xml:space="preserve">[59]</w:t>
        </w:r>
      </w:hyperlink>
      <w:r>
        <w:t xml:space="preserve">. In essence, wherever we see glyph 76 linking two other glyphs, we interpret it as indicating a</w:t>
      </w:r>
      <w:r>
        <w:t xml:space="preserve"> </w:t>
      </w:r>
      <w:r>
        <w:rPr>
          <w:b/>
          <w:bCs/>
        </w:rPr>
        <w:t xml:space="preserve">relationship of procreation or descent</w:t>
      </w:r>
      <w:r>
        <w:t xml:space="preserve"> </w:t>
      </w:r>
      <w:r>
        <w:t xml:space="preserve">between them. For example,</w:t>
      </w:r>
      <w:r>
        <w:t xml:space="preserve"> </w:t>
      </w:r>
      <w:r>
        <w:rPr>
          <w:b/>
          <w:bCs/>
        </w:rPr>
        <w:t xml:space="preserve">A–76–B</w:t>
      </w:r>
      <w:r>
        <w:t xml:space="preserve"> </w:t>
      </w:r>
      <w:r>
        <w:t xml:space="preserve">would mean A and B are in a procreative relationship (A sired B, or A and B together produced something). In practice, the pattern often appears as</w:t>
      </w:r>
      <w:r>
        <w:t xml:space="preserve"> </w:t>
      </w:r>
      <w:r>
        <w:rPr>
          <w:b/>
          <w:bCs/>
        </w:rPr>
        <w:t xml:space="preserve">A.76–B C</w:t>
      </w:r>
      <w:r>
        <w:t xml:space="preserve">, with 76 affixed to A as a suffix (on the Staff, 76 is often carved attached to the preceding sign)</w:t>
      </w:r>
      <w:hyperlink r:id="rId81">
        <w:r>
          <w:rPr>
            <w:rStyle w:val="Hyperlink"/>
          </w:rPr>
          <w:t xml:space="preserve">[60]</w:t>
        </w:r>
      </w:hyperlink>
      <w:r>
        <w:t xml:space="preserve">. This still reads conceptually as A (with) B -&gt; C.</w:t>
      </w:r>
    </w:p>
    <w:p>
      <w:pPr>
        <w:pStyle w:val="BodyText"/>
      </w:pPr>
      <w:r>
        <w:t xml:space="preserve">On the Santiago Staff, glyph 76 is incredibly frequent: it occurs</w:t>
      </w:r>
      <w:r>
        <w:t xml:space="preserve"> </w:t>
      </w:r>
      <w:r>
        <w:rPr>
          <w:b/>
          <w:bCs/>
        </w:rPr>
        <w:t xml:space="preserve">564 times, roughly one-fourth of all glyphs on the staff</w:t>
      </w:r>
      <w:hyperlink r:id="rId82">
        <w:r>
          <w:rPr>
            <w:rStyle w:val="Hyperlink"/>
          </w:rPr>
          <w:t xml:space="preserve">[61]</w:t>
        </w:r>
      </w:hyperlink>
      <w:r>
        <w:t xml:space="preserve">. This supports the idea that the staff text is largely composed of name + 76 + name units. Mamari, with ~1000 glyphs total, likely contains far fewer 76s – perhaps because it mixes genres (calendar vs narrative) and possibly because it represents a more</w:t>
      </w:r>
      <w:r>
        <w:t xml:space="preserve"> </w:t>
      </w:r>
      <w:r>
        <w:rPr>
          <w:i/>
          <w:iCs/>
        </w:rPr>
        <w:t xml:space="preserve">condensed</w:t>
      </w:r>
      <w:r>
        <w:t xml:space="preserve"> </w:t>
      </w:r>
      <w:r>
        <w:t xml:space="preserve">stage of writing. Fischer theorized that many rongorongo texts represent a later, abbreviated form where scribes</w:t>
      </w:r>
      <w:r>
        <w:t xml:space="preserve"> </w:t>
      </w:r>
      <w:r>
        <w:rPr>
          <w:b/>
          <w:bCs/>
        </w:rPr>
        <w:t xml:space="preserve">omitted glyph 76</w:t>
      </w:r>
      <w:r>
        <w:t xml:space="preserve"> </w:t>
      </w:r>
      <w:r>
        <w:t xml:space="preserve">and simply juxtaposed nouns X Y Z to imply the same “X copulated with Y produced Z” structure</w:t>
      </w:r>
      <w:hyperlink r:id="rId83">
        <w:r>
          <w:rPr>
            <w:rStyle w:val="Hyperlink"/>
          </w:rPr>
          <w:t xml:space="preserve">[62]</w:t>
        </w:r>
      </w:hyperlink>
      <w:r>
        <w:t xml:space="preserve">. If that’s true, Mamari’s non-use or sparing use of 76 in places might indicate shorthand genealogies without the explicit marker. However, we do find 76 on Mamari in some sections (not in the calendar portion, but in others). Each occurrence of 76 on Mamari is a beacon: we examine the glyphs immediately before and after it to hypothesize a translation. For instance, if we see</w:t>
      </w:r>
      <w:r>
        <w:t xml:space="preserve"> </w:t>
      </w:r>
      <w:r>
        <w:rPr>
          <w:b/>
          <w:bCs/>
        </w:rPr>
        <w:t xml:space="preserve">76</w:t>
      </w:r>
      <w:r>
        <w:t xml:space="preserve"> </w:t>
      </w:r>
      <w:r>
        <w:t xml:space="preserve">between what appear to be two creature glyphs (say, a bird and a fish), a creation or metaphorical event might be described. If we see</w:t>
      </w:r>
      <w:r>
        <w:t xml:space="preserve"> </w:t>
      </w:r>
      <w:r>
        <w:rPr>
          <w:b/>
          <w:bCs/>
        </w:rPr>
        <w:t xml:space="preserve">76</w:t>
      </w:r>
      <w:r>
        <w:t xml:space="preserve"> </w:t>
      </w:r>
      <w:r>
        <w:t xml:space="preserve">following a human figure and preceding another human or animal, a lineage or offspring is implied.</w:t>
      </w:r>
    </w:p>
    <w:p>
      <w:pPr>
        <w:pStyle w:val="BodyText"/>
      </w:pPr>
      <w:r>
        <w:t xml:space="preserve">It’s worth noting alternate viewpoints: Butinov/Knorozov treated 76 as a</w:t>
      </w:r>
      <w:r>
        <w:t xml:space="preserve"> </w:t>
      </w:r>
      <w:r>
        <w:rPr>
          <w:b/>
          <w:bCs/>
        </w:rPr>
        <w:t xml:space="preserve">patronymic particle</w:t>
      </w:r>
      <w:r>
        <w:t xml:space="preserve"> </w:t>
      </w:r>
      <w:r>
        <w:t xml:space="preserve">(like “son of”)</w:t>
      </w:r>
      <w:hyperlink r:id="rId46">
        <w:r>
          <w:rPr>
            <w:rStyle w:val="Hyperlink"/>
          </w:rPr>
          <w:t xml:space="preserve">[26]</w:t>
        </w:r>
      </w:hyperlink>
      <w:r>
        <w:t xml:space="preserve">, whereas Fischer treated it as a verb “mated with”</w:t>
      </w:r>
      <w:hyperlink r:id="rId36">
        <w:r>
          <w:rPr>
            <w:rStyle w:val="Hyperlink"/>
          </w:rPr>
          <w:t xml:space="preserve">[16]</w:t>
        </w:r>
      </w:hyperlink>
      <w:r>
        <w:t xml:space="preserve"> </w:t>
      </w:r>
      <w:r>
        <w:t xml:space="preserve">– conceptually these are two sides of the same coin. In both cases, 76 connects parent to child. The slight difference is grammatical: one approach reads it as indicating the child (“A, child of B”), the other as the act between parents (“A copulated with B”). The Rapanui language itself might allow either interpretation because in the Atua Matariri chant the phrasing</w:t>
      </w:r>
      <w:r>
        <w:t xml:space="preserve"> </w:t>
      </w:r>
      <w:r>
        <w:rPr>
          <w:i/>
          <w:iCs/>
        </w:rPr>
        <w:t xml:space="preserve">“X ki ’ai ki roto ki Y, ka pu te Z”</w:t>
      </w:r>
      <w:r>
        <w:t xml:space="preserve"> </w:t>
      </w:r>
      <w:r>
        <w:t xml:space="preserve">can be understood as</w:t>
      </w:r>
      <w:r>
        <w:t xml:space="preserve"> </w:t>
      </w:r>
      <w:r>
        <w:rPr>
          <w:i/>
          <w:iCs/>
        </w:rPr>
        <w:t xml:space="preserve">“X and Y copulating, resulted in Z”</w:t>
      </w:r>
      <w:hyperlink r:id="rId29">
        <w:r>
          <w:rPr>
            <w:rStyle w:val="Hyperlink"/>
          </w:rPr>
          <w:t xml:space="preserve">[8]</w:t>
        </w:r>
      </w:hyperlink>
      <w:r>
        <w:t xml:space="preserve">. So Z is the offspring. If Z is explicitly given (triplet X–Y–Z), 76 links the parents. If Z is not given (couplet A–76–B), then B could actually be the parent of A (one of them is child). It might depend on context or order. Butinov assumed sequences like</w:t>
      </w:r>
      <w:r>
        <w:t xml:space="preserve"> </w:t>
      </w:r>
      <w:r>
        <w:rPr>
          <w:i/>
          <w:iCs/>
        </w:rPr>
        <w:t xml:space="preserve">Name1 – 76 – Name2</w:t>
      </w:r>
      <w:r>
        <w:t xml:space="preserve"> </w:t>
      </w:r>
      <w:r>
        <w:t xml:space="preserve">meant Name1 is child of Name2</w:t>
      </w:r>
      <w:hyperlink r:id="rId46">
        <w:r>
          <w:rPr>
            <w:rStyle w:val="Hyperlink"/>
          </w:rPr>
          <w:t xml:space="preserve">[26]</w:t>
        </w:r>
      </w:hyperlink>
      <w:r>
        <w:t xml:space="preserve">, which fits a list going forward in time (each name followed by its father’s name, for example). We must be attentive to ordering in Mamari. In Polynesian genealogies, one can list either way (oldest ancestor first or vice versa). The presence of a repeated title (like “King”) at regular intervals in Gv6 suggested to Butinov that titles came first, then the patronymic marker, then the father’s name</w:t>
      </w:r>
      <w:hyperlink r:id="rId46">
        <w:r>
          <w:rPr>
            <w:rStyle w:val="Hyperlink"/>
          </w:rPr>
          <w:t xml:space="preserve">[26]</w:t>
        </w:r>
      </w:hyperlink>
      <w:r>
        <w:t xml:space="preserve">. In a mythological list, however, one might list the progenitor first and then the offspring. We will look at whether Mamari’s sequences, when translated with plausible Rapanui words, yield a sensible order.</w:t>
      </w:r>
    </w:p>
    <w:p>
      <w:pPr>
        <w:pStyle w:val="BodyText"/>
      </w:pPr>
      <w:r>
        <w:t xml:space="preserve">The</w:t>
      </w:r>
      <w:r>
        <w:t xml:space="preserve"> </w:t>
      </w:r>
      <w:r>
        <w:rPr>
          <w:b/>
          <w:bCs/>
        </w:rPr>
        <w:t xml:space="preserve">shape and placement</w:t>
      </w:r>
      <w:r>
        <w:t xml:space="preserve"> </w:t>
      </w:r>
      <w:r>
        <w:t xml:space="preserve">of glyph 76 also help confirm its role. For example, on the Staff it’s often a</w:t>
      </w:r>
      <w:r>
        <w:t xml:space="preserve"> </w:t>
      </w:r>
      <w:r>
        <w:rPr>
          <w:i/>
          <w:iCs/>
        </w:rPr>
        <w:t xml:space="preserve">suffix</w:t>
      </w:r>
      <w:r>
        <w:t xml:space="preserve"> </w:t>
      </w:r>
      <w:r>
        <w:t xml:space="preserve">attached to a glyph’s lower right</w:t>
      </w:r>
      <w:hyperlink r:id="rId81">
        <w:r>
          <w:rPr>
            <w:rStyle w:val="Hyperlink"/>
          </w:rPr>
          <w:t xml:space="preserve">[60]</w:t>
        </w:r>
      </w:hyperlink>
      <w:r>
        <w:t xml:space="preserve"> </w:t>
      </w:r>
      <w:r>
        <w:t xml:space="preserve">– akin to a grammatical particle. In Mamari, we might see it as a standalone sign or a small adjunct to another sign (Barthel’s drawings sometimes show 76 as a small “fin” or curved element attached to human figures). If attached consistently to the first glyph of a repeating sequence on Mamari, that mirrors the Staff’s pattern of marking the</w:t>
      </w:r>
      <w:r>
        <w:t xml:space="preserve"> </w:t>
      </w:r>
      <w:r>
        <w:rPr>
          <w:i/>
          <w:iCs/>
        </w:rPr>
        <w:t xml:space="preserve">beginning</w:t>
      </w:r>
      <w:r>
        <w:t xml:space="preserve"> </w:t>
      </w:r>
      <w:r>
        <w:t xml:space="preserve">of each segment with the procreative marker</w:t>
      </w:r>
      <w:hyperlink r:id="rId35">
        <w:r>
          <w:rPr>
            <w:rStyle w:val="Hyperlink"/>
          </w:rPr>
          <w:t xml:space="preserve">[14]</w:t>
        </w:r>
      </w:hyperlink>
      <w:r>
        <w:t xml:space="preserve">. This could mean Mamari’s text (in narrative sections) is a series of</w:t>
      </w:r>
      <w:r>
        <w:t xml:space="preserve"> </w:t>
      </w:r>
      <w:r>
        <w:rPr>
          <w:b/>
          <w:bCs/>
        </w:rPr>
        <w:t xml:space="preserve">verses</w:t>
      </w:r>
      <w:r>
        <w:t xml:space="preserve"> </w:t>
      </w:r>
      <w:r>
        <w:t xml:space="preserve">or entries each starting with “76-marked” name. For example, if line CbX starts repeatedly with a glyph that has a 76, it might mark successive lines of a chant or list. We are investigating the line-by-line structure for such alignment. Preliminary checks show that Mamari’s lines do not start uniformly with 76, but some internal repetitions are observed. If Mamari’s verso lines 2–4 contain the same sequence including 76, it might indicate a refrain or parallel construction there</w:t>
      </w:r>
      <w:hyperlink r:id="rId44">
        <w:r>
          <w:rPr>
            <w:rStyle w:val="Hyperlink"/>
          </w:rPr>
          <w:t xml:space="preserve">[24]</w:t>
        </w:r>
      </w:hyperlink>
      <w:r>
        <w:t xml:space="preserve">.</w:t>
      </w:r>
    </w:p>
    <w:p>
      <w:pPr>
        <w:pStyle w:val="BodyText"/>
      </w:pPr>
      <w:r>
        <w:t xml:space="preserve">In sum, glyph 76 is the</w:t>
      </w:r>
      <w:r>
        <w:t xml:space="preserve"> </w:t>
      </w:r>
      <w:r>
        <w:rPr>
          <w:b/>
          <w:bCs/>
        </w:rPr>
        <w:t xml:space="preserve">interpretive key</w:t>
      </w:r>
      <w:r>
        <w:t xml:space="preserve"> </w:t>
      </w:r>
      <w:r>
        <w:t xml:space="preserve">for unlocking relational content in Mamari. We use it as a signal for genealogy or mythological coupling. When we translate tentative segments of Mamari, we explicitly insert an “~</w:t>
      </w:r>
      <w:r>
        <w:rPr>
          <w:i/>
          <w:iCs/>
        </w:rPr>
        <w:t xml:space="preserve">mated with</w:t>
      </w:r>
      <w:r>
        <w:t xml:space="preserve">~” or “~</w:t>
      </w:r>
      <w:r>
        <w:rPr>
          <w:i/>
          <w:iCs/>
        </w:rPr>
        <w:t xml:space="preserve">begat</w:t>
      </w:r>
      <w:r>
        <w:t xml:space="preserve">~” where 76 appears, and see if the resulting phrase aligns with Rapanui lore. So far, this has led to intriguing possibilities (e.g., one segment could be read as</w:t>
      </w:r>
      <w:r>
        <w:t xml:space="preserve"> </w:t>
      </w:r>
      <w:r>
        <w:rPr>
          <w:i/>
          <w:iCs/>
        </w:rPr>
        <w:t xml:space="preserve">“The great turtle</w:t>
      </w:r>
      <w:r>
        <w:t xml:space="preserve"> </w:t>
      </w:r>
      <w:r>
        <w:t xml:space="preserve">76</w:t>
      </w:r>
      <w:r>
        <w:t xml:space="preserve"> </w:t>
      </w:r>
      <w:r>
        <w:rPr>
          <w:i/>
          <w:iCs/>
        </w:rPr>
        <w:t xml:space="preserve">the man, the turtle [came forth]</w:t>
      </w:r>
      <w:r>
        <w:t xml:space="preserve">” – which might allude to a clan origin legend or a fisherman’s tale, albeit Fischer and others warned that some such readings can be</w:t>
      </w:r>
      <w:r>
        <w:t xml:space="preserve"> </w:t>
      </w:r>
      <w:r>
        <w:rPr>
          <w:i/>
          <w:iCs/>
        </w:rPr>
        <w:t xml:space="preserve">“semantically odd”</w:t>
      </w:r>
      <w:r>
        <w:t xml:space="preserve"> </w:t>
      </w:r>
      <w:r>
        <w:t xml:space="preserve">without further context</w:t>
      </w:r>
      <w:hyperlink r:id="rId75">
        <w:r>
          <w:rPr>
            <w:rStyle w:val="Hyperlink"/>
          </w:rPr>
          <w:t xml:space="preserve">[55]</w:t>
        </w:r>
      </w:hyperlink>
      <w:r>
        <w:t xml:space="preserve">). As research continues, glyph 76 provides a consistent anchor across hypotheses, reinforcing the idea that rongorongo encodes relationships and actions in a compact way rather than spelling out syntactic particles. The challenge is making sure we correctly identify</w:t>
      </w:r>
      <w:r>
        <w:t xml:space="preserve"> </w:t>
      </w:r>
      <w:r>
        <w:rPr>
          <w:i/>
          <w:iCs/>
        </w:rPr>
        <w:t xml:space="preserve">who</w:t>
      </w:r>
      <w:r>
        <w:t xml:space="preserve"> </w:t>
      </w:r>
      <w:r>
        <w:t xml:space="preserve">is doing</w:t>
      </w:r>
      <w:r>
        <w:t xml:space="preserve"> </w:t>
      </w:r>
      <w:r>
        <w:rPr>
          <w:i/>
          <w:iCs/>
        </w:rPr>
        <w:t xml:space="preserve">what</w:t>
      </w:r>
      <w:r>
        <w:t xml:space="preserve"> </w:t>
      </w:r>
      <w:r>
        <w:t xml:space="preserve">to</w:t>
      </w:r>
      <w:r>
        <w:t xml:space="preserve"> </w:t>
      </w:r>
      <w:r>
        <w:rPr>
          <w:i/>
          <w:iCs/>
        </w:rPr>
        <w:t xml:space="preserve">whom</w:t>
      </w:r>
      <w:r>
        <w:t xml:space="preserve"> </w:t>
      </w:r>
      <w:r>
        <w:t xml:space="preserve">in each sequence where 76 appears.</w:t>
      </w:r>
    </w:p>
    <w:bookmarkEnd w:id="84"/>
    <w:bookmarkStart w:id="91" w:name="Xca900237152854b99e57842cd7aa25501841c0f"/>
    <w:p>
      <w:pPr>
        <w:pStyle w:val="Heading3"/>
      </w:pPr>
      <w:r>
        <w:t xml:space="preserve">Cross-Text Parallels: Mamari, the Staff, and Aruku Kurenga</w:t>
      </w:r>
    </w:p>
    <w:p>
      <w:pPr>
        <w:pStyle w:val="FirstParagraph"/>
      </w:pPr>
      <w:r>
        <w:t xml:space="preserve">A critical part of our analysis is comparing Mamari’s sequences to those on other rongorongo texts to find</w:t>
      </w:r>
      <w:r>
        <w:t xml:space="preserve"> </w:t>
      </w:r>
      <w:r>
        <w:rPr>
          <w:b/>
          <w:bCs/>
        </w:rPr>
        <w:t xml:space="preserve">common patterns</w:t>
      </w:r>
      <w:r>
        <w:t xml:space="preserve">. Such parallels can confirm that an interpretation is not unique to one artifact (which might be coincidence) but a broader convention of the script. We have already mentioned the Santiago Staff’s triadic segmentation and how it guided our search for triads in Mamari. Let us delve a bit deeper into what these comparisons have revealed:</w:t>
      </w:r>
    </w:p>
    <w:p>
      <w:pPr>
        <w:numPr>
          <w:ilvl w:val="0"/>
          <w:numId w:val="1002"/>
        </w:numPr>
      </w:pPr>
      <w:r>
        <w:rPr>
          <w:b/>
          <w:bCs/>
        </w:rPr>
        <w:t xml:space="preserve">Santiago Staff (Text I):</w:t>
      </w:r>
      <w:r>
        <w:t xml:space="preserve"> </w:t>
      </w:r>
      <w:r>
        <w:t xml:space="preserve">This artifact is nearly three times the length of Mamari and appears to be</w:t>
      </w:r>
      <w:r>
        <w:t xml:space="preserve"> </w:t>
      </w:r>
      <w:r>
        <w:rPr>
          <w:i/>
          <w:iCs/>
        </w:rPr>
        <w:t xml:space="preserve">exclusively</w:t>
      </w:r>
      <w:r>
        <w:t xml:space="preserve"> </w:t>
      </w:r>
      <w:r>
        <w:t xml:space="preserve">narrative (no obvious calendar). It provides a sort of high-volume dataset of repeating glyph combinations. By aligning segments of the Staff with hypothesized readings, Fischer found support from the</w:t>
      </w:r>
      <w:r>
        <w:t xml:space="preserve"> </w:t>
      </w:r>
      <w:r>
        <w:rPr>
          <w:i/>
          <w:iCs/>
        </w:rPr>
        <w:t xml:space="preserve">Atua Matariri</w:t>
      </w:r>
      <w:r>
        <w:t xml:space="preserve"> </w:t>
      </w:r>
      <w:r>
        <w:t xml:space="preserve">chant (e.g., the</w:t>
      </w:r>
      <w:r>
        <w:t xml:space="preserve"> </w:t>
      </w:r>
      <w:r>
        <w:rPr>
          <w:i/>
          <w:iCs/>
        </w:rPr>
        <w:t xml:space="preserve">birds–fish–sun</w:t>
      </w:r>
      <w:r>
        <w:t xml:space="preserve"> </w:t>
      </w:r>
      <w:r>
        <w:t xml:space="preserve">example)</w:t>
      </w:r>
      <w:hyperlink r:id="rId37">
        <w:r>
          <w:rPr>
            <w:rStyle w:val="Hyperlink"/>
          </w:rPr>
          <w:t xml:space="preserve">[17]</w:t>
        </w:r>
      </w:hyperlink>
      <w:hyperlink r:id="rId42">
        <w:r>
          <w:rPr>
            <w:rStyle w:val="Hyperlink"/>
          </w:rPr>
          <w:t xml:space="preserve">[22]</w:t>
        </w:r>
      </w:hyperlink>
      <w:r>
        <w:t xml:space="preserve">. However, subsequent analysis by Andrew Robinson and others showed that</w:t>
      </w:r>
      <w:r>
        <w:t xml:space="preserve"> </w:t>
      </w:r>
      <w:r>
        <w:rPr>
          <w:b/>
          <w:bCs/>
        </w:rPr>
        <w:t xml:space="preserve">only about 63 of the ~103 Staff sequences neatly fit the X–76–Y–Z pattern</w:t>
      </w:r>
      <w:r>
        <w:t xml:space="preserve">; others break the mold (some sequences lack 76 or have it in multiple positions, etc.)</w:t>
      </w:r>
      <w:hyperlink r:id="rId77">
        <w:r>
          <w:rPr>
            <w:rStyle w:val="Hyperlink"/>
          </w:rPr>
          <w:t xml:space="preserve">[57]</w:t>
        </w:r>
      </w:hyperlink>
      <w:r>
        <w:t xml:space="preserve">. Moreover, attempts to find the same</w:t>
      </w:r>
      <w:r>
        <w:t xml:space="preserve"> </w:t>
      </w:r>
      <w:r>
        <w:rPr>
          <w:b/>
          <w:bCs/>
        </w:rPr>
        <w:t xml:space="preserve">“phallic triplets”</w:t>
      </w:r>
      <w:r>
        <w:t xml:space="preserve"> </w:t>
      </w:r>
      <w:r>
        <w:t xml:space="preserve">in other tablets yielded few results – only a line of text G (the possible genealogy) and a poorly preserved text Ta showed similar triples</w:t>
      </w:r>
      <w:hyperlink r:id="rId85">
        <w:r>
          <w:rPr>
            <w:rStyle w:val="Hyperlink"/>
          </w:rPr>
          <w:t xml:space="preserve">[63]</w:t>
        </w:r>
      </w:hyperlink>
      <w:r>
        <w:t xml:space="preserve">. This implies that if Mamari shares the Staff’s content style, it might do so partially or in abbreviated form. Indeed, if Mamari’s creators were aware of chants like Atua Matariri, they might not have needed to include every grammatical element explicitly. As mentioned, Fischer speculated that</w:t>
      </w:r>
      <w:r>
        <w:t xml:space="preserve"> </w:t>
      </w:r>
      <w:r>
        <w:rPr>
          <w:b/>
          <w:bCs/>
        </w:rPr>
        <w:t xml:space="preserve">Mamari and other tablets represent a more advanced, compressed script</w:t>
      </w:r>
      <w:r>
        <w:t xml:space="preserve"> </w:t>
      </w:r>
      <w:r>
        <w:t xml:space="preserve">where, for example, the phrase “copulated with” (glyph 76) could be left out and understood implicitly</w:t>
      </w:r>
      <w:hyperlink r:id="rId83">
        <w:r>
          <w:rPr>
            <w:rStyle w:val="Hyperlink"/>
          </w:rPr>
          <w:t xml:space="preserve">[62]</w:t>
        </w:r>
      </w:hyperlink>
      <w:r>
        <w:t xml:space="preserve">. In practice, this means we are also looking for</w:t>
      </w:r>
      <w:r>
        <w:t xml:space="preserve"> </w:t>
      </w:r>
      <w:r>
        <w:rPr>
          <w:b/>
          <w:bCs/>
        </w:rPr>
        <w:t xml:space="preserve">patterns of triples on Mamari</w:t>
      </w:r>
      <w:r>
        <w:rPr>
          <w:b/>
          <w:bCs/>
        </w:rPr>
        <w:t xml:space="preserve"> </w:t>
      </w:r>
      <w:r>
        <w:rPr>
          <w:b/>
          <w:bCs/>
          <w:i/>
          <w:iCs/>
        </w:rPr>
        <w:t xml:space="preserve">without</w:t>
      </w:r>
      <w:r>
        <w:rPr>
          <w:b/>
          <w:bCs/>
        </w:rPr>
        <w:t xml:space="preserve"> </w:t>
      </w:r>
      <w:r>
        <w:rPr>
          <w:b/>
          <w:bCs/>
        </w:rPr>
        <w:t xml:space="preserve">an explicit 76</w:t>
      </w:r>
      <w:r>
        <w:t xml:space="preserve"> </w:t>
      </w:r>
      <w:r>
        <w:t xml:space="preserve">to see if they mirror Staff segments that</w:t>
      </w:r>
      <w:r>
        <w:t xml:space="preserve"> </w:t>
      </w:r>
      <w:r>
        <w:rPr>
          <w:i/>
          <w:iCs/>
        </w:rPr>
        <w:t xml:space="preserve">have</w:t>
      </w:r>
      <w:r>
        <w:t xml:space="preserve"> </w:t>
      </w:r>
      <w:r>
        <w:t xml:space="preserve">76. For example, if the Staff has [X–76–Y Z] but Mamari has [X Y Z] repeated, perhaps Mamari assumed the reader would supply the “76” relation mentally. A concrete case: if Mamari shows</w:t>
      </w:r>
      <w:r>
        <w:t xml:space="preserve"> </w:t>
      </w:r>
      <w:r>
        <w:rPr>
          <w:b/>
          <w:bCs/>
        </w:rPr>
        <w:t xml:space="preserve">606–700–8</w:t>
      </w:r>
      <w:r>
        <w:t xml:space="preserve"> </w:t>
      </w:r>
      <w:r>
        <w:t xml:space="preserve">(birds, fish, sun) in sequence with no 76, it would strongly hint at the same meaning Fischer proposed, just abbreviated. So far, no such clear triple has been isolated on Mamari, but research is ongoing.</w:t>
      </w:r>
    </w:p>
    <w:p>
      <w:pPr>
        <w:numPr>
          <w:ilvl w:val="0"/>
          <w:numId w:val="1002"/>
        </w:numPr>
      </w:pPr>
      <w:r>
        <w:rPr>
          <w:b/>
          <w:bCs/>
        </w:rPr>
        <w:t xml:space="preserve">Aruku Kurenga (Text B):</w:t>
      </w:r>
      <w:r>
        <w:t xml:space="preserve"> </w:t>
      </w:r>
      <w:r>
        <w:t xml:space="preserve">This tablet is another lengthy text excavated by the same early researchers (Jaussen had Metoro Tau’a Ure recite parts of it)</w:t>
      </w:r>
      <w:hyperlink r:id="rId86">
        <w:r>
          <w:rPr>
            <w:rStyle w:val="Hyperlink"/>
          </w:rPr>
          <w:t xml:space="preserve">[64]</w:t>
        </w:r>
      </w:hyperlink>
      <w:r>
        <w:t xml:space="preserve">. While Metoro’s recitation (“Apai” chant) for Aruku Kurenga was confused with Tahitian words and is not directly useful for decipherment, Aruku’s inscription can still be compared visually to Mamari’s. We have identified some</w:t>
      </w:r>
      <w:r>
        <w:t xml:space="preserve"> </w:t>
      </w:r>
      <w:r>
        <w:rPr>
          <w:i/>
          <w:iCs/>
        </w:rPr>
        <w:t xml:space="preserve">glyph sequences that Aruku and Mamari share</w:t>
      </w:r>
      <w:r>
        <w:t xml:space="preserve">, beyond the generic repeated motifs. For instance, certain</w:t>
      </w:r>
      <w:r>
        <w:t xml:space="preserve"> </w:t>
      </w:r>
      <w:r>
        <w:rPr>
          <w:b/>
          <w:bCs/>
        </w:rPr>
        <w:t xml:space="preserve">pairs of glyphs or short phrases recur</w:t>
      </w:r>
      <w:r>
        <w:t xml:space="preserve"> </w:t>
      </w:r>
      <w:r>
        <w:t xml:space="preserve">in both (as well as in other tablets like Tahua (Text A) and the small fragments). A published analysis by Pozdniakov noted that the Berlin tablet (RR #13) shares several glyph pairs with Mamari, Aruku, and the Washington tablets</w:t>
      </w:r>
      <w:hyperlink r:id="rId87">
        <w:r>
          <w:rPr>
            <w:rStyle w:val="Hyperlink"/>
          </w:rPr>
          <w:t xml:space="preserve">[65]</w:t>
        </w:r>
      </w:hyperlink>
      <w:r>
        <w:t xml:space="preserve"> </w:t>
      </w:r>
      <w:r>
        <w:t xml:space="preserve">– indicating a common corpus of phrases or names. One specific example: Mamari lines Ca14–Cb1 contain a sequence that is also found in Tablet E (Keiti), G (small St. Petersburg), K, and N</w:t>
      </w:r>
      <w:hyperlink r:id="rId43">
        <w:r>
          <w:rPr>
            <w:rStyle w:val="Hyperlink"/>
          </w:rPr>
          <w:t xml:space="preserve">[23]</w:t>
        </w:r>
      </w:hyperlink>
      <w:r>
        <w:t xml:space="preserve">. Although Aruku (B) isn’t listed in that particular cross-text sequence, Aruku does have parallel passages with other tablets (in fact, Barthel’s catalog and later studies show Aruku shares text with tablet H and P in the so-called “Grand Tradition” texts</w:t>
      </w:r>
      <w:hyperlink r:id="rId88">
        <w:r>
          <w:rPr>
            <w:rStyle w:val="Hyperlink"/>
          </w:rPr>
          <w:t xml:space="preserve">[66]</w:t>
        </w:r>
      </w:hyperlink>
      <w:r>
        <w:t xml:space="preserve">). What this means for us is that</w:t>
      </w:r>
      <w:r>
        <w:t xml:space="preserve"> </w:t>
      </w:r>
      <w:r>
        <w:rPr>
          <w:b/>
          <w:bCs/>
        </w:rPr>
        <w:t xml:space="preserve">Mamari is not an isolated text</w:t>
      </w:r>
      <w:r>
        <w:t xml:space="preserve">; parts of it likely correspond to standard chants or lists that appear on multiple tablets. This is a crucial clue – if we can decipher one such passage on one tablet, it unlocks all the others that contain it. For example, if the shared sequence turned out to enumerate the names of lunar months or a genealogy of ancient chiefs, that identification would apply to all instances of that sequence. We are therefore cross-referencing every repeated cluster we find in Mamari with databases of other tablet transcriptions to see if it appears elsewhere.</w:t>
      </w:r>
    </w:p>
    <w:p>
      <w:pPr>
        <w:numPr>
          <w:ilvl w:val="0"/>
          <w:numId w:val="1000"/>
        </w:numPr>
      </w:pPr>
      <w:r>
        <w:t xml:space="preserve">One tangible parallel: Butinov and Knorozov’s</w:t>
      </w:r>
      <w:r>
        <w:t xml:space="preserve"> </w:t>
      </w:r>
      <w:r>
        <w:rPr>
          <w:b/>
          <w:bCs/>
        </w:rPr>
        <w:t xml:space="preserve">suspected genealogy on tablet G</w:t>
      </w:r>
      <w:r>
        <w:t xml:space="preserve"> </w:t>
      </w:r>
      <w:r>
        <w:t xml:space="preserve">(Small Santiago) has a repeated structure we described earlier (with glyph 200 and 76)</w:t>
      </w:r>
      <w:hyperlink r:id="rId47">
        <w:r>
          <w:rPr>
            <w:rStyle w:val="Hyperlink"/>
          </w:rPr>
          <w:t xml:space="preserve">[67]</w:t>
        </w:r>
      </w:hyperlink>
      <w:r>
        <w:t xml:space="preserve">. If Mamari has a genealogy, it might share some of those ancestor names or titles. Perhaps the “King” glyph 200 or an “ancestor” glyph 500 recurs similarly. Should we find that Mamari has, say,</w:t>
      </w:r>
      <w:r>
        <w:t xml:space="preserve"> </w:t>
      </w:r>
      <w:r>
        <w:rPr>
          <w:i/>
          <w:iCs/>
        </w:rPr>
        <w:t xml:space="preserve">200–76–500–…–76–500…</w:t>
      </w:r>
      <w:r>
        <w:t xml:space="preserve"> </w:t>
      </w:r>
      <w:r>
        <w:t xml:space="preserve">and tablet G has</w:t>
      </w:r>
      <w:r>
        <w:t xml:space="preserve"> </w:t>
      </w:r>
      <w:r>
        <w:rPr>
          <w:i/>
          <w:iCs/>
        </w:rPr>
        <w:t xml:space="preserve">200–76–500…</w:t>
      </w:r>
      <w:r>
        <w:t xml:space="preserve"> </w:t>
      </w:r>
      <w:r>
        <w:t xml:space="preserve">around the same relative position in the text, that would strongly confirm a genealogical list being present in both. Additionally, an</w:t>
      </w:r>
      <w:r>
        <w:t xml:space="preserve"> </w:t>
      </w:r>
      <w:r>
        <w:rPr>
          <w:b/>
          <w:bCs/>
        </w:rPr>
        <w:t xml:space="preserve">attached suffix 76 on glyph 200</w:t>
      </w:r>
      <w:r>
        <w:t xml:space="preserve"> </w:t>
      </w:r>
      <w:r>
        <w:t xml:space="preserve">is seen on the Staff for many sections</w:t>
      </w:r>
      <w:hyperlink r:id="rId81">
        <w:r>
          <w:rPr>
            <w:rStyle w:val="Hyperlink"/>
          </w:rPr>
          <w:t xml:space="preserve">[60]</w:t>
        </w:r>
      </w:hyperlink>
      <w:r>
        <w:t xml:space="preserve">; if Mamari likewise shows glyph 200 with a small “76” attached in some places, it strengthens the idea of 76 as a patronymic on a title.</w:t>
      </w:r>
    </w:p>
    <w:p>
      <w:pPr>
        <w:numPr>
          <w:ilvl w:val="0"/>
          <w:numId w:val="1002"/>
        </w:numPr>
      </w:pPr>
      <w:r>
        <w:rPr>
          <w:b/>
          <w:bCs/>
        </w:rPr>
        <w:t xml:space="preserve">Keiti (Text E) and Others:</w:t>
      </w:r>
      <w:r>
        <w:t xml:space="preserve"> </w:t>
      </w:r>
      <w:r>
        <w:t xml:space="preserve">Since Mamari’s end of recto and start of verso share a sequence with E, G, K, N</w:t>
      </w:r>
      <w:hyperlink r:id="rId43">
        <w:r>
          <w:rPr>
            <w:rStyle w:val="Hyperlink"/>
          </w:rPr>
          <w:t xml:space="preserve">[23]</w:t>
        </w:r>
      </w:hyperlink>
      <w:r>
        <w:t xml:space="preserve">, it’s worth noting what those tablets are known/suspected to contain. Tablet E (Keiti) was partially “read” by Metoro with a chant (</w:t>
      </w:r>
      <w:r>
        <w:rPr>
          <w:i/>
          <w:iCs/>
        </w:rPr>
        <w:t xml:space="preserve">Apai</w:t>
      </w:r>
      <w:r>
        <w:t xml:space="preserve">), which some researchers think included cosmological references. Tablet K and N are smaller fragments; if they contain the same sequence, it was likely a popular piece of text (perhaps a prayer or proverb). If that shared sequence in Mamari is formulaic (for instance, it could be a</w:t>
      </w:r>
      <w:r>
        <w:t xml:space="preserve"> </w:t>
      </w:r>
      <w:r>
        <w:rPr>
          <w:b/>
          <w:bCs/>
        </w:rPr>
        <w:t xml:space="preserve">heraldic or invocation phrase</w:t>
      </w:r>
      <w:r>
        <w:t xml:space="preserve"> </w:t>
      </w:r>
      <w:r>
        <w:t xml:space="preserve">repeated on multiple tablets), then deciphering it would give a big breakthrough. We’ve begun a comparative chart of the glyphs in that sequence across the tablets, noting any variants or omissions. So far, they appear nearly identical in order, confirming it’s a fixed memorized passage. Some glyphs in it look like they could mean “land” or “sky” (glyphs for land often involve a shape like a horizontal line with stuff above – e.g., glyph 620 is thought to mean land/earth in some contexts). If true, it might be a cosmological statement like “On the land [something happened] in the sky…”, but this is speculative. We will continue to refine this by checking the lexicon for each glyph in the sequence. If any stands out as a known word (for instance, if</w:t>
      </w:r>
      <w:r>
        <w:t xml:space="preserve"> </w:t>
      </w:r>
      <w:r>
        <w:rPr>
          <w:i/>
          <w:iCs/>
        </w:rPr>
        <w:t xml:space="preserve">61</w:t>
      </w:r>
      <w:r>
        <w:t xml:space="preserve"> </w:t>
      </w:r>
      <w:r>
        <w:t xml:space="preserve">appears – lexicon suggests 61 could be “Rangi” (sky) or “Po” (night) in some interpretations), then we might align it with a creation story (like “In the beginning, Sky copulated with Earth, produced …” which is a classic Polynesian creation theme, though usually phrased as the separation of sky and earth).</w:t>
      </w:r>
    </w:p>
    <w:p>
      <w:pPr>
        <w:pStyle w:val="FirstParagraph"/>
      </w:pPr>
      <w:r>
        <w:t xml:space="preserve">In combining all these cross-text insights, a picture emerges where</w:t>
      </w:r>
      <w:r>
        <w:t xml:space="preserve"> </w:t>
      </w:r>
      <w:r>
        <w:rPr>
          <w:b/>
          <w:bCs/>
        </w:rPr>
        <w:t xml:space="preserve">Mamari acts as a nexus</w:t>
      </w:r>
      <w:r>
        <w:t xml:space="preserve"> </w:t>
      </w:r>
      <w:r>
        <w:t xml:space="preserve">of several text traditions: it contains a</w:t>
      </w:r>
      <w:r>
        <w:t xml:space="preserve"> </w:t>
      </w:r>
      <w:r>
        <w:rPr>
          <w:b/>
          <w:bCs/>
        </w:rPr>
        <w:t xml:space="preserve">calendrical text</w:t>
      </w:r>
      <w:r>
        <w:t xml:space="preserve"> </w:t>
      </w:r>
      <w:r>
        <w:t xml:space="preserve">(unique to it), possibly a</w:t>
      </w:r>
      <w:r>
        <w:t xml:space="preserve"> </w:t>
      </w:r>
      <w:r>
        <w:rPr>
          <w:b/>
          <w:bCs/>
        </w:rPr>
        <w:t xml:space="preserve">cosmogonic chant</w:t>
      </w:r>
      <w:r>
        <w:t xml:space="preserve"> </w:t>
      </w:r>
      <w:r>
        <w:t xml:space="preserve">(shared with Staff or R’s Atua Matariri), and maybe a</w:t>
      </w:r>
      <w:r>
        <w:t xml:space="preserve"> </w:t>
      </w:r>
      <w:r>
        <w:rPr>
          <w:b/>
          <w:bCs/>
        </w:rPr>
        <w:t xml:space="preserve">genealogical/historical list</w:t>
      </w:r>
      <w:r>
        <w:t xml:space="preserve"> </w:t>
      </w:r>
      <w:r>
        <w:t xml:space="preserve">(with parallels to G’s lineage and the war prisoner list idea). Its scribes may have compiled or abridged content known from different sources. This could explain why its contents are “varied”</w:t>
      </w:r>
      <w:hyperlink r:id="rId44">
        <w:r>
          <w:rPr>
            <w:rStyle w:val="Hyperlink"/>
          </w:rPr>
          <w:t xml:space="preserve">[46]</w:t>
        </w:r>
      </w:hyperlink>
      <w:r>
        <w:t xml:space="preserve"> </w:t>
      </w:r>
      <w:r>
        <w:t xml:space="preserve">and why Metoro’s attempt to read it jumped topics (he reportedly read the verso bottom as one chant and then started a new subject on the recto)</w:t>
      </w:r>
      <w:hyperlink r:id="rId89">
        <w:r>
          <w:rPr>
            <w:rStyle w:val="Hyperlink"/>
          </w:rPr>
          <w:t xml:space="preserve">[68]</w:t>
        </w:r>
      </w:hyperlink>
      <w:r>
        <w:t xml:space="preserve">. Perhaps the tablet was a kind of anthology: part almanac, part mythic charter, part record of chiefs. By recognizing which segments correspond to which genre (with help from parallels), we can apply the appropriate decoding strategy to each segment.</w:t>
      </w:r>
    </w:p>
    <w:p>
      <w:pPr>
        <w:pStyle w:val="BodyText"/>
      </w:pPr>
      <w:r>
        <w:t xml:space="preserve">To give a concrete example of cross-text verification: Suppose we hypothesize Mamari has a line saying</w:t>
      </w:r>
      <w:r>
        <w:t xml:space="preserve"> </w:t>
      </w:r>
      <w:r>
        <w:rPr>
          <w:i/>
          <w:iCs/>
        </w:rPr>
        <w:t xml:space="preserve">“Makemake mated with stone, produced lizard”</w:t>
      </w:r>
      <w:r>
        <w:t xml:space="preserve"> </w:t>
      </w:r>
      <w:r>
        <w:t xml:space="preserve">(just as a hypothetical myth line). If the same glyph sequence is on another tablet that we think is a genealogy of chiefs, that mismatch would flag our interpretation as likely wrong. Conversely, if another text widely believed to be mythic (like a smaller chant tablet) shows the same sequence, that reinforces the mythic reading. So far, our comparative work suggests that</w:t>
      </w:r>
      <w:r>
        <w:t xml:space="preserve"> </w:t>
      </w:r>
      <w:r>
        <w:rPr>
          <w:b/>
          <w:bCs/>
        </w:rPr>
        <w:t xml:space="preserve">Mamari’s mythic/genealogic sequences are not unique</w:t>
      </w:r>
      <w:r>
        <w:t xml:space="preserve"> </w:t>
      </w:r>
      <w:r>
        <w:t xml:space="preserve">– they likely appear in the corpus of parallel texts that include tablets A, B, E, G, R, etc. The shared sequence on Ca14–Cb1 is a prime candidate to crack with this method, and it might turn out to be something like a</w:t>
      </w:r>
      <w:r>
        <w:t xml:space="preserve"> </w:t>
      </w:r>
      <w:r>
        <w:rPr>
          <w:b/>
          <w:bCs/>
        </w:rPr>
        <w:t xml:space="preserve">stock phrase or invocation</w:t>
      </w:r>
      <w:r>
        <w:t xml:space="preserve">. (One could imagine it being the opening of a chant, reused across tablets: e.g., “E ara, e ara! …” (Arise, arise!) or “Haú te ꞌatua…” (The god did…), though we stress this is conjecture until the glyphs are concretely deciphered.)</w:t>
      </w:r>
    </w:p>
    <w:p>
      <w:pPr>
        <w:pStyle w:val="BodyText"/>
      </w:pPr>
      <w:r>
        <w:t xml:space="preserve">In summary, by</w:t>
      </w:r>
      <w:r>
        <w:t xml:space="preserve"> </w:t>
      </w:r>
      <w:r>
        <w:rPr>
          <w:b/>
          <w:bCs/>
        </w:rPr>
        <w:t xml:space="preserve">fitting Mamari’s pieces into the larger puzzle of rongorongo texts</w:t>
      </w:r>
      <w:r>
        <w:t xml:space="preserve">, we ensure that our interpretations are not insular. If Mamari and Aruku Kurenga show similar structuring, that hints at a general textual practice (like listing expedition events in threes – one study suggests Aruku has three parallel series corresponding to a myth of three voyages</w:t>
      </w:r>
      <w:hyperlink r:id="rId90">
        <w:r>
          <w:rPr>
            <w:rStyle w:val="Hyperlink"/>
          </w:rPr>
          <w:t xml:space="preserve">[69]</w:t>
        </w:r>
      </w:hyperlink>
      <w:r>
        <w:t xml:space="preserve">). If Mamari and the Staff share the concept of a procreative link glyph, it suggests a common language of recording genealogies/myths. Each alignment increases our confidence that we’re on the right track in deciphering not just Mamari but the rongorongo script’s purpose. And as we decode Mamari, we feed those results back into understanding the other texts (potentially explaining, for instance, puzzling sequences on the Staff or clarifying the content of the Keiti tablet, etc.). This iterative cross-text approach is steadily illuminating what had seemed like isolated inscrutable carvings as pieces of a</w:t>
      </w:r>
      <w:r>
        <w:t xml:space="preserve"> </w:t>
      </w:r>
      <w:r>
        <w:rPr>
          <w:b/>
          <w:bCs/>
        </w:rPr>
        <w:t xml:space="preserve">cohesive textual tradition</w:t>
      </w:r>
      <w:r>
        <w:t xml:space="preserve">.</w:t>
      </w:r>
    </w:p>
    <w:bookmarkEnd w:id="91"/>
    <w:bookmarkStart w:id="99" w:name="X2ac67f5f2adf9d0dbbaa664bb8531baec654fd2"/>
    <w:p>
      <w:pPr>
        <w:pStyle w:val="Heading3"/>
      </w:pPr>
      <w:r>
        <w:t xml:space="preserve">Glyph Structure, Repetition, and Text Segmentation in Mamari</w:t>
      </w:r>
    </w:p>
    <w:p>
      <w:pPr>
        <w:pStyle w:val="FirstParagraph"/>
      </w:pPr>
      <w:r>
        <w:t xml:space="preserve">A hallmark of our multi-method strategy is examining</w:t>
      </w:r>
      <w:r>
        <w:t xml:space="preserve"> </w:t>
      </w:r>
      <w:r>
        <w:rPr>
          <w:b/>
          <w:bCs/>
        </w:rPr>
        <w:t xml:space="preserve">how Mamari’s glyphs are composed and ordered</w:t>
      </w:r>
      <w:r>
        <w:t xml:space="preserve">, which often reveals meaning even before the glyphs are fully “read.” The rongorongo script is known for its</w:t>
      </w:r>
      <w:r>
        <w:t xml:space="preserve"> </w:t>
      </w:r>
      <w:r>
        <w:rPr>
          <w:b/>
          <w:bCs/>
        </w:rPr>
        <w:t xml:space="preserve">ligatures and compound glyphs</w:t>
      </w:r>
      <w:r>
        <w:t xml:space="preserve"> </w:t>
      </w:r>
      <w:r>
        <w:t xml:space="preserve">– multiple base elements fused into one sign. Recognizing these can greatly aid decipherment because the components may carry clues. In Mamari, and indeed throughout rongorongo, we see examples such as:</w:t>
      </w:r>
    </w:p>
    <w:p>
      <w:pPr>
        <w:numPr>
          <w:ilvl w:val="0"/>
          <w:numId w:val="1003"/>
        </w:numPr>
      </w:pPr>
      <w:r>
        <w:rPr>
          <w:b/>
          <w:bCs/>
        </w:rPr>
        <w:t xml:space="preserve">Composite Glyphs for Plurals and Modifiers:</w:t>
      </w:r>
      <w:r>
        <w:t xml:space="preserve"> </w:t>
      </w:r>
      <w:r>
        <w:t xml:space="preserve">As mentioned,</w:t>
      </w:r>
      <w:r>
        <w:t xml:space="preserve"> </w:t>
      </w:r>
      <w:r>
        <w:rPr>
          <w:b/>
          <w:bCs/>
        </w:rPr>
        <w:t xml:space="preserve">glyph 606</w:t>
      </w:r>
      <w:r>
        <w:t xml:space="preserve"> </w:t>
      </w:r>
      <w:r>
        <w:t xml:space="preserve">is understood as a composite of glyph</w:t>
      </w:r>
      <w:r>
        <w:t xml:space="preserve"> </w:t>
      </w:r>
      <w:r>
        <w:rPr>
          <w:i/>
          <w:iCs/>
        </w:rPr>
        <w:t xml:space="preserve">600 (bird)</w:t>
      </w:r>
      <w:r>
        <w:t xml:space="preserve"> </w:t>
      </w:r>
      <w:r>
        <w:t xml:space="preserve">+ glyph</w:t>
      </w:r>
      <w:r>
        <w:t xml:space="preserve"> </w:t>
      </w:r>
      <w:r>
        <w:rPr>
          <w:i/>
          <w:iCs/>
        </w:rPr>
        <w:t xml:space="preserve">6 (hand)</w:t>
      </w:r>
      <w:hyperlink r:id="rId49">
        <w:r>
          <w:rPr>
            <w:rStyle w:val="Hyperlink"/>
          </w:rPr>
          <w:t xml:space="preserve">[29]</w:t>
        </w:r>
      </w:hyperlink>
      <w:r>
        <w:t xml:space="preserve">. The hand (glyph 6) in Rapanui is</w:t>
      </w:r>
      <w:r>
        <w:t xml:space="preserve"> </w:t>
      </w:r>
      <w:r>
        <w:rPr>
          <w:i/>
          <w:iCs/>
        </w:rPr>
        <w:t xml:space="preserve">rima</w:t>
      </w:r>
      <w:r>
        <w:t xml:space="preserve">, but Fischer noticed a phonetic coincidence:</w:t>
      </w:r>
      <w:r>
        <w:t xml:space="preserve"> </w:t>
      </w:r>
      <w:r>
        <w:rPr>
          <w:i/>
          <w:iCs/>
        </w:rPr>
        <w:t xml:space="preserve">ma’u</w:t>
      </w:r>
      <w:r>
        <w:t xml:space="preserve"> </w:t>
      </w:r>
      <w:r>
        <w:t xml:space="preserve">(to take) sounds like Tahitian plural</w:t>
      </w:r>
      <w:r>
        <w:t xml:space="preserve"> </w:t>
      </w:r>
      <w:r>
        <w:rPr>
          <w:i/>
          <w:iCs/>
        </w:rPr>
        <w:t xml:space="preserve">mau</w:t>
      </w:r>
      <w:r>
        <w:t xml:space="preserve">. He hypothesized that attaching a “hand/take” glyph could indicate plurality (</w:t>
      </w:r>
      <w:r>
        <w:rPr>
          <w:i/>
          <w:iCs/>
        </w:rPr>
        <w:t xml:space="preserve">all birds</w:t>
      </w:r>
      <w:r>
        <w:t xml:space="preserve">)</w:t>
      </w:r>
      <w:hyperlink r:id="rId39">
        <w:r>
          <w:rPr>
            <w:rStyle w:val="Hyperlink"/>
          </w:rPr>
          <w:t xml:space="preserve">[19]</w:t>
        </w:r>
      </w:hyperlink>
      <w:r>
        <w:t xml:space="preserve">. Whether or not the ancient scribes intended that pun, the lexicon confirms glyph 6 is used as a plural/collective marker in combinations</w:t>
      </w:r>
      <w:hyperlink r:id="rId49">
        <w:r>
          <w:rPr>
            <w:rStyle w:val="Hyperlink"/>
          </w:rPr>
          <w:t xml:space="preserve">[29]</w:t>
        </w:r>
      </w:hyperlink>
      <w:hyperlink r:id="rId92">
        <w:r>
          <w:rPr>
            <w:rStyle w:val="Hyperlink"/>
          </w:rPr>
          <w:t xml:space="preserve">[70]</w:t>
        </w:r>
      </w:hyperlink>
      <w:r>
        <w:t xml:space="preserve">. Thus, when we see a bird glyph with an extra little hand shape in Mamari, we interpret it as “birds (plural)” or “the birds collectively” rather than a single bird. Such usage is telling in a creation chant context – for example, “all the birds” might represent the class of avian creatures involved in a myth. In genealogical context, a plural might denote a group (like a tribe or a category of persons).</w:t>
      </w:r>
      <w:r>
        <w:t xml:space="preserve"> </w:t>
      </w:r>
      <w:r>
        <w:rPr>
          <w:b/>
          <w:bCs/>
        </w:rPr>
        <w:t xml:space="preserve">Repetition of a glyph</w:t>
      </w:r>
      <w:r>
        <w:t xml:space="preserve"> </w:t>
      </w:r>
      <w:r>
        <w:t xml:space="preserve">also can pluralize or intensify meaning: writing the same sign twice in a row could mean “many” or “very.” In Polynesian oral art, reduplication often pluralizes or emphasizes a word. In Mamari’s calendar, for instance, the word</w:t>
      </w:r>
      <w:r>
        <w:t xml:space="preserve"> </w:t>
      </w:r>
      <w:r>
        <w:rPr>
          <w:i/>
          <w:iCs/>
        </w:rPr>
        <w:t xml:space="preserve">kokore</w:t>
      </w:r>
      <w:r>
        <w:t xml:space="preserve"> </w:t>
      </w:r>
      <w:r>
        <w:t xml:space="preserve">(meaning successive nights without distinct names) is represented by repeating similar crescent signs</w:t>
      </w:r>
      <w:hyperlink r:id="rId93">
        <w:r>
          <w:rPr>
            <w:rStyle w:val="Hyperlink"/>
          </w:rPr>
          <w:t xml:space="preserve">[71]</w:t>
        </w:r>
      </w:hyperlink>
      <w:r>
        <w:t xml:space="preserve">. If we find, say, two identical ancestor glyphs back-to-back, it might imply “ancestors” (plural) or a poetic emphasis.</w:t>
      </w:r>
    </w:p>
    <w:p>
      <w:pPr>
        <w:numPr>
          <w:ilvl w:val="0"/>
          <w:numId w:val="1003"/>
        </w:numPr>
      </w:pPr>
      <w:r>
        <w:rPr>
          <w:b/>
          <w:bCs/>
        </w:rPr>
        <w:t xml:space="preserve">Orientation and Position Variations:</w:t>
      </w:r>
      <w:r>
        <w:t xml:space="preserve"> </w:t>
      </w:r>
      <w:r>
        <w:t xml:space="preserve">Rongorongo glyphs can be flipped or rotated, and these changes are usually not decorative but encode information. A clear example in Mamari is the fish glyph (700) whose orientation (head up vs head down) corresponds to lunar phases</w:t>
      </w:r>
      <w:hyperlink r:id="rId50">
        <w:r>
          <w:rPr>
            <w:rStyle w:val="Hyperlink"/>
          </w:rPr>
          <w:t xml:space="preserve">[30]</w:t>
        </w:r>
      </w:hyperlink>
      <w:r>
        <w:t xml:space="preserve">. Another example: a long-necked bird glyph in the calendar appears reversed after the full moon, again as a deliberate signal of the waning sequence</w:t>
      </w:r>
      <w:hyperlink r:id="rId50">
        <w:r>
          <w:rPr>
            <w:rStyle w:val="Hyperlink"/>
          </w:rPr>
          <w:t xml:space="preserve">[30]</w:t>
        </w:r>
      </w:hyperlink>
      <w:r>
        <w:t xml:space="preserve">. We apply this logic generally: if, say, a human figure glyph appears upside-down in a sequence, it might indicate a negation or a different role (perhaps a deceased person or a counterpart). Some researchers suggest that</w:t>
      </w:r>
      <w:r>
        <w:t xml:space="preserve"> </w:t>
      </w:r>
      <w:r>
        <w:rPr>
          <w:b/>
          <w:bCs/>
        </w:rPr>
        <w:t xml:space="preserve">inversion of anthropomorphic glyphs could mark genealogical inversion</w:t>
      </w:r>
      <w:r>
        <w:t xml:space="preserve"> </w:t>
      </w:r>
      <w:r>
        <w:t xml:space="preserve">(like maternal lineage vs paternal, or a break in the line). While this is speculative, we keep an eye on orientation. Mamari has a few inverted glyphs noted in Barthel’s tracings, which we analyze case-by-case. Additionally, glyphs appended above or below base glyphs (superscripts or subscripts) might function like adjectives or classifiers. For instance, small crescent shapes above certain glyphs in the calendar indicate special nights (Guy interpreted half-size crescent markers as indicating apogee moon nights that trigger intercalation)</w:t>
      </w:r>
      <w:hyperlink r:id="rId94">
        <w:r>
          <w:rPr>
            <w:rStyle w:val="Hyperlink"/>
          </w:rPr>
          <w:t xml:space="preserve">[72]</w:t>
        </w:r>
      </w:hyperlink>
      <w:r>
        <w:t xml:space="preserve">. Similarly, a small</w:t>
      </w:r>
      <w:r>
        <w:t xml:space="preserve"> </w:t>
      </w:r>
      <w:r>
        <w:rPr>
          <w:b/>
          <w:bCs/>
        </w:rPr>
        <w:t xml:space="preserve">suffix like 76</w:t>
      </w:r>
      <w:r>
        <w:t xml:space="preserve"> </w:t>
      </w:r>
      <w:r>
        <w:t xml:space="preserve">can be considered an attached element modifying the base glyph’s meaning (turning a noun into a relational form). Identifying all such affixes in Mamari helps break complex glyph chains into their constituents.</w:t>
      </w:r>
    </w:p>
    <w:p>
      <w:pPr>
        <w:numPr>
          <w:ilvl w:val="0"/>
          <w:numId w:val="1003"/>
        </w:numPr>
      </w:pPr>
      <w:r>
        <w:rPr>
          <w:b/>
          <w:bCs/>
        </w:rPr>
        <w:t xml:space="preserve">Segmentation by Repeated Units:</w:t>
      </w:r>
      <w:r>
        <w:t xml:space="preserve"> </w:t>
      </w:r>
      <w:r>
        <w:t xml:space="preserve">Mamari’s text does not have obvious punctuation, but it</w:t>
      </w:r>
      <w:r>
        <w:t xml:space="preserve"> </w:t>
      </w:r>
      <w:r>
        <w:rPr>
          <w:i/>
          <w:iCs/>
        </w:rPr>
        <w:t xml:space="preserve">does</w:t>
      </w:r>
      <w:r>
        <w:t xml:space="preserve"> </w:t>
      </w:r>
      <w:r>
        <w:t xml:space="preserve">have repeating sequences that likely delineate sections. The best example is the</w:t>
      </w:r>
      <w:r>
        <w:t xml:space="preserve"> </w:t>
      </w:r>
      <w:r>
        <w:rPr>
          <w:b/>
          <w:bCs/>
        </w:rPr>
        <w:t xml:space="preserve">“heralding sequence”</w:t>
      </w:r>
      <w:r>
        <w:t xml:space="preserve"> </w:t>
      </w:r>
      <w:r>
        <w:t xml:space="preserve">in the calendar: a four-glyph sequence that occurs eight times, dividing the 30 nights into groups</w:t>
      </w:r>
      <w:hyperlink r:id="rId95">
        <w:r>
          <w:rPr>
            <w:rStyle w:val="Hyperlink"/>
          </w:rPr>
          <w:t xml:space="preserve">[73]</w:t>
        </w:r>
      </w:hyperlink>
      <w:r>
        <w:t xml:space="preserve">. Each instance of this sequence contains two crescent signs and ends with a fish glyph (either upright or inverted)</w:t>
      </w:r>
      <w:hyperlink r:id="rId95">
        <w:r>
          <w:rPr>
            <w:rStyle w:val="Hyperlink"/>
          </w:rPr>
          <w:t xml:space="preserve">[73]</w:t>
        </w:r>
      </w:hyperlink>
      <w:r>
        <w:t xml:space="preserve">. Because it repeats so regularly, scholars immediately understood it as a separator or marker of each lunar phase group</w:t>
      </w:r>
      <w:hyperlink r:id="rId50">
        <w:r>
          <w:rPr>
            <w:rStyle w:val="Hyperlink"/>
          </w:rPr>
          <w:t xml:space="preserve">[74]</w:t>
        </w:r>
      </w:hyperlink>
      <w:r>
        <w:t xml:space="preserve">. By analogy, any sequence we find in Mamari that repeats periodically could be serving as a</w:t>
      </w:r>
      <w:r>
        <w:t xml:space="preserve"> </w:t>
      </w:r>
      <w:r>
        <w:rPr>
          <w:b/>
          <w:bCs/>
        </w:rPr>
        <w:t xml:space="preserve">section marker or refrain</w:t>
      </w:r>
      <w:r>
        <w:t xml:space="preserve">. Some candidates: a particular glyph that appears at the start of multiple lines (which could be like a list bullet or the word “then” in a narrative), or a closing formula that recurs at the end of verses. Polynesian chants often have such refrains (for example, many Hawaiian creation chants end each verse with the phrase “hanau ka X” – “born was X”). If we detect a glyph or pair that consistently appears at equal intervals, we will treat it as a likely</w:t>
      </w:r>
      <w:r>
        <w:t xml:space="preserve"> </w:t>
      </w:r>
      <w:r>
        <w:rPr>
          <w:b/>
          <w:bCs/>
        </w:rPr>
        <w:t xml:space="preserve">formula phrase</w:t>
      </w:r>
      <w:r>
        <w:t xml:space="preserve"> </w:t>
      </w:r>
      <w:r>
        <w:t xml:space="preserve">meaning something like “there issued forth …” or “so it was…”. Indeed, in</w:t>
      </w:r>
      <w:r>
        <w:t xml:space="preserve"> </w:t>
      </w:r>
      <w:r>
        <w:rPr>
          <w:i/>
          <w:iCs/>
        </w:rPr>
        <w:t xml:space="preserve">Atua Matariri</w:t>
      </w:r>
      <w:r>
        <w:t xml:space="preserve"> </w:t>
      </w:r>
      <w:r>
        <w:t xml:space="preserve">the phrase</w:t>
      </w:r>
      <w:r>
        <w:t xml:space="preserve"> </w:t>
      </w:r>
      <w:r>
        <w:rPr>
          <w:i/>
          <w:iCs/>
        </w:rPr>
        <w:t xml:space="preserve">“ka pú te Z”</w:t>
      </w:r>
      <w:r>
        <w:t xml:space="preserve"> </w:t>
      </w:r>
      <w:r>
        <w:t xml:space="preserve">(“there came forth Z”) is repeated every verse</w:t>
      </w:r>
      <w:hyperlink r:id="rId29">
        <w:r>
          <w:rPr>
            <w:rStyle w:val="Hyperlink"/>
          </w:rPr>
          <w:t xml:space="preserve">[8]</w:t>
        </w:r>
      </w:hyperlink>
      <w:r>
        <w:t xml:space="preserve">, after the coupling part. In glyph terms, it’s plausible that some symbol stands for “came forth” or an equivalent ending. Perhaps glyph</w:t>
      </w:r>
      <w:r>
        <w:t xml:space="preserve"> </w:t>
      </w:r>
      <w:r>
        <w:rPr>
          <w:i/>
          <w:iCs/>
        </w:rPr>
        <w:t xml:space="preserve">380.1</w:t>
      </w:r>
      <w:r>
        <w:t xml:space="preserve"> </w:t>
      </w:r>
      <w:r>
        <w:t xml:space="preserve">which repeats in Mamari’s verso could be such a marker or a part of a refrain</w:t>
      </w:r>
      <w:hyperlink r:id="rId44">
        <w:r>
          <w:rPr>
            <w:rStyle w:val="Hyperlink"/>
          </w:rPr>
          <w:t xml:space="preserve">[24]</w:t>
        </w:r>
      </w:hyperlink>
      <w:r>
        <w:t xml:space="preserve">. We don’t know its meaning yet, but its repetition suggests a formulaic role.</w:t>
      </w:r>
    </w:p>
    <w:p>
      <w:pPr>
        <w:numPr>
          <w:ilvl w:val="0"/>
          <w:numId w:val="1003"/>
        </w:numPr>
      </w:pPr>
      <w:r>
        <w:rPr>
          <w:b/>
          <w:bCs/>
        </w:rPr>
        <w:t xml:space="preserve">“Accounting” Glyph Series:</w:t>
      </w:r>
      <w:r>
        <w:t xml:space="preserve"> </w:t>
      </w:r>
      <w:r>
        <w:t xml:space="preserve">At the end of Mamari’s calendar (line Ca9 per Barthel), there is a series of unusual glyphs – described as “beaded variants of double and triple lozenges (glyph 2)” arranged in a sequence</w:t>
      </w:r>
      <w:hyperlink r:id="rId96">
        <w:r>
          <w:rPr>
            <w:rStyle w:val="Hyperlink"/>
          </w:rPr>
          <w:t xml:space="preserve">[75]</w:t>
        </w:r>
      </w:hyperlink>
      <w:r>
        <w:t xml:space="preserve">. These look like an</w:t>
      </w:r>
      <w:r>
        <w:t xml:space="preserve"> </w:t>
      </w:r>
      <w:r>
        <w:rPr>
          <w:b/>
          <w:bCs/>
        </w:rPr>
        <w:t xml:space="preserve">abacus or tally</w:t>
      </w:r>
      <w:hyperlink r:id="rId96">
        <w:r>
          <w:rPr>
            <w:rStyle w:val="Hyperlink"/>
          </w:rPr>
          <w:t xml:space="preserve">[75]</w:t>
        </w:r>
      </w:hyperlink>
      <w:r>
        <w:t xml:space="preserve">, presumably summarizing counts (perhaps of days or months). Their presence confirms that the rongorongo script could convey</w:t>
      </w:r>
      <w:r>
        <w:t xml:space="preserve"> </w:t>
      </w:r>
      <w:r>
        <w:rPr>
          <w:b/>
          <w:bCs/>
        </w:rPr>
        <w:t xml:space="preserve">numerical or tabular information</w:t>
      </w:r>
      <w:r>
        <w:t xml:space="preserve"> </w:t>
      </w:r>
      <w:r>
        <w:t xml:space="preserve">in a systematic way. Translating them directly is tricky (they might mean something like “4 groups of 7 = 28” or similar), but the concept is clear: after listing the nights, the scribe tallied them with these symbols. Recognizing such patterns helps us consider that elsewhere on Mamari, if we see a string of repeated simple shapes, it could be a number or list count. For example, a sequence of identical glyphs in a row (like 20–20–20) might mean “three trees” or if an</w:t>
      </w:r>
      <w:r>
        <w:t xml:space="preserve"> </w:t>
      </w:r>
      <w:r>
        <w:rPr>
          <w:i/>
          <w:iCs/>
        </w:rPr>
        <w:t xml:space="preserve">enumeration marker</w:t>
      </w:r>
      <w:r>
        <w:t xml:space="preserve"> </w:t>
      </w:r>
      <w:r>
        <w:t xml:space="preserve">glyph precedes it, it could mean “item 3”. We leverage this by noting any oddly repetitive sequences and checking if the lexicon identifies those signs as numerals or counters. (Barthel did not ascribe numeric values to glyphs except suspecting the counts in Mamari’s calendar; however, some have theorized certain</w:t>
      </w:r>
      <w:r>
        <w:t xml:space="preserve"> </w:t>
      </w:r>
      <w:r>
        <w:rPr>
          <w:i/>
          <w:iCs/>
        </w:rPr>
        <w:t xml:space="preserve">dot or line</w:t>
      </w:r>
      <w:r>
        <w:t xml:space="preserve"> </w:t>
      </w:r>
      <w:r>
        <w:t xml:space="preserve">glyphs could function like the Rongorongo equivalent of tally marks.)</w:t>
      </w:r>
    </w:p>
    <w:p>
      <w:pPr>
        <w:numPr>
          <w:ilvl w:val="0"/>
          <w:numId w:val="1003"/>
        </w:numPr>
      </w:pPr>
      <w:r>
        <w:rPr>
          <w:b/>
          <w:bCs/>
        </w:rPr>
        <w:t xml:space="preserve">Structural Corrections and Scribal Practices:</w:t>
      </w:r>
      <w:r>
        <w:t xml:space="preserve"> </w:t>
      </w:r>
      <w:r>
        <w:t xml:space="preserve">Interestingly, studies of carving techniques show that scribes sometimes corrected or inserted glyphs, indicating they were concerned with the structure of the text being right</w:t>
      </w:r>
      <w:hyperlink r:id="rId97">
        <w:r>
          <w:rPr>
            <w:rStyle w:val="Hyperlink"/>
          </w:rPr>
          <w:t xml:space="preserve">[76]</w:t>
        </w:r>
      </w:hyperlink>
      <w:r>
        <w:t xml:space="preserve">. On Aruku Kurenga, for instance, a correction in lines Br4–Br5 involves re-ordering a sequence (glyph 263 was pre-incised then shifted relative to 700–001)</w:t>
      </w:r>
      <w:hyperlink r:id="rId98">
        <w:r>
          <w:rPr>
            <w:rStyle w:val="Hyperlink"/>
          </w:rPr>
          <w:t xml:space="preserve">[77]</w:t>
        </w:r>
      </w:hyperlink>
      <w:r>
        <w:t xml:space="preserve">. This suggests that even in narrative sections, maintaining the correct sequence pattern was important – perhaps to preserve meter or meaning. If Mamari had any visible corrections (none are noted in literature, but if any exist, perhaps at line breaks), it could hint which sequences were crucial to get right (likely the repeating ones). Although this is a minor point, it underscores that these texts had a</w:t>
      </w:r>
      <w:r>
        <w:t xml:space="preserve"> </w:t>
      </w:r>
      <w:r>
        <w:rPr>
          <w:b/>
          <w:bCs/>
        </w:rPr>
        <w:t xml:space="preserve">deliberate, possibly memorized structure</w:t>
      </w:r>
      <w:r>
        <w:t xml:space="preserve">, and not every combination is free-form; many follow a template.</w:t>
      </w:r>
    </w:p>
    <w:p>
      <w:pPr>
        <w:pStyle w:val="FirstParagraph"/>
      </w:pPr>
      <w:r>
        <w:t xml:space="preserve">By deeply analyzing these structural aspects in Mamari, we ensure our decipherment isn’t just guessing word meanings but also appreciating</w:t>
      </w:r>
      <w:r>
        <w:t xml:space="preserve"> </w:t>
      </w:r>
      <w:r>
        <w:rPr>
          <w:i/>
          <w:iCs/>
        </w:rPr>
        <w:t xml:space="preserve">how the text is organized.</w:t>
      </w:r>
      <w:r>
        <w:t xml:space="preserve"> </w:t>
      </w:r>
      <w:r>
        <w:t xml:space="preserve">This organization often mirrors the oral chants (with their verses and refrains) or lists (with their entries and linking words). It helps us avoid forcing an interpretation that doesn’t fit the pattern. For example, if we thought a certain glyph meant “moon” but it appears 15 times in a row, structurally that’s unlikely to be 15 moons in a meaningful sentence – more likely it’s a decorative separator or a way to indicate intensification (like “very very dark”). So far, Mamari’s structural analysis has reinforced the presence of</w:t>
      </w:r>
      <w:r>
        <w:t xml:space="preserve"> </w:t>
      </w:r>
      <w:r>
        <w:rPr>
          <w:b/>
          <w:bCs/>
        </w:rPr>
        <w:t xml:space="preserve">two distinct content types</w:t>
      </w:r>
      <w:r>
        <w:t xml:space="preserve">: a</w:t>
      </w:r>
      <w:r>
        <w:t xml:space="preserve"> </w:t>
      </w:r>
      <w:r>
        <w:rPr>
          <w:b/>
          <w:bCs/>
        </w:rPr>
        <w:t xml:space="preserve">calendrical/astronomical schema</w:t>
      </w:r>
      <w:r>
        <w:t xml:space="preserve"> </w:t>
      </w:r>
      <w:r>
        <w:t xml:space="preserve">(regular and numerical) and a</w:t>
      </w:r>
      <w:r>
        <w:t xml:space="preserve"> </w:t>
      </w:r>
      <w:r>
        <w:rPr>
          <w:b/>
          <w:bCs/>
        </w:rPr>
        <w:t xml:space="preserve">narrative schema</w:t>
      </w:r>
      <w:r>
        <w:t xml:space="preserve"> </w:t>
      </w:r>
      <w:r>
        <w:t xml:space="preserve">(repetitive but more varied, likely genealogical or mythic). We treat them differently when decoding: the calendar we decode by correlation with known month names and moon phases (as shown below), and the narrative parts we decode by aligning patterns with mythic or genealogical templates (as described above).</w:t>
      </w:r>
    </w:p>
    <w:p>
      <w:pPr>
        <w:pStyle w:val="BodyText"/>
      </w:pPr>
      <w:r>
        <w:t xml:space="preserve">In conclusion of this section, the internal evidence of Mamari’s text – glyph composition, repetition, and ordering – strongly supports the idea that the text is</w:t>
      </w:r>
      <w:r>
        <w:t xml:space="preserve"> </w:t>
      </w:r>
      <w:r>
        <w:rPr>
          <w:i/>
          <w:iCs/>
        </w:rPr>
        <w:t xml:space="preserve">formulaic rather than arbitrary</w:t>
      </w:r>
      <w:r>
        <w:t xml:space="preserve">. Repeated sequences act as</w:t>
      </w:r>
      <w:r>
        <w:t xml:space="preserve"> </w:t>
      </w:r>
      <w:r>
        <w:rPr>
          <w:b/>
          <w:bCs/>
        </w:rPr>
        <w:t xml:space="preserve">syntax</w:t>
      </w:r>
      <w:r>
        <w:t xml:space="preserve">, and glyph attachments/variations act as</w:t>
      </w:r>
      <w:r>
        <w:t xml:space="preserve"> </w:t>
      </w:r>
      <w:r>
        <w:rPr>
          <w:b/>
          <w:bCs/>
        </w:rPr>
        <w:t xml:space="preserve">morphemes</w:t>
      </w:r>
      <w:r>
        <w:t xml:space="preserve"> </w:t>
      </w:r>
      <w:r>
        <w:t xml:space="preserve">of a sort. This structural backbone gives us a guide to parsing Mamari’s “sentences” even before we pin down every glyph’s meaning. It allows us to segment the text into logical chunks: e.g.,</w:t>
      </w:r>
      <w:r>
        <w:t xml:space="preserve"> </w:t>
      </w:r>
      <w:r>
        <w:rPr>
          <w:i/>
          <w:iCs/>
        </w:rPr>
        <w:t xml:space="preserve">Herald sequence -&gt; 5 night names -&gt; herald sequence -&gt; 5 night names</w:t>
      </w:r>
      <w:r>
        <w:t xml:space="preserve">, or</w:t>
      </w:r>
      <w:r>
        <w:t xml:space="preserve"> </w:t>
      </w:r>
      <w:r>
        <w:rPr>
          <w:i/>
          <w:iCs/>
        </w:rPr>
        <w:t xml:space="preserve">Name – 76 – Name; Name – 76 – Name; ...</w:t>
      </w:r>
      <w:r>
        <w:t xml:space="preserve">, or</w:t>
      </w:r>
      <w:r>
        <w:t xml:space="preserve"> </w:t>
      </w:r>
      <w:r>
        <w:rPr>
          <w:i/>
          <w:iCs/>
        </w:rPr>
        <w:t xml:space="preserve">Deity – 76 – Object – Result; Deity – 76 – Object – Result; ...</w:t>
      </w:r>
      <w:r>
        <w:t xml:space="preserve">. Each pattern then can be tackled with lexicon meanings and cultural context to yield a tentative translation.</w:t>
      </w:r>
    </w:p>
    <w:bookmarkEnd w:id="99"/>
    <w:bookmarkEnd w:id="100"/>
    <w:bookmarkStart w:id="117" w:name="Xaad7d36efc9beeca070bff92362d564cbae22db"/>
    <w:p>
      <w:pPr>
        <w:pStyle w:val="Heading2"/>
      </w:pPr>
      <w:r>
        <w:t xml:space="preserve">Deciphering the Calendrical Sequence in Mamari</w:t>
      </w:r>
    </w:p>
    <w:p>
      <w:pPr>
        <w:pStyle w:val="FirstParagraph"/>
      </w:pPr>
      <w:r>
        <w:t xml:space="preserve">One portion of the Mamari Tablet is widely accepted as</w:t>
      </w:r>
      <w:r>
        <w:t xml:space="preserve"> </w:t>
      </w:r>
      <w:r>
        <w:rPr>
          <w:b/>
          <w:bCs/>
        </w:rPr>
        <w:t xml:space="preserve">deciphered in function</w:t>
      </w:r>
      <w:r>
        <w:t xml:space="preserve">: the lunar calendar inscribed across the end of line Ca6 through Ca8 (and into Ca9)</w:t>
      </w:r>
      <w:hyperlink r:id="rId22">
        <w:r>
          <w:rPr>
            <w:rStyle w:val="Hyperlink"/>
          </w:rPr>
          <w:t xml:space="preserve">[2]</w:t>
        </w:r>
      </w:hyperlink>
      <w:r>
        <w:t xml:space="preserve">. We leveraged this known section both as a starting point for decoding and as a proof-of-concept for our methodology. Here we summarize the calendar content and its interpretation, which also provides context for the rest of Mamari’s text and confirms some of our glyph readings.</w:t>
      </w:r>
    </w:p>
    <w:p>
      <w:pPr>
        <w:pStyle w:val="BodyText"/>
      </w:pPr>
      <w:r>
        <w:t xml:space="preserve">Thomas Barthel first identified the calendar in the 1950s, noticing a distinctive sequence of</w:t>
      </w:r>
      <w:r>
        <w:t xml:space="preserve"> </w:t>
      </w:r>
      <w:r>
        <w:rPr>
          <w:b/>
          <w:bCs/>
        </w:rPr>
        <w:t xml:space="preserve">30 glyphs with periodic structure</w:t>
      </w:r>
      <w:r>
        <w:t xml:space="preserve"> </w:t>
      </w:r>
      <w:r>
        <w:t xml:space="preserve">on side A of Mamari</w:t>
      </w:r>
      <w:hyperlink r:id="rId22">
        <w:r>
          <w:rPr>
            <w:rStyle w:val="Hyperlink"/>
          </w:rPr>
          <w:t xml:space="preserve">[2]</w:t>
        </w:r>
      </w:hyperlink>
      <w:r>
        <w:t xml:space="preserve">. Later, Guy, Fischer, and others refined the understanding of this section</w:t>
      </w:r>
      <w:hyperlink r:id="rId101">
        <w:r>
          <w:rPr>
            <w:rStyle w:val="Hyperlink"/>
          </w:rPr>
          <w:t xml:space="preserve">[78]</w:t>
        </w:r>
      </w:hyperlink>
      <w:hyperlink r:id="rId23">
        <w:r>
          <w:rPr>
            <w:rStyle w:val="Hyperlink"/>
          </w:rPr>
          <w:t xml:space="preserve">[3]</w:t>
        </w:r>
      </w:hyperlink>
      <w:r>
        <w:t xml:space="preserve">. The consensus is that this sequence represents the</w:t>
      </w:r>
      <w:r>
        <w:t xml:space="preserve"> </w:t>
      </w:r>
      <w:r>
        <w:rPr>
          <w:b/>
          <w:bCs/>
        </w:rPr>
        <w:t xml:space="preserve">traditional Rapa Nui month of 30 nights</w:t>
      </w:r>
      <w:r>
        <w:t xml:space="preserve"> </w:t>
      </w:r>
      <w:r>
        <w:t xml:space="preserve">(actually 28 named nights plus 2 intercalary nights)</w:t>
      </w:r>
      <w:hyperlink r:id="rId23">
        <w:r>
          <w:rPr>
            <w:rStyle w:val="Hyperlink"/>
          </w:rPr>
          <w:t xml:space="preserve">[79]</w:t>
        </w:r>
      </w:hyperlink>
      <w:hyperlink r:id="rId102">
        <w:r>
          <w:rPr>
            <w:rStyle w:val="Hyperlink"/>
          </w:rPr>
          <w:t xml:space="preserve">[80]</w:t>
        </w:r>
      </w:hyperlink>
      <w:r>
        <w:t xml:space="preserve">. Thomson’s ethnographic record of Rapa Nui month names (collected in 1886) was key: he documented 13 month names and the names of nights of the lunar month</w:t>
      </w:r>
      <w:hyperlink r:id="rId103">
        <w:r>
          <w:rPr>
            <w:rStyle w:val="Hyperlink"/>
          </w:rPr>
          <w:t xml:space="preserve">[81]</w:t>
        </w:r>
      </w:hyperlink>
      <w:r>
        <w:t xml:space="preserve">. When comparing Thomson’s list of night names with Mamari’s sequence of glyphs, scholars found a convincing match</w:t>
      </w:r>
      <w:hyperlink r:id="rId23">
        <w:r>
          <w:rPr>
            <w:rStyle w:val="Hyperlink"/>
          </w:rPr>
          <w:t xml:space="preserve">[79]</w:t>
        </w:r>
      </w:hyperlink>
      <w:hyperlink r:id="rId104">
        <w:r>
          <w:rPr>
            <w:rStyle w:val="Hyperlink"/>
          </w:rPr>
          <w:t xml:space="preserve">[82]</w:t>
        </w:r>
      </w:hyperlink>
      <w:r>
        <w:t xml:space="preserve">. For example, Thomson noted nights named</w:t>
      </w:r>
      <w:r>
        <w:t xml:space="preserve"> </w:t>
      </w:r>
      <w:r>
        <w:rPr>
          <w:i/>
          <w:iCs/>
        </w:rPr>
        <w:t xml:space="preserve">Ata</w:t>
      </w:r>
      <w:r>
        <w:t xml:space="preserve">,</w:t>
      </w:r>
      <w:r>
        <w:t xml:space="preserve"> </w:t>
      </w:r>
      <w:r>
        <w:rPr>
          <w:i/>
          <w:iCs/>
        </w:rPr>
        <w:t xml:space="preserve">Hiro</w:t>
      </w:r>
      <w:r>
        <w:t xml:space="preserve">,</w:t>
      </w:r>
      <w:r>
        <w:t xml:space="preserve"> </w:t>
      </w:r>
      <w:r>
        <w:rPr>
          <w:i/>
          <w:iCs/>
        </w:rPr>
        <w:t xml:space="preserve">Kokore 1-6</w:t>
      </w:r>
      <w:r>
        <w:t xml:space="preserve">,</w:t>
      </w:r>
      <w:r>
        <w:t xml:space="preserve"> </w:t>
      </w:r>
      <w:r>
        <w:rPr>
          <w:i/>
          <w:iCs/>
        </w:rPr>
        <w:t xml:space="preserve">Māuru</w:t>
      </w:r>
      <w:r>
        <w:t xml:space="preserve">,</w:t>
      </w:r>
      <w:r>
        <w:t xml:space="preserve"> </w:t>
      </w:r>
      <w:r>
        <w:rPr>
          <w:i/>
          <w:iCs/>
        </w:rPr>
        <w:t xml:space="preserve">Maure</w:t>
      </w:r>
      <w:r>
        <w:t xml:space="preserve">,</w:t>
      </w:r>
      <w:r>
        <w:t xml:space="preserve"> </w:t>
      </w:r>
      <w:r>
        <w:rPr>
          <w:i/>
          <w:iCs/>
        </w:rPr>
        <w:t xml:space="preserve">Rongo</w:t>
      </w:r>
      <w:r>
        <w:t xml:space="preserve">,</w:t>
      </w:r>
      <w:r>
        <w:t xml:space="preserve"> </w:t>
      </w:r>
      <w:r>
        <w:rPr>
          <w:i/>
          <w:iCs/>
        </w:rPr>
        <w:t xml:space="preserve">Mutu</w:t>
      </w:r>
      <w:r>
        <w:t xml:space="preserve">, etc., which correspond in order to the sequence of crescents and accompanying signs on Mamari</w:t>
      </w:r>
      <w:hyperlink r:id="rId105">
        <w:r>
          <w:rPr>
            <w:rStyle w:val="Hyperlink"/>
          </w:rPr>
          <w:t xml:space="preserve">[83]</w:t>
        </w:r>
      </w:hyperlink>
      <w:hyperlink r:id="rId106">
        <w:r>
          <w:rPr>
            <w:rStyle w:val="Hyperlink"/>
          </w:rPr>
          <w:t xml:space="preserve">[84]</w:t>
        </w:r>
      </w:hyperlink>
      <w:r>
        <w:t xml:space="preserve">. The clincher was that Thomson’s list included an extra month (Kotuti) implying a lunisolar calendar with occasional 13th months</w:t>
      </w:r>
      <w:hyperlink r:id="rId103">
        <w:r>
          <w:rPr>
            <w:rStyle w:val="Hyperlink"/>
          </w:rPr>
          <w:t xml:space="preserve">[81]</w:t>
        </w:r>
      </w:hyperlink>
      <w:r>
        <w:t xml:space="preserve">, and Mamari’s calendar sequence includes exactly</w:t>
      </w:r>
      <w:r>
        <w:t xml:space="preserve"> </w:t>
      </w:r>
      <w:r>
        <w:rPr>
          <w:b/>
          <w:bCs/>
        </w:rPr>
        <w:t xml:space="preserve">two extra crescents (intercalary nights)</w:t>
      </w:r>
      <w:r>
        <w:t xml:space="preserve"> </w:t>
      </w:r>
      <w:r>
        <w:t xml:space="preserve">beyond the basic 28</w:t>
      </w:r>
      <w:hyperlink r:id="rId23">
        <w:r>
          <w:rPr>
            <w:rStyle w:val="Hyperlink"/>
          </w:rPr>
          <w:t xml:space="preserve">[79]</w:t>
        </w:r>
      </w:hyperlink>
      <w:hyperlink r:id="rId107">
        <w:r>
          <w:rPr>
            <w:rStyle w:val="Hyperlink"/>
          </w:rPr>
          <w:t xml:space="preserve">[85]</w:t>
        </w:r>
      </w:hyperlink>
      <w:r>
        <w:t xml:space="preserve">. Guy showed that Thomson’s 1886 observations aligned with a year where such intercalation occurred, validating that the Mamari calendar encodes the rule for when to insert the extra nights</w:t>
      </w:r>
      <w:hyperlink r:id="rId108">
        <w:r>
          <w:rPr>
            <w:rStyle w:val="Hyperlink"/>
          </w:rPr>
          <w:t xml:space="preserve">[86]</w:t>
        </w:r>
      </w:hyperlink>
      <w:hyperlink r:id="rId101">
        <w:r>
          <w:rPr>
            <w:rStyle w:val="Hyperlink"/>
          </w:rPr>
          <w:t xml:space="preserve">[87]</w:t>
        </w:r>
      </w:hyperlink>
      <w:r>
        <w:t xml:space="preserve">.</w:t>
      </w:r>
    </w:p>
    <w:p>
      <w:pPr>
        <w:pStyle w:val="BodyText"/>
      </w:pPr>
      <w:r>
        <w:t xml:space="preserve">In Mamari’s calendar, the</w:t>
      </w:r>
      <w:r>
        <w:t xml:space="preserve"> </w:t>
      </w:r>
      <w:r>
        <w:rPr>
          <w:b/>
          <w:bCs/>
        </w:rPr>
        <w:t xml:space="preserve">glyph for the full moon</w:t>
      </w:r>
      <w:r>
        <w:t xml:space="preserve"> </w:t>
      </w:r>
      <w:r>
        <w:t xml:space="preserve">is central. This is depicted as a unique anthropomorphic glyph (Barthel #152) identified as</w:t>
      </w:r>
      <w:r>
        <w:t xml:space="preserve"> </w:t>
      </w:r>
      <w:r>
        <w:rPr>
          <w:i/>
          <w:iCs/>
        </w:rPr>
        <w:t xml:space="preserve">“te nuahine kã ‘umu ‘a rangi kotekote”</w:t>
      </w:r>
      <w:r>
        <w:t xml:space="preserve"> </w:t>
      </w:r>
      <w:r>
        <w:t xml:space="preserve">– the</w:t>
      </w:r>
      <w:r>
        <w:t xml:space="preserve"> </w:t>
      </w:r>
      <w:r>
        <w:rPr>
          <w:b/>
          <w:bCs/>
        </w:rPr>
        <w:t xml:space="preserve">Old Woman Lighting the Oven in the Sky</w:t>
      </w:r>
      <w:r>
        <w:t xml:space="preserve">, which is a local metaphor for the full moon</w:t>
      </w:r>
      <w:hyperlink r:id="rId23">
        <w:r>
          <w:rPr>
            <w:rStyle w:val="Hyperlink"/>
          </w:rPr>
          <w:t xml:space="preserve">[79]</w:t>
        </w:r>
      </w:hyperlink>
      <w:hyperlink r:id="rId102">
        <w:r>
          <w:rPr>
            <w:rStyle w:val="Hyperlink"/>
          </w:rPr>
          <w:t xml:space="preserve">[80]</w:t>
        </w:r>
      </w:hyperlink>
      <w:r>
        <w:t xml:space="preserve">. Our lexicon confirms glyph</w:t>
      </w:r>
      <w:r>
        <w:t xml:space="preserve"> </w:t>
      </w:r>
      <w:r>
        <w:rPr>
          <w:i/>
          <w:iCs/>
        </w:rPr>
        <w:t xml:space="preserve">152</w:t>
      </w:r>
      <w:r>
        <w:t xml:space="preserve"> </w:t>
      </w:r>
      <w:r>
        <w:t xml:space="preserve">as</w:t>
      </w:r>
      <w:r>
        <w:t xml:space="preserve"> </w:t>
      </w:r>
      <w:r>
        <w:rPr>
          <w:i/>
          <w:iCs/>
        </w:rPr>
        <w:t xml:space="preserve">“full moon / complete / whole”</w:t>
      </w:r>
      <w:r>
        <w:t xml:space="preserve"> </w:t>
      </w:r>
      <w:r>
        <w:t xml:space="preserve">with very high confidence</w:t>
      </w:r>
      <w:hyperlink r:id="rId27">
        <w:r>
          <w:rPr>
            <w:rStyle w:val="Hyperlink"/>
          </w:rPr>
          <w:t xml:space="preserve">[6]</w:t>
        </w:r>
      </w:hyperlink>
      <w:r>
        <w:t xml:space="preserve">. On the tablet, this glyph appears at the midpoint of the sequence, dividing the waxing half from the waning half of the month. To the left of it (earlier in the line) are roughly 14 crescent-shaped glyphs increasing in size, and to the right are another 14 decreasing – corresponding to the moon’s waxing and waning phases. The</w:t>
      </w:r>
      <w:r>
        <w:t xml:space="preserve"> </w:t>
      </w:r>
      <w:r>
        <w:rPr>
          <w:b/>
          <w:bCs/>
        </w:rPr>
        <w:t xml:space="preserve">crescents (glyph 10)</w:t>
      </w:r>
      <w:r>
        <w:t xml:space="preserve"> </w:t>
      </w:r>
      <w:r>
        <w:t xml:space="preserve">themselves are repeated and count the nights. Seven of these crescents have</w:t>
      </w:r>
      <w:r>
        <w:t xml:space="preserve"> </w:t>
      </w:r>
      <w:r>
        <w:rPr>
          <w:b/>
          <w:bCs/>
        </w:rPr>
        <w:t xml:space="preserve">auxiliary glyphs</w:t>
      </w:r>
      <w:r>
        <w:t xml:space="preserve"> </w:t>
      </w:r>
      <w:r>
        <w:t xml:space="preserve">next to them (colored green in some analyses) which presumably encode the names of specific nights</w:t>
      </w:r>
      <w:hyperlink r:id="rId93">
        <w:r>
          <w:rPr>
            <w:rStyle w:val="Hyperlink"/>
          </w:rPr>
          <w:t xml:space="preserve">[71]</w:t>
        </w:r>
      </w:hyperlink>
      <w:r>
        <w:t xml:space="preserve">. The others (especially the cluster of 6 and 5 crescents in a row with no adjunct glyphs) correspond to the generic</w:t>
      </w:r>
      <w:r>
        <w:t xml:space="preserve"> </w:t>
      </w:r>
      <w:r>
        <w:rPr>
          <w:i/>
          <w:iCs/>
        </w:rPr>
        <w:t xml:space="preserve">kokore</w:t>
      </w:r>
      <w:r>
        <w:t xml:space="preserve"> </w:t>
      </w:r>
      <w:r>
        <w:t xml:space="preserve">nights that were just numbered in Rapa Nui (Kokore 1 through Kokore 6, etc., which had no unique name)</w:t>
      </w:r>
      <w:hyperlink r:id="rId109">
        <w:r>
          <w:rPr>
            <w:rStyle w:val="Hyperlink"/>
          </w:rPr>
          <w:t xml:space="preserve">[88]</w:t>
        </w:r>
      </w:hyperlink>
      <w:r>
        <w:t xml:space="preserve">. This is a beautiful illustration of partial phonetic encoding: for certain night names, the scribe included a hint glyph – likely a rebus or a syllable. Guy even attempted to match some of those adjunct glyphs to parts of the night names (for example, a glyph that could read “hua” next to the 10th night which is called</w:t>
      </w:r>
      <w:r>
        <w:t xml:space="preserve"> </w:t>
      </w:r>
      <w:r>
        <w:rPr>
          <w:i/>
          <w:iCs/>
        </w:rPr>
        <w:t xml:space="preserve">Hua</w:t>
      </w:r>
      <w:r>
        <w:t xml:space="preserve">, and one that could read “ma” near</w:t>
      </w:r>
      <w:r>
        <w:t xml:space="preserve"> </w:t>
      </w:r>
      <w:r>
        <w:rPr>
          <w:i/>
          <w:iCs/>
        </w:rPr>
        <w:t xml:space="preserve">Maure</w:t>
      </w:r>
      <w:r>
        <w:t xml:space="preserve">)</w:t>
      </w:r>
      <w:hyperlink r:id="rId93">
        <w:r>
          <w:rPr>
            <w:rStyle w:val="Hyperlink"/>
          </w:rPr>
          <w:t xml:space="preserve">[71]</w:t>
        </w:r>
      </w:hyperlink>
      <w:r>
        <w:t xml:space="preserve">. Our lexicon aligns with this: glyph</w:t>
      </w:r>
      <w:r>
        <w:t xml:space="preserve"> </w:t>
      </w:r>
      <w:r>
        <w:rPr>
          <w:i/>
          <w:iCs/>
        </w:rPr>
        <w:t xml:space="preserve">10</w:t>
      </w:r>
      <w:r>
        <w:t xml:space="preserve"> </w:t>
      </w:r>
      <w:r>
        <w:t xml:space="preserve">is</w:t>
      </w:r>
      <w:r>
        <w:t xml:space="preserve"> </w:t>
      </w:r>
      <w:r>
        <w:rPr>
          <w:i/>
          <w:iCs/>
        </w:rPr>
        <w:t xml:space="preserve">māhina (moon)</w:t>
      </w:r>
      <w:hyperlink r:id="rId71">
        <w:r>
          <w:rPr>
            <w:rStyle w:val="Hyperlink"/>
          </w:rPr>
          <w:t xml:space="preserve">[51]</w:t>
        </w:r>
      </w:hyperlink>
      <w:r>
        <w:t xml:space="preserve">, glyph</w:t>
      </w:r>
      <w:r>
        <w:t xml:space="preserve"> </w:t>
      </w:r>
      <w:r>
        <w:rPr>
          <w:i/>
          <w:iCs/>
        </w:rPr>
        <w:t xml:space="preserve">8</w:t>
      </w:r>
      <w:r>
        <w:t xml:space="preserve"> </w:t>
      </w:r>
      <w:r>
        <w:t xml:space="preserve">(sun) appears at the end perhaps to mark day transition, glyph</w:t>
      </w:r>
      <w:r>
        <w:t xml:space="preserve"> </w:t>
      </w:r>
      <w:r>
        <w:rPr>
          <w:i/>
          <w:iCs/>
        </w:rPr>
        <w:t xml:space="preserve">40</w:t>
      </w:r>
      <w:r>
        <w:t xml:space="preserve"> </w:t>
      </w:r>
      <w:r>
        <w:t xml:space="preserve">(water/</w:t>
      </w:r>
      <w:r>
        <w:rPr>
          <w:i/>
          <w:iCs/>
        </w:rPr>
        <w:t xml:space="preserve">vai</w:t>
      </w:r>
      <w:r>
        <w:t xml:space="preserve">) is notably absent in the calendar since it’s about nights, and other glyphs like</w:t>
      </w:r>
      <w:r>
        <w:t xml:space="preserve"> </w:t>
      </w:r>
      <w:r>
        <w:rPr>
          <w:i/>
          <w:iCs/>
        </w:rPr>
        <w:t xml:space="preserve">41</w:t>
      </w:r>
      <w:r>
        <w:t xml:space="preserve"> </w:t>
      </w:r>
      <w:r>
        <w:t xml:space="preserve">(often considered variant of 40) never mark counts</w:t>
      </w:r>
      <w:hyperlink r:id="rId110">
        <w:r>
          <w:rPr>
            <w:rStyle w:val="Hyperlink"/>
          </w:rPr>
          <w:t xml:space="preserve">[89]</w:t>
        </w:r>
      </w:hyperlink>
      <w:r>
        <w:t xml:space="preserve">, consistent with the observation that</w:t>
      </w:r>
      <w:r>
        <w:t xml:space="preserve"> </w:t>
      </w:r>
      <w:r>
        <w:rPr>
          <w:b/>
          <w:bCs/>
        </w:rPr>
        <w:t xml:space="preserve">glyph 40 denotes a counted night</w:t>
      </w:r>
      <w:r>
        <w:t xml:space="preserve"> </w:t>
      </w:r>
      <w:r>
        <w:t xml:space="preserve">but glyph 41 does not in Mamari’s calendar</w:t>
      </w:r>
      <w:hyperlink r:id="rId110">
        <w:r>
          <w:rPr>
            <w:rStyle w:val="Hyperlink"/>
          </w:rPr>
          <w:t xml:space="preserve">[89]</w:t>
        </w:r>
      </w:hyperlink>
      <w:r>
        <w:t xml:space="preserve">. This indicates an internal consistency: one form was chosen to mark counts (like saying “this is night X”), and another similar form was used differently, perhaps linguistically (the nuance is deep but underscores the methodical nature of the inscription).</w:t>
      </w:r>
    </w:p>
    <w:p>
      <w:pPr>
        <w:pStyle w:val="BodyText"/>
      </w:pPr>
      <w:r>
        <w:t xml:space="preserve">The</w:t>
      </w:r>
      <w:r>
        <w:t xml:space="preserve"> </w:t>
      </w:r>
      <w:r>
        <w:rPr>
          <w:b/>
          <w:bCs/>
        </w:rPr>
        <w:t xml:space="preserve">heralding sequence</w:t>
      </w:r>
      <w:r>
        <w:t xml:space="preserve"> </w:t>
      </w:r>
      <w:r>
        <w:t xml:space="preserve">in the calendar, mentioned earlier, is a key structural element: it’s a</w:t>
      </w:r>
      <w:r>
        <w:t xml:space="preserve"> </w:t>
      </w:r>
      <w:r>
        <w:rPr>
          <w:b/>
          <w:bCs/>
        </w:rPr>
        <w:t xml:space="preserve">four-glyph sequence that repeats at eight points</w:t>
      </w:r>
      <w:r>
        <w:t xml:space="preserve"> </w:t>
      </w:r>
      <w:r>
        <w:t xml:space="preserve">– specifically before nights 1, 9, 15, 23 (the start of each quarter and the intercalary segment) and after the full moon to similarly mark those divisions</w:t>
      </w:r>
      <w:hyperlink r:id="rId95">
        <w:r>
          <w:rPr>
            <w:rStyle w:val="Hyperlink"/>
          </w:rPr>
          <w:t xml:space="preserve">[73]</w:t>
        </w:r>
      </w:hyperlink>
      <w:r>
        <w:t xml:space="preserve">. This sequence includes two small crescent glyphs (often interpreted as signaling “observe the moon now”) and ends with a fish glyph on a line (probably glyph 700 on a baseline)</w:t>
      </w:r>
      <w:hyperlink r:id="rId95">
        <w:r>
          <w:rPr>
            <w:rStyle w:val="Hyperlink"/>
          </w:rPr>
          <w:t xml:space="preserve">[73]</w:t>
        </w:r>
      </w:hyperlink>
      <w:r>
        <w:t xml:space="preserve">. The fish glyph being</w:t>
      </w:r>
      <w:r>
        <w:t xml:space="preserve"> </w:t>
      </w:r>
      <w:r>
        <w:rPr>
          <w:b/>
          <w:bCs/>
        </w:rPr>
        <w:t xml:space="preserve">upright in the first four heralds and inverted in the last four</w:t>
      </w:r>
      <w:r>
        <w:t xml:space="preserve"> </w:t>
      </w:r>
      <w:r>
        <w:t xml:space="preserve">cleverly indicates whether it’s the waxing or waning side</w:t>
      </w:r>
      <w:hyperlink r:id="rId95">
        <w:r>
          <w:rPr>
            <w:rStyle w:val="Hyperlink"/>
          </w:rPr>
          <w:t xml:space="preserve">[73]</w:t>
        </w:r>
      </w:hyperlink>
      <w:r>
        <w:t xml:space="preserve">. The heralding sequence likely served as a mnemonic phrase in a chant – something like “on the coming of [waxing/waning] days…”. In fact, it might correspond to a phrase like</w:t>
      </w:r>
      <w:r>
        <w:t xml:space="preserve"> </w:t>
      </w:r>
      <w:r>
        <w:rPr>
          <w:i/>
          <w:iCs/>
        </w:rPr>
        <w:t xml:space="preserve">“Kapu te ùka”</w:t>
      </w:r>
      <w:r>
        <w:t xml:space="preserve"> </w:t>
      </w:r>
      <w:r>
        <w:t xml:space="preserve">(just an imaginative guess to fit fish imagery) or some ritual words. Regardless, from a decipherment perspective, the herald sequence provides context around the full moon and the two intercalary nights (which are represented by an</w:t>
      </w:r>
      <w:r>
        <w:t xml:space="preserve"> </w:t>
      </w:r>
      <w:r>
        <w:rPr>
          <w:b/>
          <w:bCs/>
        </w:rPr>
        <w:t xml:space="preserve">“expanded” herald at the very end</w:t>
      </w:r>
      <w:r>
        <w:t xml:space="preserve"> </w:t>
      </w:r>
      <w:r>
        <w:t xml:space="preserve">containing extra glyphs to say “hold these in reserve”)</w:t>
      </w:r>
      <w:hyperlink r:id="rId111">
        <w:r>
          <w:rPr>
            <w:rStyle w:val="Hyperlink"/>
          </w:rPr>
          <w:t xml:space="preserve">[90]</w:t>
        </w:r>
      </w:hyperlink>
      <w:r>
        <w:t xml:space="preserve">. The presence of clear logical markers like this gave us confidence in interpreting other parts of Mamari: if scribes used pictorial cues for waxing/waning, they might have used similar cues in mythic sequences (e.g., perhaps flipping a glyph to indicate a transformation or death). We therefore remain alert to any consistent flip or mirror of glyphs outside the calendar too.</w:t>
      </w:r>
    </w:p>
    <w:p>
      <w:pPr>
        <w:pStyle w:val="BodyText"/>
      </w:pPr>
      <w:r>
        <w:t xml:space="preserve">By decoding the calendar, we also</w:t>
      </w:r>
      <w:r>
        <w:t xml:space="preserve"> </w:t>
      </w:r>
      <w:r>
        <w:rPr>
          <w:b/>
          <w:bCs/>
        </w:rPr>
        <w:t xml:space="preserve">validated many lexicon entries</w:t>
      </w:r>
      <w:r>
        <w:t xml:space="preserve">: e.g., glyph</w:t>
      </w:r>
      <w:r>
        <w:t xml:space="preserve"> </w:t>
      </w:r>
      <w:r>
        <w:rPr>
          <w:i/>
          <w:iCs/>
        </w:rPr>
        <w:t xml:space="preserve">1</w:t>
      </w:r>
      <w:r>
        <w:t xml:space="preserve"> </w:t>
      </w:r>
      <w:r>
        <w:t xml:space="preserve">(human figure) appears in the calendar’s herald sequence, possibly as part of a phrase (Metoro read a portion of the Mamari calendar as “te tagata i te marama” – “the man in the moon”</w:t>
      </w:r>
      <w:hyperlink r:id="rId112">
        <w:r>
          <w:rPr>
            <w:rStyle w:val="Hyperlink"/>
          </w:rPr>
          <w:t xml:space="preserve">[91]</w:t>
        </w:r>
      </w:hyperlink>
      <w:r>
        <w:t xml:space="preserve">, seeing a person glyph and a moon glyph together, which aligns with the old woman in the moon legend). The lexicon’s listing for glyph 1 is</w:t>
      </w:r>
      <w:r>
        <w:t xml:space="preserve"> </w:t>
      </w:r>
      <w:r>
        <w:rPr>
          <w:i/>
          <w:iCs/>
        </w:rPr>
        <w:t xml:space="preserve">“tangata (person)”</w:t>
      </w:r>
      <w:r>
        <w:t xml:space="preserve">, appearing in genealogical contexts</w:t>
      </w:r>
      <w:hyperlink r:id="rId113">
        <w:r>
          <w:rPr>
            <w:rStyle w:val="Hyperlink"/>
          </w:rPr>
          <w:t xml:space="preserve">[92]</w:t>
        </w:r>
      </w:hyperlink>
      <w:r>
        <w:t xml:space="preserve">, which fits how a person glyph might be used symbolically in the calendar myth (the “man in the moon” or representing the moon’s personification). Also, we confirmed the use of</w:t>
      </w:r>
      <w:r>
        <w:t xml:space="preserve"> </w:t>
      </w:r>
      <w:r>
        <w:rPr>
          <w:b/>
          <w:bCs/>
        </w:rPr>
        <w:t xml:space="preserve">glyph 6 (hand)</w:t>
      </w:r>
      <w:r>
        <w:t xml:space="preserve"> </w:t>
      </w:r>
      <w:r>
        <w:t xml:space="preserve">in a counting or plural sense: in the calendar’s final “accounting sets,” sequences of repeated lozenge shapes (glyph 2 variants) often have small ticks or hands to indicate units</w:t>
      </w:r>
      <w:hyperlink r:id="rId96">
        <w:r>
          <w:rPr>
            <w:rStyle w:val="Hyperlink"/>
          </w:rPr>
          <w:t xml:space="preserve">[75]</w:t>
        </w:r>
      </w:hyperlink>
      <w:r>
        <w:t xml:space="preserve">. This echoes how we think glyph 6 pluralizes</w:t>
      </w:r>
      <w:r>
        <w:t xml:space="preserve"> </w:t>
      </w:r>
      <w:r>
        <w:rPr>
          <w:i/>
          <w:iCs/>
        </w:rPr>
        <w:t xml:space="preserve">birds</w:t>
      </w:r>
      <w:r>
        <w:t xml:space="preserve"> </w:t>
      </w:r>
      <w:r>
        <w:t xml:space="preserve">to</w:t>
      </w:r>
      <w:r>
        <w:t xml:space="preserve"> </w:t>
      </w:r>
      <w:r>
        <w:rPr>
          <w:i/>
          <w:iCs/>
        </w:rPr>
        <w:t xml:space="preserve">all birds</w:t>
      </w:r>
      <w:r>
        <w:t xml:space="preserve"> </w:t>
      </w:r>
      <w:r>
        <w:t xml:space="preserve">as discussed. So the calendar served as a controlled environment to</w:t>
      </w:r>
      <w:r>
        <w:t xml:space="preserve"> </w:t>
      </w:r>
      <w:r>
        <w:rPr>
          <w:b/>
          <w:bCs/>
        </w:rPr>
        <w:t xml:space="preserve">observe glyph behavior</w:t>
      </w:r>
      <w:r>
        <w:t xml:space="preserve"> </w:t>
      </w:r>
      <w:r>
        <w:t xml:space="preserve">under a known meaning, which we then extrapolate to freer text.</w:t>
      </w:r>
    </w:p>
    <w:p>
      <w:pPr>
        <w:pStyle w:val="BodyText"/>
      </w:pPr>
      <w:r>
        <w:t xml:space="preserve">In conclusion, the Mamari lunar calendar stands as a</w:t>
      </w:r>
      <w:r>
        <w:t xml:space="preserve"> </w:t>
      </w:r>
      <w:r>
        <w:rPr>
          <w:b/>
          <w:bCs/>
        </w:rPr>
        <w:t xml:space="preserve">success story of rongorongo decipherment</w:t>
      </w:r>
      <w:r>
        <w:t xml:space="preserve"> </w:t>
      </w:r>
      <w:r>
        <w:t xml:space="preserve">– it’s the only portion where scholars broadly agree on the meaning and purpose</w:t>
      </w:r>
      <w:hyperlink r:id="rId114">
        <w:r>
          <w:rPr>
            <w:rStyle w:val="Hyperlink"/>
          </w:rPr>
          <w:t xml:space="preserve">[93]</w:t>
        </w:r>
      </w:hyperlink>
      <w:hyperlink r:id="rId115">
        <w:r>
          <w:rPr>
            <w:rStyle w:val="Hyperlink"/>
          </w:rPr>
          <w:t xml:space="preserve">[94]</w:t>
        </w:r>
      </w:hyperlink>
      <w:r>
        <w:t xml:space="preserve">. We included it in our analysis not only to ensure completeness (Mamari’s full decipherment must include its calendrical content), but also to use it as a Rosetta Stone for glyph values. The calendar’s decipherment confirmed numerous glyph meanings:</w:t>
      </w:r>
      <w:r>
        <w:t xml:space="preserve"> </w:t>
      </w:r>
      <w:r>
        <w:rPr>
          <w:i/>
          <w:iCs/>
        </w:rPr>
        <w:t xml:space="preserve">moon (10)</w:t>
      </w:r>
      <w:r>
        <w:t xml:space="preserve">,</w:t>
      </w:r>
      <w:r>
        <w:t xml:space="preserve"> </w:t>
      </w:r>
      <w:r>
        <w:rPr>
          <w:i/>
          <w:iCs/>
        </w:rPr>
        <w:t xml:space="preserve">full moon (152)</w:t>
      </w:r>
      <w:r>
        <w:t xml:space="preserve">,</w:t>
      </w:r>
      <w:r>
        <w:t xml:space="preserve"> </w:t>
      </w:r>
      <w:r>
        <w:rPr>
          <w:i/>
          <w:iCs/>
        </w:rPr>
        <w:t xml:space="preserve">dark/new moon (likely glyph 156 as a dark circle)</w:t>
      </w:r>
      <w:hyperlink r:id="rId116">
        <w:r>
          <w:rPr>
            <w:rStyle w:val="Hyperlink"/>
          </w:rPr>
          <w:t xml:space="preserve">[95]</w:t>
        </w:r>
      </w:hyperlink>
      <w:r>
        <w:t xml:space="preserve">,</w:t>
      </w:r>
      <w:r>
        <w:t xml:space="preserve"> </w:t>
      </w:r>
      <w:r>
        <w:rPr>
          <w:i/>
          <w:iCs/>
        </w:rPr>
        <w:t xml:space="preserve">intercalary sign (perhaps the special herald with inverted bird)</w:t>
      </w:r>
      <w:r>
        <w:t xml:space="preserve">, etc. We cite this as a proof that</w:t>
      </w:r>
      <w:r>
        <w:t xml:space="preserve"> </w:t>
      </w:r>
      <w:r>
        <w:rPr>
          <w:b/>
          <w:bCs/>
        </w:rPr>
        <w:t xml:space="preserve">the multi-method approach works</w:t>
      </w:r>
      <w:r>
        <w:t xml:space="preserve">: combining ethnographic records (Thomson’s list), internal pattern analysis (repetition and structure), lexicon clues (crescent = moon, etc.), and cross-cultural myth (the man in the moon) led to a convincing interpretation</w:t>
      </w:r>
      <w:hyperlink r:id="rId103">
        <w:r>
          <w:rPr>
            <w:rStyle w:val="Hyperlink"/>
          </w:rPr>
          <w:t xml:space="preserve">[81]</w:t>
        </w:r>
      </w:hyperlink>
      <w:hyperlink r:id="rId23">
        <w:r>
          <w:rPr>
            <w:rStyle w:val="Hyperlink"/>
          </w:rPr>
          <w:t xml:space="preserve">[79]</w:t>
        </w:r>
      </w:hyperlink>
      <w:r>
        <w:t xml:space="preserve">. We apply the same strategy to the rest of Mamari: find a pattern, connect it with Rapa Nui cultural data (myths or names), verify with glyph shapes and comparisons, and iterate.</w:t>
      </w:r>
    </w:p>
    <w:p>
      <w:pPr>
        <w:pStyle w:val="BodyText"/>
      </w:pPr>
      <w:r>
        <w:t xml:space="preserve">With the calendar portion decoded, any further decipherment of Mamari’s narrative parts can also leverage chronological references. For example, if a genealogical sequence is adjacent to the calendar, perhaps it’s placing mythical or ancestral events in time (e.g., just after the “lunar rules” are given, maybe a story of how the first king learned the calendar is narrated). While speculative, it shows how understanding one part of the tablet contextualizes the rest. The calendar might represent a</w:t>
      </w:r>
      <w:r>
        <w:t xml:space="preserve"> </w:t>
      </w:r>
      <w:r>
        <w:rPr>
          <w:i/>
          <w:iCs/>
        </w:rPr>
        <w:t xml:space="preserve">knowledge system (astronomy)</w:t>
      </w:r>
      <w:r>
        <w:t xml:space="preserve"> </w:t>
      </w:r>
      <w:r>
        <w:t xml:space="preserve">portion, whereas the genealogies/myths represent a</w:t>
      </w:r>
      <w:r>
        <w:t xml:space="preserve"> </w:t>
      </w:r>
      <w:r>
        <w:rPr>
          <w:i/>
          <w:iCs/>
        </w:rPr>
        <w:t xml:space="preserve">historical or religious</w:t>
      </w:r>
      <w:r>
        <w:t xml:space="preserve"> </w:t>
      </w:r>
      <w:r>
        <w:t xml:space="preserve">portion, together composing a kind of compendium of important knowledge for an elite literate priest. Recognizing this layered structure in Mamari helps decide which interpretative lens to use on each part: scientific for the calendar, mythico-genealogical for the rest. We keep these portions in mind as distinct but complementary chapters of the text.</w:t>
      </w:r>
    </w:p>
    <w:bookmarkEnd w:id="117"/>
    <w:bookmarkStart w:id="122" w:name="X8fa02c7c206e8c210609d35f66cb785a04e2ec6"/>
    <w:p>
      <w:pPr>
        <w:pStyle w:val="Heading2"/>
      </w:pPr>
      <w:r>
        <w:t xml:space="preserve">Implications for the Rongorongo Corpus and Ongoing Decipherment</w:t>
      </w:r>
    </w:p>
    <w:p>
      <w:pPr>
        <w:pStyle w:val="FirstParagraph"/>
      </w:pPr>
      <w:r>
        <w:t xml:space="preserve">The continuing decipherment of the Mamari Tablet using the above methods not only sheds light on this specific text, but also has</w:t>
      </w:r>
      <w:r>
        <w:t xml:space="preserve"> </w:t>
      </w:r>
      <w:r>
        <w:rPr>
          <w:b/>
          <w:bCs/>
        </w:rPr>
        <w:t xml:space="preserve">broader implications for understanding the entire rongorongo corpus</w:t>
      </w:r>
      <w:r>
        <w:t xml:space="preserve">. Our findings so far suggest:</w:t>
      </w:r>
    </w:p>
    <w:p>
      <w:pPr>
        <w:numPr>
          <w:ilvl w:val="0"/>
          <w:numId w:val="1004"/>
        </w:numPr>
      </w:pPr>
      <w:r>
        <w:rPr>
          <w:b/>
          <w:bCs/>
        </w:rPr>
        <w:t xml:space="preserve">Rongorongo is Context-Rich but Formula-Driven:</w:t>
      </w:r>
      <w:r>
        <w:t xml:space="preserve"> </w:t>
      </w:r>
      <w:r>
        <w:t xml:space="preserve">Mamari exemplifies how rongorongo inscriptions likely encode information through repeated formulae and symbolic shorthand rather than straightforward prose. This means decipherment relies on identifying those formulaic sub-units (like genealogical links, mythic couplings, or calendrical counts) and understanding their context. The fact that we can recognize a lunar calendar and a procreation chant structure indicates that</w:t>
      </w:r>
      <w:r>
        <w:t xml:space="preserve"> </w:t>
      </w:r>
      <w:r>
        <w:rPr>
          <w:b/>
          <w:bCs/>
        </w:rPr>
        <w:t xml:space="preserve">rongorongo was used to record high-level concepts in a mnemonic way</w:t>
      </w:r>
      <w:hyperlink r:id="rId60">
        <w:r>
          <w:rPr>
            <w:rStyle w:val="Hyperlink"/>
          </w:rPr>
          <w:t xml:space="preserve">[39]</w:t>
        </w:r>
      </w:hyperlink>
      <w:r>
        <w:t xml:space="preserve">. It wasn’t a simple phonetic transcription of speech, but rather a clever system of prompts for someone already knowledgeable in the lore. This aligns with the view that rongorongo was a</w:t>
      </w:r>
      <w:r>
        <w:t xml:space="preserve"> </w:t>
      </w:r>
      <w:r>
        <w:rPr>
          <w:b/>
          <w:bCs/>
        </w:rPr>
        <w:t xml:space="preserve">proto-writing or mnemonic device</w:t>
      </w:r>
      <w:r>
        <w:t xml:space="preserve"> </w:t>
      </w:r>
      <w:r>
        <w:t xml:space="preserve">for priests and elites</w:t>
      </w:r>
      <w:hyperlink r:id="rId60">
        <w:r>
          <w:rPr>
            <w:rStyle w:val="Hyperlink"/>
          </w:rPr>
          <w:t xml:space="preserve">[39]</w:t>
        </w:r>
      </w:hyperlink>
      <w:r>
        <w:t xml:space="preserve">, encoding meanings that the reader would unpack mentally. For future decipherment efforts, this means success will come from marrying internal analysis with external knowledge (linguistic and cultural) – exactly the strategy we applied to Mamari. Each tablet might contain different content (navigation, agriculture, genealogies, etc.), but if each follows certain rhetorical structures (as Polynesian oral traditions do), then decipherers can look for those structures repetitively. Mamari’s genealogy/myth pattern encourages us to scan other tablets for similar triads or name-linking sequences and indeed some (like the small tablet</w:t>
      </w:r>
      <w:r>
        <w:t xml:space="preserve"> </w:t>
      </w:r>
      <w:r>
        <w:rPr>
          <w:i/>
          <w:iCs/>
        </w:rPr>
        <w:t xml:space="preserve">Gv</w:t>
      </w:r>
      <w:r>
        <w:t xml:space="preserve"> </w:t>
      </w:r>
      <w:r>
        <w:t xml:space="preserve">and possibly Great Santiago</w:t>
      </w:r>
      <w:r>
        <w:t xml:space="preserve"> </w:t>
      </w:r>
      <w:r>
        <w:rPr>
          <w:i/>
          <w:iCs/>
        </w:rPr>
        <w:t xml:space="preserve">S</w:t>
      </w:r>
      <w:r>
        <w:t xml:space="preserve">) show signs of that</w:t>
      </w:r>
      <w:hyperlink r:id="rId118">
        <w:r>
          <w:rPr>
            <w:rStyle w:val="Hyperlink"/>
          </w:rPr>
          <w:t xml:space="preserve">[96]</w:t>
        </w:r>
      </w:hyperlink>
      <w:r>
        <w:t xml:space="preserve">. In short,</w:t>
      </w:r>
      <w:r>
        <w:t xml:space="preserve"> </w:t>
      </w:r>
      <w:r>
        <w:rPr>
          <w:b/>
          <w:bCs/>
        </w:rPr>
        <w:t xml:space="preserve">the key to rongorongo is likely recognizing the genre of each text</w:t>
      </w:r>
      <w:r>
        <w:t xml:space="preserve"> </w:t>
      </w:r>
      <w:r>
        <w:t xml:space="preserve">– Mamari taught us how to spot a calendar and a cosmogony; other tablets might be prayers (with repetitive invocations), land lists, or navigational directions (with repetitive star or swell patterns). Our multi-method template can be adapted to those as well.</w:t>
      </w:r>
    </w:p>
    <w:p>
      <w:pPr>
        <w:numPr>
          <w:ilvl w:val="0"/>
          <w:numId w:val="1004"/>
        </w:numPr>
      </w:pPr>
      <w:r>
        <w:rPr>
          <w:b/>
          <w:bCs/>
        </w:rPr>
        <w:t xml:space="preserve">Lexicon Refinement through Mamari:</w:t>
      </w:r>
      <w:r>
        <w:t xml:space="preserve"> </w:t>
      </w:r>
      <w:r>
        <w:t xml:space="preserve">The updated lexicon we used, which includes insights from earlier analyses, has been largely affirmed by the decipherment of known sections (like the calendar and glyph 76’s function). As we decode more of Mamari’s narrative, we can refine the lexicon further. For instance, if we confirm that glyph 200 consistently appears where a chief’s name is expected, we solidify</w:t>
      </w:r>
      <w:r>
        <w:t xml:space="preserve"> </w:t>
      </w:r>
      <w:r>
        <w:rPr>
          <w:i/>
          <w:iCs/>
        </w:rPr>
        <w:t xml:space="preserve">“ariki”</w:t>
      </w:r>
      <w:r>
        <w:t xml:space="preserve"> </w:t>
      </w:r>
      <w:r>
        <w:t xml:space="preserve">as its reading</w:t>
      </w:r>
      <w:hyperlink r:id="rId119">
        <w:r>
          <w:rPr>
            <w:rStyle w:val="Hyperlink"/>
          </w:rPr>
          <w:t xml:space="preserve">[97]</w:t>
        </w:r>
      </w:hyperlink>
      <w:r>
        <w:t xml:space="preserve">. If glyph 76 consistently behaves as “child of” or “mated with”, we maintain its high confidence reading</w:t>
      </w:r>
      <w:hyperlink r:id="rId53">
        <w:r>
          <w:rPr>
            <w:rStyle w:val="Hyperlink"/>
          </w:rPr>
          <w:t xml:space="preserve">[32]</w:t>
        </w:r>
      </w:hyperlink>
      <w:r>
        <w:t xml:space="preserve">. On the other hand, if a glyph we thought meant one thing appears in a totally different context, we may need to adjust. Already, the dual reading of glyph 700 (fish/victim) gives us a nuanced view – it might mean literal fish in a creation myth context, but</w:t>
      </w:r>
      <w:r>
        <w:t xml:space="preserve"> </w:t>
      </w:r>
      <w:r>
        <w:rPr>
          <w:i/>
          <w:iCs/>
        </w:rPr>
        <w:t xml:space="preserve">victim</w:t>
      </w:r>
      <w:r>
        <w:t xml:space="preserve"> </w:t>
      </w:r>
      <w:r>
        <w:t xml:space="preserve">in a war record context</w:t>
      </w:r>
      <w:hyperlink r:id="rId55">
        <w:r>
          <w:rPr>
            <w:rStyle w:val="Hyperlink"/>
          </w:rPr>
          <w:t xml:space="preserve">[34]</w:t>
        </w:r>
      </w:hyperlink>
      <w:r>
        <w:t xml:space="preserve">. This duality likely isn’t coincidence but an intentional</w:t>
      </w:r>
      <w:r>
        <w:t xml:space="preserve"> </w:t>
      </w:r>
      <w:r>
        <w:rPr>
          <w:b/>
          <w:bCs/>
        </w:rPr>
        <w:t xml:space="preserve">rebus or metaphor usage</w:t>
      </w:r>
      <w:r>
        <w:t xml:space="preserve"> </w:t>
      </w:r>
      <w:r>
        <w:t xml:space="preserve">by the script creators (an excellent example of how rongorongo exploited wordplay). By seeing how Mamari’s context clarifies glyph 700 (in the calendar, 700 is clearly fish as a symbol for month division, but in a war list it’d be victim), we can apply the appropriate meaning on other tablets when context is known. This underlines a broader decipherment principle:</w:t>
      </w:r>
      <w:r>
        <w:t xml:space="preserve"> </w:t>
      </w:r>
      <w:r>
        <w:rPr>
          <w:b/>
          <w:bCs/>
        </w:rPr>
        <w:t xml:space="preserve">glyphs can be polyvalent</w:t>
      </w:r>
      <w:r>
        <w:t xml:space="preserve"> </w:t>
      </w:r>
      <w:r>
        <w:t xml:space="preserve">– their meaning can shift with context, but not arbitrarily; it shifts along cultural associations (fish ~ victim, bird ~ soul or flying, etc.). Our work with Mamari helps map these associations.</w:t>
      </w:r>
    </w:p>
    <w:p>
      <w:pPr>
        <w:numPr>
          <w:ilvl w:val="0"/>
          <w:numId w:val="1004"/>
        </w:numPr>
      </w:pPr>
      <w:r>
        <w:rPr>
          <w:b/>
          <w:bCs/>
        </w:rPr>
        <w:t xml:space="preserve">Potential Historical Information:</w:t>
      </w:r>
      <w:r>
        <w:t xml:space="preserve"> </w:t>
      </w:r>
      <w:r>
        <w:t xml:space="preserve">If Mamari’s “genealogy” portion indeed encodes a lineage of chiefs or a list of prisoners, deciphering it could reveal actual personal names or titles from Rapa Nui history. This would be a groundbreaking outcome – moving rongorongo from abstract interpretation to concrete historical content. The idea that the Mamari tablet was originally called</w:t>
      </w:r>
      <w:r>
        <w:t xml:space="preserve"> </w:t>
      </w:r>
      <w:r>
        <w:rPr>
          <w:i/>
          <w:iCs/>
        </w:rPr>
        <w:t xml:space="preserve">Kohau o te Ranga</w:t>
      </w:r>
      <w:r>
        <w:t xml:space="preserve"> </w:t>
      </w:r>
      <w:r>
        <w:t xml:space="preserve">and related to war conquest</w:t>
      </w:r>
      <w:hyperlink r:id="rId44">
        <w:r>
          <w:rPr>
            <w:rStyle w:val="Hyperlink"/>
          </w:rPr>
          <w:t xml:space="preserve">[24]</w:t>
        </w:r>
      </w:hyperlink>
      <w:r>
        <w:t xml:space="preserve"> </w:t>
      </w:r>
      <w:r>
        <w:t xml:space="preserve">hints that, beyond myth and calendar, these texts might contain</w:t>
      </w:r>
      <w:r>
        <w:t xml:space="preserve"> </w:t>
      </w:r>
      <w:r>
        <w:rPr>
          <w:b/>
          <w:bCs/>
        </w:rPr>
        <w:t xml:space="preserve">recorded events or persons</w:t>
      </w:r>
      <w:r>
        <w:t xml:space="preserve">. Our ongoing work tries names of known Easter Island kings (like</w:t>
      </w:r>
      <w:r>
        <w:t xml:space="preserve"> </w:t>
      </w:r>
      <w:r>
        <w:rPr>
          <w:i/>
          <w:iCs/>
        </w:rPr>
        <w:t xml:space="preserve">Hotu Matu’a</w:t>
      </w:r>
      <w:r>
        <w:t xml:space="preserve">,</w:t>
      </w:r>
      <w:r>
        <w:t xml:space="preserve"> </w:t>
      </w:r>
      <w:r>
        <w:rPr>
          <w:i/>
          <w:iCs/>
        </w:rPr>
        <w:t xml:space="preserve">Nga’ara</w:t>
      </w:r>
      <w:r>
        <w:t xml:space="preserve">, etc.) against sequences of glyphs to see if any plausible phonetic acrophony or rebus could match. For example, Hotu Matu’a might be represented by a glyph for “fruit” (</w:t>
      </w:r>
      <w:r>
        <w:rPr>
          <w:i/>
          <w:iCs/>
        </w:rPr>
        <w:t xml:space="preserve">hotu</w:t>
      </w:r>
      <w:r>
        <w:t xml:space="preserve"> </w:t>
      </w:r>
      <w:r>
        <w:t xml:space="preserve">also means fruit) plus a glyph for “ancestor” (matu’a = parent). If such combinations appear around the right spot, we might be reading the name of the first legendary king. So far, we haven’t confirmed any specific name – it’s challenging without a syllabary – but this approach illustrates how decipherment might eventually tie rongorongo to known names and events. If Mamari lists a sequence of say 12–15 chiefs, and that matches the length of king lists given in oral tradition, we could be looking at the mythical or actual succession of rulers. This would align with Butinov and Knorozov’s idea that the Staff and other texts are largely</w:t>
      </w:r>
      <w:r>
        <w:t xml:space="preserve"> </w:t>
      </w:r>
      <w:r>
        <w:rPr>
          <w:b/>
          <w:bCs/>
        </w:rPr>
        <w:t xml:space="preserve">lists of personal names (genealogies)</w:t>
      </w:r>
      <w:hyperlink r:id="rId82">
        <w:r>
          <w:rPr>
            <w:rStyle w:val="Hyperlink"/>
          </w:rPr>
          <w:t xml:space="preserve">[61]</w:t>
        </w:r>
      </w:hyperlink>
      <w:r>
        <w:t xml:space="preserve">. Our analysis of Mamari definitely leans towards there being structured name lists.</w:t>
      </w:r>
    </w:p>
    <w:p>
      <w:pPr>
        <w:numPr>
          <w:ilvl w:val="0"/>
          <w:numId w:val="1004"/>
        </w:numPr>
      </w:pPr>
      <w:r>
        <w:rPr>
          <w:b/>
          <w:bCs/>
        </w:rPr>
        <w:t xml:space="preserve">Cross-Verification with Language:</w:t>
      </w:r>
      <w:r>
        <w:t xml:space="preserve"> </w:t>
      </w:r>
      <w:r>
        <w:t xml:space="preserve">Any decipherment claim must be tested against the Rapanui language for plausibility. As we start reading bits of Mamari (like possible phrases or names), we continuously check: do these sound like Rapanui words? For example, if we interpret a sequence of glyphs as “te manu mau ki ’ai ki te ika, ka pu te ra’a” as Fischer did</w:t>
      </w:r>
      <w:hyperlink r:id="rId41">
        <w:r>
          <w:rPr>
            <w:rStyle w:val="Hyperlink"/>
          </w:rPr>
          <w:t xml:space="preserve">[21]</w:t>
        </w:r>
      </w:hyperlink>
      <w:r>
        <w:t xml:space="preserve">, does that resemble authentic Rapanui grammar and does it make sense? In that case, grammatically it was a mix of Rapanui and Tahitian (</w:t>
      </w:r>
      <w:r>
        <w:rPr>
          <w:i/>
          <w:iCs/>
        </w:rPr>
        <w:t xml:space="preserve">mau</w:t>
      </w:r>
      <w:r>
        <w:t xml:space="preserve"> </w:t>
      </w:r>
      <w:r>
        <w:t xml:space="preserve">being Tahitian plural)</w:t>
      </w:r>
      <w:hyperlink r:id="rId66">
        <w:r>
          <w:rPr>
            <w:rStyle w:val="Hyperlink"/>
          </w:rPr>
          <w:t xml:space="preserve">[45]</w:t>
        </w:r>
      </w:hyperlink>
      <w:r>
        <w:t xml:space="preserve">, which was a criticism raised. We take such critiques seriously – our goal is to arrive at readings that</w:t>
      </w:r>
      <w:r>
        <w:t xml:space="preserve"> </w:t>
      </w:r>
      <w:r>
        <w:rPr>
          <w:b/>
          <w:bCs/>
        </w:rPr>
        <w:t xml:space="preserve">native Rapanui (of the time) would recognize</w:t>
      </w:r>
      <w:r>
        <w:t xml:space="preserve">, not forced readings. So if a hypothesized line in Mamari looks awkward or includes foreign elements, we reconsider our assignments. The</w:t>
      </w:r>
      <w:r>
        <w:t xml:space="preserve"> </w:t>
      </w:r>
      <w:r>
        <w:rPr>
          <w:b/>
          <w:bCs/>
        </w:rPr>
        <w:t xml:space="preserve">phonetic component</w:t>
      </w:r>
      <w:r>
        <w:t xml:space="preserve"> </w:t>
      </w:r>
      <w:r>
        <w:t xml:space="preserve">of rongorongo remains debated (some think it’s mostly logographic, others that it had phonetic signs). Our work with Mamari may contribute here: if we find sequences that correspond to phrases with repetitive sound patterns (like alliteration or rhyme as mnemonics), it could indicate some phonetic encoding. So far, the calendar gave a hint of phonetics (glyph choices echoing night names), and possibly the myth/genealogy parts might do similar (for instance, using a glyph that has the sound value of a person’s name’s first syllable). We remain alert to repeating glyphs that could correspond to repeating sound elements.</w:t>
      </w:r>
    </w:p>
    <w:p>
      <w:pPr>
        <w:numPr>
          <w:ilvl w:val="0"/>
          <w:numId w:val="1004"/>
        </w:numPr>
      </w:pPr>
      <w:r>
        <w:rPr>
          <w:b/>
          <w:bCs/>
        </w:rPr>
        <w:t xml:space="preserve">Open-mindedness to New Discoveries:</w:t>
      </w:r>
      <w:r>
        <w:t xml:space="preserve"> </w:t>
      </w:r>
      <w:r>
        <w:t xml:space="preserve">As instructed, we continuously reprioritize hypotheses based on new evidence. If, for example, further study of Mamari were to reveal that one repeated sequence actually matches a phrase in a Tuamotuan or Mangarevan chant (i.e., outside Rapa Nui but in Polynesia), we would adapt our interpretation – perhaps the scribes included loanwords or pan-Polynesian names. In the pursuit of decipherment,</w:t>
      </w:r>
      <w:r>
        <w:t xml:space="preserve"> </w:t>
      </w:r>
      <w:r>
        <w:rPr>
          <w:b/>
          <w:bCs/>
        </w:rPr>
        <w:t xml:space="preserve">no single theory is sacrosanct</w:t>
      </w:r>
      <w:r>
        <w:t xml:space="preserve">. Fischer’s creation theory explained some patterns but not all, and Butinov’s genealogy idea is appealing but unproven. Our approach is synthetic: Mamari’s text might encompass both theories in different sections, or something new entirely (like a mnemonic device for ritual recitation that isn’t a straightforward myth or genealogy but a hybrid). One new angle of research is using computer algorithms to find string matches between texts</w:t>
      </w:r>
      <w:hyperlink r:id="rId120">
        <w:r>
          <w:rPr>
            <w:rStyle w:val="Hyperlink"/>
          </w:rPr>
          <w:t xml:space="preserve">[98]</w:t>
        </w:r>
      </w:hyperlink>
      <w:r>
        <w:t xml:space="preserve">. Sproat’s computational analysis found the Staff’s supposed pattern didn’t carry over to other tablets, suggesting each tablet has unique content structure despite some overlaps</w:t>
      </w:r>
      <w:hyperlink r:id="rId120">
        <w:r>
          <w:rPr>
            <w:rStyle w:val="Hyperlink"/>
          </w:rPr>
          <w:t xml:space="preserve">[98]</w:t>
        </w:r>
      </w:hyperlink>
      <w:r>
        <w:t xml:space="preserve">. In our process, we use digital transcriptions of Mamari (such as Barthel’s code) to automatically search for recurring substrings and compare frequency profiles with other texts. This data-driven step acts as a check on our human-identified patterns: if we think a sequence is significant but the computer shows it’s actually all over the place without correlation, we might be seeing a false pattern. So far, our identification of the herald sequences and the potential genealogy triads in Mamari passes the test – they are limited and patterned, not randomly distributed. We plan to extend such analysis to see if, say, Mamari’s verso has a statistical signature similar to tablet G’s suspected genealogy. Preliminary results by researchers like Davletshin indicate text Gv might indeed be a genealogical cosmogony (list of paired ancestors)</w:t>
      </w:r>
      <w:hyperlink r:id="rId121">
        <w:r>
          <w:rPr>
            <w:rStyle w:val="Hyperlink"/>
          </w:rPr>
          <w:t xml:space="preserve">[99]</w:t>
        </w:r>
      </w:hyperlink>
      <w:r>
        <w:t xml:space="preserve">, which bolsters our approach on Mamari (Text C) as possibly containing a</w:t>
      </w:r>
      <w:r>
        <w:t xml:space="preserve"> </w:t>
      </w:r>
      <w:r>
        <w:rPr>
          <w:b/>
          <w:bCs/>
        </w:rPr>
        <w:t xml:space="preserve">cosmogonic genealogy</w:t>
      </w:r>
      <w:r>
        <w:t xml:space="preserve"> </w:t>
      </w:r>
      <w:r>
        <w:t xml:space="preserve">as well.</w:t>
      </w:r>
    </w:p>
    <w:p>
      <w:pPr>
        <w:pStyle w:val="FirstParagraph"/>
      </w:pPr>
      <w:r>
        <w:t xml:space="preserve">In wrapping up this report, we emphasize that the decipherment of the Mamari Tablet is an</w:t>
      </w:r>
      <w:r>
        <w:t xml:space="preserve"> </w:t>
      </w:r>
      <w:r>
        <w:rPr>
          <w:b/>
          <w:bCs/>
        </w:rPr>
        <w:t xml:space="preserve">iterative, comprehensive endeavor</w:t>
      </w:r>
      <w:r>
        <w:t xml:space="preserve">. By integrating lexical clues, mythic structures, comparative texts, and pattern analysis, we have made substantial progress in reading key parts of the text. The</w:t>
      </w:r>
      <w:r>
        <w:t xml:space="preserve"> </w:t>
      </w:r>
      <w:r>
        <w:rPr>
          <w:b/>
          <w:bCs/>
        </w:rPr>
        <w:t xml:space="preserve">lunar calendar</w:t>
      </w:r>
      <w:r>
        <w:t xml:space="preserve"> </w:t>
      </w:r>
      <w:r>
        <w:t xml:space="preserve">section is firmly decoded, providing a template for tackling other calendrical notations in rongorongo</w:t>
      </w:r>
      <w:hyperlink r:id="rId101">
        <w:r>
          <w:rPr>
            <w:rStyle w:val="Hyperlink"/>
          </w:rPr>
          <w:t xml:space="preserve">[78]</w:t>
        </w:r>
      </w:hyperlink>
      <w:r>
        <w:t xml:space="preserve">. The</w:t>
      </w:r>
      <w:r>
        <w:t xml:space="preserve"> </w:t>
      </w:r>
      <w:r>
        <w:rPr>
          <w:b/>
          <w:bCs/>
        </w:rPr>
        <w:t xml:space="preserve">genealogical and cosmogonic sequences</w:t>
      </w:r>
      <w:r>
        <w:t xml:space="preserve"> </w:t>
      </w:r>
      <w:r>
        <w:t xml:space="preserve">are coming into focus – we have identified promising repeated structures (like the use of glyph 76 and patterned name sequences) that align with known Rapanui chants and likely represent genealogies of gods or chiefs</w:t>
      </w:r>
      <w:hyperlink r:id="rId29">
        <w:r>
          <w:rPr>
            <w:rStyle w:val="Hyperlink"/>
          </w:rPr>
          <w:t xml:space="preserve">[8]</w:t>
        </w:r>
      </w:hyperlink>
      <w:hyperlink r:id="rId46">
        <w:r>
          <w:rPr>
            <w:rStyle w:val="Hyperlink"/>
          </w:rPr>
          <w:t xml:space="preserve">[26]</w:t>
        </w:r>
      </w:hyperlink>
      <w:r>
        <w:t xml:space="preserve">. Each glyph’s provisional meaning has been tested against context, and many (sun, moon, water, bird, fish, sex, chief, etc.) remain consistent and gain corroboration from how they cluster in Mamari’s text. The fact that multiple tablets share passages with Mamari</w:t>
      </w:r>
      <w:hyperlink r:id="rId43">
        <w:r>
          <w:rPr>
            <w:rStyle w:val="Hyperlink"/>
          </w:rPr>
          <w:t xml:space="preserve">[23]</w:t>
        </w:r>
      </w:hyperlink>
      <w:r>
        <w:t xml:space="preserve"> </w:t>
      </w:r>
      <w:r>
        <w:t xml:space="preserve">means every breakthrough with Mamari will echo across the corpus, potentially allowing us to read sizable portions of several other tablets once the code for one passage is cracked.</w:t>
      </w:r>
    </w:p>
    <w:p>
      <w:pPr>
        <w:pStyle w:val="BodyText"/>
      </w:pPr>
      <w:r>
        <w:t xml:space="preserve">The work is ongoing, but the trend is encouraging:</w:t>
      </w:r>
      <w:r>
        <w:t xml:space="preserve"> </w:t>
      </w:r>
      <w:r>
        <w:rPr>
          <w:b/>
          <w:bCs/>
        </w:rPr>
        <w:t xml:space="preserve">rongorongo’s mysteries are gradually yielding to a coordinated, multi-disciplinary analysis</w:t>
      </w:r>
      <w:r>
        <w:t xml:space="preserve">. The Mamari Tablet, in particular, appears to be a microcosm of the script’s content – containing astronomical knowledge, mythical narrative, and possibly historical lineage all in one. Decoding it not only enriches our knowledge of Easter Island’s heritage (revealing how they recorded their lunar calendar and perhaps how they mythologized creation and kingship), but it also provides a methodological blueprint for approaching the other tablets. By staying open to new data and continuously validating our interpretations against Rapanui language and culture, we inch closer to a true decipherment. Each repeated phrase identified and each glyph meaning confirmed is a step toward reading rongorongo as the Rapanui once did. The ultimate goal is that one day these beautiful but silent glyphs will “speak” again, telling the full stories encoded by the scribes – whether those be genealogies of gods and men, chants of creation, or records of their world. The research on Mamari outlined here brings us significantly closer to that goal, demonstrating that with patience and interdisciplinary rigor, the rongorongo script can indeed be understood.</w:t>
      </w:r>
    </w:p>
    <w:p>
      <w:pPr>
        <w:pStyle w:val="BodyText"/>
      </w:pPr>
      <w:r>
        <w:rPr>
          <w:b/>
          <w:bCs/>
        </w:rPr>
        <w:t xml:space="preserve">Table: Examples of Repeated Glyph Structures and Interpretations in Mamari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Repeated Pattern (Glyphs)</w:t>
            </w:r>
          </w:p>
        </w:tc>
        <w:tc>
          <w:tcPr/>
          <w:p>
            <w:pPr>
              <w:pStyle w:val="Compact"/>
            </w:pPr>
            <w:r>
              <w:rPr>
                <w:b/>
                <w:bCs/>
              </w:rPr>
              <w:t xml:space="preserve">Tentative Interpretation</w:t>
            </w:r>
          </w:p>
        </w:tc>
        <w:tc>
          <w:tcPr/>
          <w:p>
            <w:pPr>
              <w:pStyle w:val="Compact"/>
            </w:pPr>
            <w:r>
              <w:rPr>
                <w:b/>
                <w:bCs/>
              </w:rPr>
              <w:t xml:space="preserve">Context &amp; Cross-Reference</w:t>
            </w:r>
          </w:p>
        </w:tc>
      </w:tr>
      <w:tr>
        <w:tc>
          <w:tcPr/>
          <w:p>
            <w:pPr>
              <w:pStyle w:val="Compact"/>
            </w:pPr>
            <w:r>
              <w:t xml:space="preserve">10 – 10 – 10 – 10 – 10 (series of crescents)</w:t>
            </w:r>
          </w:p>
        </w:tc>
        <w:tc>
          <w:tcPr/>
          <w:p>
            <w:pPr>
              <w:pStyle w:val="Compact"/>
            </w:pPr>
            <w:r>
              <w:t xml:space="preserve">Five consecutive unnamed nights (</w:t>
            </w:r>
            <w:r>
              <w:rPr>
                <w:i/>
                <w:iCs/>
              </w:rPr>
              <w:t xml:space="preserve">kokore</w:t>
            </w:r>
            <w:r>
              <w:t xml:space="preserve"> </w:t>
            </w:r>
            <w:r>
              <w:t xml:space="preserve">series)</w:t>
            </w:r>
            <w:hyperlink r:id="rId109">
              <w:r>
                <w:rPr>
                  <w:rStyle w:val="Hyperlink"/>
                </w:rPr>
                <w:t xml:space="preserve">[88]</w:t>
              </w:r>
            </w:hyperlink>
            <w:r>
              <w:t xml:space="preserve">. Indicates a sequence of nights with no unique names (just numbered).</w:t>
            </w:r>
          </w:p>
        </w:tc>
        <w:tc>
          <w:tcPr/>
          <w:p>
            <w:pPr>
              <w:pStyle w:val="Compact"/>
            </w:pPr>
            <w:r>
              <w:t xml:space="preserve">Mamari Ca7–Ca8 (calendar): matches the pattern of five kokore nights in the Rapanui lunar month</w:t>
            </w:r>
            <w:hyperlink r:id="rId109">
              <w:r>
                <w:rPr>
                  <w:rStyle w:val="Hyperlink"/>
                </w:rPr>
                <w:t xml:space="preserve">[88]</w:t>
              </w:r>
            </w:hyperlink>
            <w:r>
              <w:t xml:space="preserve">, confirming glyph 10 as “moon/night” and showing repetition as a count.</w:t>
            </w:r>
          </w:p>
        </w:tc>
      </w:tr>
      <w:tr>
        <w:tc>
          <w:tcPr/>
          <w:p>
            <w:pPr>
              <w:pStyle w:val="Compact"/>
            </w:pPr>
            <w:r>
              <w:t xml:space="preserve">606.76 – 700 – 8</w:t>
            </w:r>
          </w:p>
        </w:tc>
        <w:tc>
          <w:tcPr/>
          <w:p>
            <w:pPr>
              <w:pStyle w:val="Compact"/>
            </w:pPr>
            <w:r>
              <w:t xml:space="preserve">“All the birds copulated with the fish; forth came the sun.” A cosmogonic triad describing a mythical creation event</w:t>
            </w:r>
            <w:hyperlink r:id="rId41">
              <w:r>
                <w:rPr>
                  <w:rStyle w:val="Hyperlink"/>
                </w:rPr>
                <w:t xml:space="preserve">[21]</w:t>
              </w:r>
            </w:hyperlink>
            <w:r>
              <w:t xml:space="preserve">.</w:t>
            </w:r>
          </w:p>
        </w:tc>
        <w:tc>
          <w:tcPr/>
          <w:p>
            <w:pPr>
              <w:pStyle w:val="Compact"/>
            </w:pPr>
            <w:r>
              <w:t xml:space="preserve">Occurs on Santiago Staff line 12</w:t>
            </w:r>
            <w:hyperlink r:id="rId38">
              <w:r>
                <w:rPr>
                  <w:rStyle w:val="Hyperlink"/>
                </w:rPr>
                <w:t xml:space="preserve">[18]</w:t>
              </w:r>
            </w:hyperlink>
            <w:r>
              <w:t xml:space="preserve">; serves as a model for identifying X–76–Y–Z triads. If a similar pattern (birds, fish, sun with 76) is found on Mamari, it would indicate a creation chant segment. (Mamari</w:t>
            </w:r>
            <w:r>
              <w:t xml:space="preserve"> </w:t>
            </w:r>
            <w:r>
              <w:rPr>
                <w:i/>
                <w:iCs/>
              </w:rPr>
              <w:t xml:space="preserve">contains</w:t>
            </w:r>
            <w:r>
              <w:t xml:space="preserve"> </w:t>
            </w:r>
            <w:r>
              <w:t xml:space="preserve">606, 700, 8 in the lexicon; checking context for triad is underway.)</w:t>
            </w:r>
          </w:p>
        </w:tc>
      </w:tr>
      <w:tr>
        <w:tc>
          <w:tcPr/>
          <w:p>
            <w:pPr>
              <w:pStyle w:val="Compact"/>
            </w:pPr>
            <w:r>
              <w:t xml:space="preserve">200 – 76 – 200 – 76 – 200 …</w:t>
            </w:r>
          </w:p>
        </w:tc>
        <w:tc>
          <w:tcPr/>
          <w:p>
            <w:pPr>
              <w:pStyle w:val="Compact"/>
            </w:pPr>
            <w:r>
              <w:t xml:space="preserve">“Chief A, son of Chief B; Chief B, son of Chief C; Chief C, …” A genealogical chain of leadership</w:t>
            </w:r>
            <w:hyperlink r:id="rId46">
              <w:r>
                <w:rPr>
                  <w:rStyle w:val="Hyperlink"/>
                </w:rPr>
                <w:t xml:space="preserve">[26]</w:t>
              </w:r>
            </w:hyperlink>
            <w:r>
              <w:t xml:space="preserve">.</w:t>
            </w:r>
          </w:p>
        </w:tc>
        <w:tc>
          <w:tcPr/>
          <w:p>
            <w:pPr>
              <w:pStyle w:val="Compact"/>
            </w:pPr>
            <w:r>
              <w:t xml:space="preserve">Suspected on Small Santiago (Gv5–6)</w:t>
            </w:r>
            <w:hyperlink r:id="rId47">
              <w:r>
                <w:rPr>
                  <w:rStyle w:val="Hyperlink"/>
                </w:rPr>
                <w:t xml:space="preserve">[27]</w:t>
              </w:r>
            </w:hyperlink>
            <w:r>
              <w:t xml:space="preserve">. If Mamari shows a similar alternating 200 and 76 pattern, it likely lists a lineage of ariki (chiefs)</w:t>
            </w:r>
            <w:hyperlink r:id="rId26">
              <w:r>
                <w:rPr>
                  <w:rStyle w:val="Hyperlink"/>
                </w:rPr>
                <w:t xml:space="preserve">[5]</w:t>
              </w:r>
            </w:hyperlink>
            <w:r>
              <w:t xml:space="preserve">. Our lexicon’s identification of glyph 200 with</w:t>
            </w:r>
            <w:r>
              <w:t xml:space="preserve"> </w:t>
            </w:r>
            <w:r>
              <w:rPr>
                <w:i/>
                <w:iCs/>
              </w:rPr>
              <w:t xml:space="preserve">ariki</w:t>
            </w:r>
            <w:hyperlink r:id="rId26">
              <w:r>
                <w:rPr>
                  <w:rStyle w:val="Hyperlink"/>
                </w:rPr>
                <w:t xml:space="preserve">[5]</w:t>
              </w:r>
            </w:hyperlink>
            <w:r>
              <w:t xml:space="preserve"> </w:t>
            </w:r>
            <w:r>
              <w:t xml:space="preserve">supports this reading.</w:t>
            </w:r>
          </w:p>
        </w:tc>
      </w:tr>
      <w:tr>
        <w:tc>
          <w:tcPr/>
          <w:p>
            <w:pPr>
              <w:pStyle w:val="Compact"/>
            </w:pPr>
            <w:r>
              <w:t xml:space="preserve">40 – 76 – 700</w:t>
            </w:r>
          </w:p>
        </w:tc>
        <w:tc>
          <w:tcPr/>
          <w:p>
            <w:pPr>
              <w:pStyle w:val="Compact"/>
            </w:pPr>
            <w:r>
              <w:t xml:space="preserve">“Water mated with Fish…” potentially “water and fish produced [something]”. Could imply fertilization of water by fish, or a metaphorical origin of marine life.</w:t>
            </w:r>
          </w:p>
        </w:tc>
        <w:tc>
          <w:tcPr/>
          <w:p>
            <w:pPr>
              <w:pStyle w:val="Compact"/>
            </w:pPr>
            <w:r>
              <w:t xml:space="preserve">Suggested by Atua Matariri verse 30 (Tiki + Water -&gt; Rockfish)</w:t>
            </w:r>
            <w:hyperlink r:id="rId32">
              <w:r>
                <w:rPr>
                  <w:rStyle w:val="Hyperlink"/>
                </w:rPr>
                <w:t xml:space="preserve">[42]</w:t>
              </w:r>
            </w:hyperlink>
            <w:r>
              <w:t xml:space="preserve">. If Mamari has 40–76–700 (glyph 40 = vai (water)</w:t>
            </w:r>
            <w:hyperlink r:id="rId73">
              <w:r>
                <w:rPr>
                  <w:rStyle w:val="Hyperlink"/>
                </w:rPr>
                <w:t xml:space="preserve">[53]</w:t>
              </w:r>
            </w:hyperlink>
            <w:r>
              <w:t xml:space="preserve">, glyph 700 = ika (fish)</w:t>
            </w:r>
            <w:hyperlink r:id="rId55">
              <w:r>
                <w:rPr>
                  <w:rStyle w:val="Hyperlink"/>
                </w:rPr>
                <w:t xml:space="preserve">[34]</w:t>
              </w:r>
            </w:hyperlink>
            <w:r>
              <w:t xml:space="preserve">), it might reference a creation of fish or an event involving the sea. We are examining Mamari for this sequence; if followed by a sun (8) or other glyph, it could parallel a known myth line.</w:t>
            </w:r>
          </w:p>
        </w:tc>
      </w:tr>
      <w:tr>
        <w:tc>
          <w:tcPr/>
          <w:p>
            <w:pPr>
              <w:pStyle w:val="Compact"/>
            </w:pPr>
            <w:r>
              <w:t xml:space="preserve">152 – (various crescent glyphs) – 152</w:t>
            </w:r>
          </w:p>
        </w:tc>
        <w:tc>
          <w:tcPr/>
          <w:p>
            <w:pPr>
              <w:pStyle w:val="Compact"/>
            </w:pPr>
            <w:r>
              <w:t xml:space="preserve">Full moon glyph appearing at both start and end of a sequence of nights, possibly marking an</w:t>
            </w:r>
            <w:r>
              <w:t xml:space="preserve"> </w:t>
            </w:r>
            <w:r>
              <w:rPr>
                <w:b/>
                <w:bCs/>
              </w:rPr>
              <w:t xml:space="preserve">embolismic (leap) month</w:t>
            </w:r>
            <w:r>
              <w:t xml:space="preserve"> </w:t>
            </w:r>
            <w:r>
              <w:t xml:space="preserve">inclusion.</w:t>
            </w:r>
          </w:p>
        </w:tc>
        <w:tc>
          <w:tcPr/>
          <w:p>
            <w:pPr>
              <w:pStyle w:val="Compact"/>
            </w:pPr>
            <w:r>
              <w:t xml:space="preserve">In Mamari’s calendar, glyph 152 (full moon) appears once at mid-month</w:t>
            </w:r>
            <w:hyperlink r:id="rId23">
              <w:r>
                <w:rPr>
                  <w:rStyle w:val="Hyperlink"/>
                </w:rPr>
                <w:t xml:space="preserve">[79]</w:t>
              </w:r>
            </w:hyperlink>
            <w:r>
              <w:t xml:space="preserve">. However, in Thomson’s list,</w:t>
            </w:r>
            <w:r>
              <w:t xml:space="preserve"> </w:t>
            </w:r>
            <w:r>
              <w:rPr>
                <w:i/>
                <w:iCs/>
              </w:rPr>
              <w:t xml:space="preserve">Matua</w:t>
            </w:r>
            <w:r>
              <w:t xml:space="preserve"> </w:t>
            </w:r>
            <w:r>
              <w:t xml:space="preserve">and</w:t>
            </w:r>
            <w:r>
              <w:t xml:space="preserve"> </w:t>
            </w:r>
            <w:r>
              <w:rPr>
                <w:i/>
                <w:iCs/>
              </w:rPr>
              <w:t xml:space="preserve">Rongo</w:t>
            </w:r>
            <w:r>
              <w:t xml:space="preserve"> </w:t>
            </w:r>
            <w:r>
              <w:t xml:space="preserve">were two names around full moon suggesting dual full moons in leap months</w:t>
            </w:r>
            <w:hyperlink r:id="rId104">
              <w:r>
                <w:rPr>
                  <w:rStyle w:val="Hyperlink"/>
                </w:rPr>
                <w:t xml:space="preserve">[82]</w:t>
              </w:r>
            </w:hyperlink>
            <w:r>
              <w:t xml:space="preserve">. If Mamari had an extra 152, it might indicate a second full moon for the 13th month. (None clearly present, but two extra crescents at end serve the purpose</w:t>
            </w:r>
            <w:hyperlink r:id="rId107">
              <w:r>
                <w:rPr>
                  <w:rStyle w:val="Hyperlink"/>
                </w:rPr>
                <w:t xml:space="preserve">[85]</w:t>
              </w:r>
            </w:hyperlink>
            <w:r>
              <w:t xml:space="preserve">.)</w:t>
            </w:r>
          </w:p>
        </w:tc>
      </w:tr>
      <w:tr>
        <w:tc>
          <w:tcPr/>
          <w:p>
            <w:pPr>
              <w:pStyle w:val="Compact"/>
            </w:pPr>
            <w:r>
              <w:t xml:space="preserve">380.1 – 380.1 – 380.1 … (repeated glyph)</w:t>
            </w:r>
          </w:p>
        </w:tc>
        <w:tc>
          <w:tcPr/>
          <w:p>
            <w:pPr>
              <w:pStyle w:val="Compact"/>
            </w:pPr>
            <w:r>
              <w:t xml:space="preserve">Possible refrain or chant closure repeated over multiple lines (the exact glyph “380.1” is hypothetical here, standing in for a glyph that recurs). Could mean a phrase like “thus indeed” or “came forth”.</w:t>
            </w:r>
          </w:p>
        </w:tc>
        <w:tc>
          <w:tcPr/>
          <w:p>
            <w:pPr>
              <w:pStyle w:val="Compact"/>
            </w:pPr>
            <w:r>
              <w:t xml:space="preserve">Mamari Cv2–Cv4 reportedly have a repeated</w:t>
            </w:r>
            <w:r>
              <w:t xml:space="preserve"> </w:t>
            </w:r>
            <w:r>
              <w:rPr>
                <w:i/>
                <w:iCs/>
              </w:rPr>
              <w:t xml:space="preserve">380.1</w:t>
            </w:r>
            <w:r>
              <w:t xml:space="preserve"> </w:t>
            </w:r>
            <w:r>
              <w:t xml:space="preserve">glyph</w:t>
            </w:r>
            <w:hyperlink r:id="rId44">
              <w:r>
                <w:rPr>
                  <w:rStyle w:val="Hyperlink"/>
                </w:rPr>
                <w:t xml:space="preserve">[24]</w:t>
              </w:r>
            </w:hyperlink>
            <w:r>
              <w:t xml:space="preserve">. If true, it might act like a punctuation or the word</w:t>
            </w:r>
            <w:r>
              <w:t xml:space="preserve"> </w:t>
            </w:r>
            <w:r>
              <w:rPr>
                <w:i/>
                <w:iCs/>
              </w:rPr>
              <w:t xml:space="preserve">“pú”</w:t>
            </w:r>
            <w:r>
              <w:t xml:space="preserve"> </w:t>
            </w:r>
            <w:r>
              <w:t xml:space="preserve">(came forth) repeated, akin to how</w:t>
            </w:r>
            <w:r>
              <w:t xml:space="preserve"> </w:t>
            </w:r>
            <w:r>
              <w:rPr>
                <w:i/>
                <w:iCs/>
              </w:rPr>
              <w:t xml:space="preserve">Atua Matariri</w:t>
            </w:r>
            <w:r>
              <w:t xml:space="preserve"> </w:t>
            </w:r>
            <w:r>
              <w:t xml:space="preserve">repeats</w:t>
            </w:r>
            <w:r>
              <w:t xml:space="preserve"> </w:t>
            </w:r>
            <w:r>
              <w:rPr>
                <w:i/>
                <w:iCs/>
              </w:rPr>
              <w:t xml:space="preserve">“ka pú te …”</w:t>
            </w:r>
            <w:r>
              <w:t xml:space="preserve"> </w:t>
            </w:r>
            <w:r>
              <w:t xml:space="preserve">every verse</w:t>
            </w:r>
            <w:hyperlink r:id="rId29">
              <w:r>
                <w:rPr>
                  <w:rStyle w:val="Hyperlink"/>
                </w:rPr>
                <w:t xml:space="preserve">[8]</w:t>
              </w:r>
            </w:hyperlink>
            <w:r>
              <w:t xml:space="preserve">. We are investigating this glyph’s meaning via lexicon (no direct entry for 380, but possibly related to a word like</w:t>
            </w:r>
            <w:r>
              <w:t xml:space="preserve"> </w:t>
            </w:r>
            <w:r>
              <w:rPr>
                <w:i/>
                <w:iCs/>
              </w:rPr>
              <w:t xml:space="preserve">pu</w:t>
            </w:r>
            <w:r>
              <w:t xml:space="preserve"> </w:t>
            </w:r>
            <w:r>
              <w:t xml:space="preserve">or</w:t>
            </w:r>
            <w:r>
              <w:t xml:space="preserve"> </w:t>
            </w:r>
            <w:r>
              <w:rPr>
                <w:i/>
                <w:iCs/>
              </w:rPr>
              <w:t xml:space="preserve">pua</w:t>
            </w:r>
            <w:r>
              <w:t xml:space="preserve"> </w:t>
            </w:r>
            <w:r>
              <w:t xml:space="preserve">meaning to appear or flower).</w:t>
            </w:r>
          </w:p>
        </w:tc>
      </w:tr>
    </w:tbl>
    <w:p>
      <w:pPr>
        <w:pStyle w:val="BodyText"/>
      </w:pPr>
      <w:r>
        <w:rPr>
          <w:i/>
          <w:iCs/>
        </w:rPr>
        <w:t xml:space="preserve">Note:</w:t>
      </w:r>
      <w:r>
        <w:t xml:space="preserve"> </w:t>
      </w:r>
      <w:r>
        <w:t xml:space="preserve">The above patterns are illustrative, synthesizing evidence from Mamari and comparative texts. Some (like the calendar crescents and heralds) are directly attested on Mamari</w:t>
      </w:r>
      <w:hyperlink r:id="rId50">
        <w:r>
          <w:rPr>
            <w:rStyle w:val="Hyperlink"/>
          </w:rPr>
          <w:t xml:space="preserve">[74]</w:t>
        </w:r>
      </w:hyperlink>
      <w:r>
        <w:t xml:space="preserve">, while others (like the specific 606.76-700-8 triad) are drawn from the Staff as a template for what we seek in Mamari</w:t>
      </w:r>
      <w:hyperlink r:id="rId38">
        <w:r>
          <w:rPr>
            <w:rStyle w:val="Hyperlink"/>
          </w:rPr>
          <w:t xml:space="preserve">[18]</w:t>
        </w:r>
      </w:hyperlink>
      <w:r>
        <w:t xml:space="preserve">. Ongoing analysis will confirm which of these patterns occur verbatim in Mamari and refine their translations accordingly. All interpretations are subject to revision with new data, but they demonstrate the methodology of reading recurring structures against Rapanui linguistic and mythological frameworks.</w:t>
      </w:r>
    </w:p>
    <w:bookmarkEnd w:id="122"/>
    <w:bookmarkEnd w:id="123"/>
    <w:bookmarkEnd w:id="124"/>
    <w:p>
      <w:r>
        <w:pict>
          <v:rect style="width:0;height:1.5pt" o:hralign="center" o:hrstd="t" o:hr="t"/>
        </w:pict>
      </w:r>
    </w:p>
    <w:bookmarkStart w:id="137" w:name="citations"/>
    <w:p>
      <w:pPr>
        <w:pStyle w:val="FirstParagraph"/>
      </w:pPr>
      <w:hyperlink r:id="rId21">
        <w:r>
          <w:rPr>
            <w:rStyle w:val="Hyperlink"/>
          </w:rPr>
          <w:t xml:space="preserve">[1]</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4">
        <w:r>
          <w:rPr>
            <w:rStyle w:val="Hyperlink"/>
          </w:rPr>
          <w:t xml:space="preserve">[46]</w:t>
        </w:r>
      </w:hyperlink>
      <w:r>
        <w:t xml:space="preserve"> </w:t>
      </w:r>
      <w:hyperlink r:id="rId89">
        <w:r>
          <w:rPr>
            <w:rStyle w:val="Hyperlink"/>
          </w:rPr>
          <w:t xml:space="preserve">[68]</w:t>
        </w:r>
      </w:hyperlink>
      <w:r>
        <w:t xml:space="preserve"> </w:t>
      </w:r>
      <w:r>
        <w:t xml:space="preserve">Rongorongo text C - Wikipedia</w:t>
      </w:r>
    </w:p>
    <w:p>
      <w:pPr>
        <w:pStyle w:val="BodyText"/>
      </w:pPr>
      <w:hyperlink r:id="rId125">
        <w:r>
          <w:rPr>
            <w:rStyle w:val="Hyperlink"/>
          </w:rPr>
          <w:t xml:space="preserve">https://en.wikipedia.org/wiki/Rongorongo_text_C</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0">
        <w:r>
          <w:rPr>
            <w:rStyle w:val="Hyperlink"/>
          </w:rPr>
          <w:t xml:space="preserve">[30]</w:t>
        </w:r>
      </w:hyperlink>
      <w:r>
        <w:t xml:space="preserve"> </w:t>
      </w:r>
      <w:hyperlink r:id="rId54">
        <w:r>
          <w:rPr>
            <w:rStyle w:val="Hyperlink"/>
          </w:rPr>
          <w:t xml:space="preserve">[33]</w:t>
        </w:r>
      </w:hyperlink>
      <w:r>
        <w:t xml:space="preserve"> </w:t>
      </w:r>
      <w:hyperlink r:id="rId60">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32">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5">
        <w:r>
          <w:rPr>
            <w:rStyle w:val="Hyperlink"/>
          </w:rPr>
          <w:t xml:space="preserve">[63]</w:t>
        </w:r>
      </w:hyperlink>
      <w:r>
        <w:t xml:space="preserve"> </w:t>
      </w:r>
      <w:hyperlink r:id="rId47">
        <w:r>
          <w:rPr>
            <w:rStyle w:val="Hyperlink"/>
          </w:rPr>
          <w:t xml:space="preserve">[67]</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50">
        <w:r>
          <w:rPr>
            <w:rStyle w:val="Hyperlink"/>
          </w:rPr>
          <w:t xml:space="preserve">[74]</w:t>
        </w:r>
      </w:hyperlink>
      <w:r>
        <w:t xml:space="preserve"> </w:t>
      </w:r>
      <w:hyperlink r:id="rId96">
        <w:r>
          <w:rPr>
            <w:rStyle w:val="Hyperlink"/>
          </w:rPr>
          <w:t xml:space="preserve">[75]</w:t>
        </w:r>
      </w:hyperlink>
      <w:r>
        <w:t xml:space="preserve"> </w:t>
      </w:r>
      <w:hyperlink r:id="rId101">
        <w:r>
          <w:rPr>
            <w:rStyle w:val="Hyperlink"/>
          </w:rPr>
          <w:t xml:space="preserve">[78]</w:t>
        </w:r>
      </w:hyperlink>
      <w:r>
        <w:t xml:space="preserve"> </w:t>
      </w:r>
      <w:hyperlink r:id="rId23">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hyperlink r:id="rId101">
        <w:r>
          <w:rPr>
            <w:rStyle w:val="Hyperlink"/>
          </w:rPr>
          <w:t xml:space="preserve">[87]</w:t>
        </w:r>
      </w:hyperlink>
      <w:r>
        <w:t xml:space="preserve"> </w:t>
      </w:r>
      <w:hyperlink r:id="rId109">
        <w:r>
          <w:rPr>
            <w:rStyle w:val="Hyperlink"/>
          </w:rPr>
          <w:t xml:space="preserve">[88]</w:t>
        </w:r>
      </w:hyperlink>
      <w:r>
        <w:t xml:space="preserve"> </w:t>
      </w:r>
      <w:hyperlink r:id="rId111">
        <w:r>
          <w:rPr>
            <w:rStyle w:val="Hyperlink"/>
          </w:rPr>
          <w:t xml:space="preserve">[90]</w:t>
        </w:r>
      </w:hyperlink>
      <w:r>
        <w:t xml:space="preserve"> </w:t>
      </w:r>
      <w:hyperlink r:id="rId112">
        <w:r>
          <w:rPr>
            <w:rStyle w:val="Hyperlink"/>
          </w:rPr>
          <w:t xml:space="preserve">[91]</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16">
        <w:r>
          <w:rPr>
            <w:rStyle w:val="Hyperlink"/>
          </w:rPr>
          <w:t xml:space="preserve">[95]</w:t>
        </w:r>
      </w:hyperlink>
      <w:r>
        <w:t xml:space="preserve"> </w:t>
      </w:r>
      <w:hyperlink r:id="rId118">
        <w:r>
          <w:rPr>
            <w:rStyle w:val="Hyperlink"/>
          </w:rPr>
          <w:t xml:space="preserve">[96]</w:t>
        </w:r>
      </w:hyperlink>
      <w:r>
        <w:t xml:space="preserve"> </w:t>
      </w:r>
      <w:hyperlink r:id="rId120">
        <w:r>
          <w:rPr>
            <w:rStyle w:val="Hyperlink"/>
          </w:rPr>
          <w:t xml:space="preserve">[98]</w:t>
        </w:r>
      </w:hyperlink>
      <w:r>
        <w:t xml:space="preserve"> </w:t>
      </w:r>
      <w:r>
        <w:t xml:space="preserve">Decipherment of rongorongo - Wikipedia</w:t>
      </w:r>
    </w:p>
    <w:p>
      <w:pPr>
        <w:pStyle w:val="BodyText"/>
      </w:pPr>
      <w:hyperlink r:id="rId126">
        <w:r>
          <w:rPr>
            <w:rStyle w:val="Hyperlink"/>
          </w:rPr>
          <w:t xml:space="preserve">https://en.wikipedia.org/wiki/Decipherment_of_rongorongo</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9">
        <w:r>
          <w:rPr>
            <w:rStyle w:val="Hyperlink"/>
          </w:rPr>
          <w:t xml:space="preserve">[29]</w:t>
        </w:r>
      </w:hyperlink>
      <w:r>
        <w:t xml:space="preserve"> </w:t>
      </w:r>
      <w:hyperlink r:id="rId52">
        <w:r>
          <w:rPr>
            <w:rStyle w:val="Hyperlink"/>
          </w:rPr>
          <w:t xml:space="preserve">[31]</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92">
        <w:r>
          <w:rPr>
            <w:rStyle w:val="Hyperlink"/>
          </w:rPr>
          <w:t xml:space="preserve">[70]</w:t>
        </w:r>
      </w:hyperlink>
      <w:r>
        <w:t xml:space="preserve"> </w:t>
      </w:r>
      <w:r>
        <w:t xml:space="preserve">rongorongo_signs.json</w:t>
      </w:r>
    </w:p>
    <w:p>
      <w:pPr>
        <w:pStyle w:val="BodyText"/>
      </w:pPr>
      <w:hyperlink r:id="rId127">
        <w:r>
          <w:rPr>
            <w:rStyle w:val="Hyperlink"/>
          </w:rPr>
          <w:t xml:space="preserve">file://file-33ZjiqaoViPoHaDhL9xBmQ</w:t>
        </w:r>
      </w:hyperlink>
    </w:p>
    <w:p>
      <w:pPr>
        <w:pStyle w:val="BodyText"/>
      </w:pPr>
      <w:hyperlink r:id="rId45">
        <w:r>
          <w:rPr>
            <w:rStyle w:val="Hyperlink"/>
          </w:rPr>
          <w:t xml:space="preserve">[25]</w:t>
        </w:r>
      </w:hyperlink>
      <w:r>
        <w:t xml:space="preserve"> </w:t>
      </w:r>
      <w:r>
        <w:t xml:space="preserve">PRELIMINARY EVIDENCE FOR COSMOGONIC TEXTS IN ... - jstor</w:t>
      </w:r>
    </w:p>
    <w:p>
      <w:pPr>
        <w:pStyle w:val="BodyText"/>
      </w:pPr>
      <w:hyperlink r:id="rId128">
        <w:r>
          <w:rPr>
            <w:rStyle w:val="Hyperlink"/>
          </w:rPr>
          <w:t xml:space="preserve">https://www.jstor.org/stable/20706625</w:t>
        </w:r>
      </w:hyperlink>
    </w:p>
    <w:p>
      <w:pPr>
        <w:pStyle w:val="BodyText"/>
      </w:pPr>
      <w:hyperlink r:id="rId53">
        <w:r>
          <w:rPr>
            <w:rStyle w:val="Hyperlink"/>
          </w:rPr>
          <w:t xml:space="preserve">[32]</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80">
        <w:r>
          <w:rPr>
            <w:rStyle w:val="Hyperlink"/>
          </w:rPr>
          <w:t xml:space="preserve">[59]</w:t>
        </w:r>
      </w:hyperlink>
      <w:r>
        <w:t xml:space="preserve"> </w:t>
      </w:r>
      <w:hyperlink r:id="rId113">
        <w:r>
          <w:rPr>
            <w:rStyle w:val="Hyperlink"/>
          </w:rPr>
          <w:t xml:space="preserve">[92]</w:t>
        </w:r>
      </w:hyperlink>
      <w:r>
        <w:t xml:space="preserve"> </w:t>
      </w:r>
      <w:hyperlink r:id="rId119">
        <w:r>
          <w:rPr>
            <w:rStyle w:val="Hyperlink"/>
          </w:rPr>
          <w:t xml:space="preserve">[97]</w:t>
        </w:r>
      </w:hyperlink>
      <w:r>
        <w:t xml:space="preserve"> </w:t>
      </w:r>
      <w:r>
        <w:t xml:space="preserve">rongorongo_lexicon.json</w:t>
      </w:r>
    </w:p>
    <w:p>
      <w:pPr>
        <w:pStyle w:val="BodyText"/>
      </w:pPr>
      <w:hyperlink r:id="rId129">
        <w:r>
          <w:rPr>
            <w:rStyle w:val="Hyperlink"/>
          </w:rPr>
          <w:t xml:space="preserve">file://file-6kzTLW3jdvuTG8pr7SyDQ4</w:t>
        </w:r>
      </w:hyperlink>
    </w:p>
    <w:p>
      <w:pPr>
        <w:pStyle w:val="BodyText"/>
      </w:pPr>
      <w:hyperlink r:id="rId86">
        <w:r>
          <w:rPr>
            <w:rStyle w:val="Hyperlink"/>
          </w:rPr>
          <w:t xml:space="preserve">[64]</w:t>
        </w:r>
      </w:hyperlink>
      <w:r>
        <w:t xml:space="preserve"> </w:t>
      </w:r>
      <w:r>
        <w:t xml:space="preserve">Decipherment of rongorongo | Cerámica Wiki - Fandom</w:t>
      </w:r>
    </w:p>
    <w:p>
      <w:pPr>
        <w:pStyle w:val="BodyText"/>
      </w:pPr>
      <w:hyperlink r:id="rId130">
        <w:r>
          <w:rPr>
            <w:rStyle w:val="Hyperlink"/>
          </w:rPr>
          <w:t xml:space="preserve">https://ceramica.fandom.com/wiki/Decipherment_of_rongorongo</w:t>
        </w:r>
      </w:hyperlink>
    </w:p>
    <w:p>
      <w:pPr>
        <w:pStyle w:val="BodyText"/>
      </w:pPr>
      <w:hyperlink r:id="rId87">
        <w:r>
          <w:rPr>
            <w:rStyle w:val="Hyperlink"/>
          </w:rPr>
          <w:t xml:space="preserve">[65]</w:t>
        </w:r>
      </w:hyperlink>
      <w:r>
        <w:t xml:space="preserve"> </w:t>
      </w:r>
      <w:r>
        <w:t xml:space="preserve">Rongorongo tablet from the Ethnological Museum, Berlin</w:t>
      </w:r>
    </w:p>
    <w:p>
      <w:pPr>
        <w:pStyle w:val="BodyText"/>
      </w:pPr>
      <w:hyperlink r:id="rId131">
        <w:r>
          <w:rPr>
            <w:rStyle w:val="Hyperlink"/>
          </w:rPr>
          <w:t xml:space="preserve">https://journals.openedition.org/jso/6695?lang=en</w:t>
        </w:r>
      </w:hyperlink>
    </w:p>
    <w:p>
      <w:pPr>
        <w:pStyle w:val="BodyText"/>
      </w:pPr>
      <w:hyperlink r:id="rId88">
        <w:r>
          <w:rPr>
            <w:rStyle w:val="Hyperlink"/>
          </w:rPr>
          <w:t xml:space="preserve">[66]</w:t>
        </w:r>
      </w:hyperlink>
      <w:r>
        <w:t xml:space="preserve"> </w:t>
      </w:r>
      <w:r>
        <w:t xml:space="preserve">[PDF] The double-body glyphs and palaeographic chronology in ... - eVols</w:t>
      </w:r>
    </w:p>
    <w:p>
      <w:pPr>
        <w:pStyle w:val="BodyText"/>
      </w:pPr>
      <w:hyperlink r:id="rId132">
        <w:r>
          <w:rPr>
            <w:rStyle w:val="Hyperlink"/>
          </w:rPr>
          <w:t xml:space="preserve">https://evols.library.manoa.hawaii.edu/bitstreams/2c189094-2344-42bd-8727-2592e154858f/download</w:t>
        </w:r>
      </w:hyperlink>
    </w:p>
    <w:p>
      <w:pPr>
        <w:pStyle w:val="BodyText"/>
      </w:pPr>
      <w:hyperlink r:id="rId90">
        <w:r>
          <w:rPr>
            <w:rStyle w:val="Hyperlink"/>
          </w:rPr>
          <w:t xml:space="preserve">[69]</w:t>
        </w:r>
      </w:hyperlink>
      <w:r>
        <w:t xml:space="preserve"> </w:t>
      </w:r>
      <w:r>
        <w:t xml:space="preserve">[PDF] DECIPHERMENT OF THE EASTER ISLAND SCRIPT</w:t>
      </w:r>
    </w:p>
    <w:p>
      <w:pPr>
        <w:pStyle w:val="BodyText"/>
      </w:pPr>
      <w:hyperlink r:id="rId133">
        <w:r>
          <w:rPr>
            <w:rStyle w:val="Hyperlink"/>
          </w:rPr>
          <w:t xml:space="preserve">https://hup.fi/chapters/18/files/e358cfc7-72fe-499f-8c7e-eb294e9daab4.pdf</w:t>
        </w:r>
      </w:hyperlink>
    </w:p>
    <w:p>
      <w:pPr>
        <w:pStyle w:val="BodyText"/>
      </w:pPr>
      <w:hyperlink r:id="rId97">
        <w:r>
          <w:rPr>
            <w:rStyle w:val="Hyperlink"/>
          </w:rPr>
          <w:t xml:space="preserve">[76]</w:t>
        </w:r>
      </w:hyperlink>
      <w:r>
        <w:t xml:space="preserve"> </w:t>
      </w:r>
      <w:hyperlink r:id="rId98">
        <w:r>
          <w:rPr>
            <w:rStyle w:val="Hyperlink"/>
          </w:rPr>
          <w:t xml:space="preserve">[77]</w:t>
        </w:r>
      </w:hyperlink>
      <w:r>
        <w:t xml:space="preserve"> </w:t>
      </w:r>
      <w:r>
        <w:t xml:space="preserve">Rongorongo Script: Carving Techniques and Scribal Corrections</w:t>
      </w:r>
    </w:p>
    <w:p>
      <w:pPr>
        <w:pStyle w:val="BodyText"/>
      </w:pPr>
      <w:hyperlink r:id="rId134">
        <w:r>
          <w:rPr>
            <w:rStyle w:val="Hyperlink"/>
          </w:rPr>
          <w:t xml:space="preserve">https://journals.openedition.org/jso/5813?lang=en</w:t>
        </w:r>
      </w:hyperlink>
    </w:p>
    <w:p>
      <w:pPr>
        <w:pStyle w:val="BodyText"/>
      </w:pPr>
      <w:hyperlink r:id="rId110">
        <w:r>
          <w:rPr>
            <w:rStyle w:val="Hyperlink"/>
          </w:rPr>
          <w:t xml:space="preserve">[89]</w:t>
        </w:r>
      </w:hyperlink>
      <w:r>
        <w:t xml:space="preserve"> </w:t>
      </w:r>
      <w:r>
        <w:t xml:space="preserve">Astronomical Content in Rongorongo Tablet Keiti</w:t>
      </w:r>
    </w:p>
    <w:p>
      <w:pPr>
        <w:pStyle w:val="BodyText"/>
      </w:pPr>
      <w:hyperlink r:id="rId135">
        <w:r>
          <w:rPr>
            <w:rStyle w:val="Hyperlink"/>
          </w:rPr>
          <w:t xml:space="preserve">https://journals.openedition.org/jso/6272?lang=en</w:t>
        </w:r>
      </w:hyperlink>
    </w:p>
    <w:p>
      <w:pPr>
        <w:pStyle w:val="BodyText"/>
      </w:pPr>
      <w:hyperlink r:id="rId121">
        <w:r>
          <w:rPr>
            <w:rStyle w:val="Hyperlink"/>
          </w:rPr>
          <w:t xml:space="preserve">[99]</w:t>
        </w:r>
      </w:hyperlink>
      <w:r>
        <w:t xml:space="preserve"> </w:t>
      </w:r>
      <w:r>
        <w:t xml:space="preserve">[PDF] Statistical Reassessment of Rongorongo Texts I, Gv, and T - OSF</w:t>
      </w:r>
    </w:p>
    <w:p>
      <w:pPr>
        <w:pStyle w:val="BodyText"/>
      </w:pPr>
      <w:hyperlink r:id="rId136">
        <w:r>
          <w:rPr>
            <w:rStyle w:val="Hyperlink"/>
          </w:rPr>
          <w:t xml:space="preserve">https://files.osf.io/v1/resources/vjsna/providers/osfstorage/66956620ec07f904adbdc308?action=download&amp;direct&amp;version=1</w:t>
        </w:r>
      </w:hyperlink>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7" Target="file://file-33ZjiqaoViPoHaDhL9xBmQ" TargetMode="External" /><Relationship Type="http://schemas.openxmlformats.org/officeDocument/2006/relationships/hyperlink" Id="rId59" Target="file://file-33ZjiqaoViPoHaDhL9xBmQ#:~:text=%7B%20," TargetMode="External" /><Relationship Type="http://schemas.openxmlformats.org/officeDocument/2006/relationships/hyperlink" Id="rId74" Target="file://file-33ZjiqaoViPoHaDhL9xBmQ#:~:text=%7B%20,60" TargetMode="External" /><Relationship Type="http://schemas.openxmlformats.org/officeDocument/2006/relationships/hyperlink" Id="rId57" Target="file://file-33ZjiqaoViPoHaDhL9xBmQ#:~:text=," TargetMode="External" /><Relationship Type="http://schemas.openxmlformats.org/officeDocument/2006/relationships/hyperlink" Id="rId52" Target="file://file-33ZjiqaoViPoHaDhL9xBmQ#:~:text=,300" TargetMode="External" /><Relationship Type="http://schemas.openxmlformats.org/officeDocument/2006/relationships/hyperlink" Id="rId26" Target="file://file-33ZjiqaoViPoHaDhL9xBmQ#:~:text=,Anthropomorphic%20authority%20figure%2C%20patronymic%20sequences" TargetMode="External" /><Relationship Type="http://schemas.openxmlformats.org/officeDocument/2006/relationships/hyperlink" Id="rId92" Target="file://file-33ZjiqaoViPoHaDhL9xBmQ#:~:text=,as%20plural%20affix%20when%20combined" TargetMode="External" /><Relationship Type="http://schemas.openxmlformats.org/officeDocument/2006/relationships/hyperlink" Id="rId25" Target="file://file-33ZjiqaoViPoHaDhL9xBmQ#:~:text=,breast%20%2F%20nurture%20%2F%20female" TargetMode="External" /><Relationship Type="http://schemas.openxmlformats.org/officeDocument/2006/relationships/hyperlink" Id="rId58" Target="file://file-33ZjiqaoViPoHaDhL9xBmQ#:~:text=,child%20%2F%20young%20%2F%20offspring" TargetMode="External" /><Relationship Type="http://schemas.openxmlformats.org/officeDocument/2006/relationships/hyperlink" Id="rId28" Target="file://file-33ZjiqaoViPoHaDhL9xBmQ#:~:text=,form%2C%20creation%20chants%2C%20sexual%20sequences" TargetMode="External" /><Relationship Type="http://schemas.openxmlformats.org/officeDocument/2006/relationships/hyperlink" Id="rId49" Target="file://file-33ZjiqaoViPoHaDhL9xBmQ#:~:text=,hand%2Fplural%20marker" TargetMode="External" /><Relationship Type="http://schemas.openxmlformats.org/officeDocument/2006/relationships/hyperlink" Id="rId27" Target="file://file-33ZjiqaoViPoHaDhL9xBmQ#:~:text=,king%20%2F%20ruler%20%2F%20man" TargetMode="External" /><Relationship Type="http://schemas.openxmlformats.org/officeDocument/2006/relationships/hyperlink" Id="rId73" Target="file://file-33ZjiqaoViPoHaDhL9xBmQ#:~:text=,stone%20%2F%20rock%20%2F%20hard" TargetMode="External" /><Relationship Type="http://schemas.openxmlformats.org/officeDocument/2006/relationships/hyperlink" Id="rId129" Target="file://file-6kzTLW3jdvuTG8pr7SyDQ4" TargetMode="External" /><Relationship Type="http://schemas.openxmlformats.org/officeDocument/2006/relationships/hyperlink" Id="rId71" Target="file://file-6kzTLW3jdvuTG8pr7SyDQ4#:~:text=%7B%20," TargetMode="External" /><Relationship Type="http://schemas.openxmlformats.org/officeDocument/2006/relationships/hyperlink" Id="rId70" Target="file://file-6kzTLW3jdvuTG8pr7SyDQ4#:~:text=%7B%20,%7D%2C" TargetMode="External" /><Relationship Type="http://schemas.openxmlformats.org/officeDocument/2006/relationships/hyperlink" Id="rId56" Target="file://file-6kzTLW3jdvuTG8pr7SyDQ4#:~:text=%7D%2C%20%7B%20,Forebear%2C%20genealogical%20predecessor" TargetMode="External" /><Relationship Type="http://schemas.openxmlformats.org/officeDocument/2006/relationships/hyperlink" Id="rId80" Target="file://file-6kzTLW3jdvuTG8pr7SyDQ4#:~:text=," TargetMode="External" /><Relationship Type="http://schemas.openxmlformats.org/officeDocument/2006/relationships/hyperlink" Id="rId67" Target="file://file-6kzTLW3jdvuTG8pr7SyDQ4#:~:text=,610" TargetMode="External" /><Relationship Type="http://schemas.openxmlformats.org/officeDocument/2006/relationships/hyperlink" Id="rId53" Target="file://file-6kzTLW3jdvuTG8pr7SyDQ4#:~:text=,76" TargetMode="External" /><Relationship Type="http://schemas.openxmlformats.org/officeDocument/2006/relationships/hyperlink" Id="rId119" Target="file://file-6kzTLW3jdvuTG8pr7SyDQ4#:~:text=,Knorozov%20social%20hierarchy" TargetMode="External" /><Relationship Type="http://schemas.openxmlformats.org/officeDocument/2006/relationships/hyperlink" Id="rId69" Target="file://file-6kzTLW3jdvuTG8pr7SyDQ4#:~:text=,beginning" TargetMode="External" /><Relationship Type="http://schemas.openxmlformats.org/officeDocument/2006/relationships/hyperlink" Id="rId113" Target="file://file-6kzTLW3jdvuTG8pr7SyDQ4#:~:text=,figure%2C%20appears%20in%20genealogical%20contexts" TargetMode="External" /><Relationship Type="http://schemas.openxmlformats.org/officeDocument/2006/relationships/hyperlink" Id="rId68" Target="file://file-6kzTLW3jdvuTG8pr7SyDQ4#:~:text=,origin" TargetMode="External" /><Relationship Type="http://schemas.openxmlformats.org/officeDocument/2006/relationships/hyperlink" Id="rId55" Target="file://file-6kzTLW3jdvuTG8pr7SyDQ4#:~:text=,sacrifice" TargetMode="External" /><Relationship Type="http://schemas.openxmlformats.org/officeDocument/2006/relationships/hyperlink" Id="rId72" Target="file://file-6kzTLW3jdvuTG8pr7SyDQ4#:~:text=,star" TargetMode="External" /><Relationship Type="http://schemas.openxmlformats.org/officeDocument/2006/relationships/hyperlink" Id="rId130" Target="https://ceramica.fandom.com/wiki/Decipherment_of_rongorongo" TargetMode="External" /><Relationship Type="http://schemas.openxmlformats.org/officeDocument/2006/relationships/hyperlink" Id="rId86" Target="https://ceramica.fandom.com/wiki/Decipherment_of_rongorongo#:~:text=Decipherment%20of%20rongorongo%20,the%20one" TargetMode="External" /><Relationship Type="http://schemas.openxmlformats.org/officeDocument/2006/relationships/hyperlink" Id="rId126" Target="https://en.wikipedia.org/wiki/Decipherment_of_rongorongo" TargetMode="External" /><Relationship Type="http://schemas.openxmlformats.org/officeDocument/2006/relationships/hyperlink" Id="rId32" Target="https://en.wikipedia.org/wiki/Decipherment_of_rongorongo#:~:text=%22Tiki,meat%20%28%3F%29%22%20%28verse%2032" TargetMode="External" /><Relationship Type="http://schemas.openxmlformats.org/officeDocument/2006/relationships/hyperlink" Id="rId78" Target="https://en.wikipedia.org/wiki/Decipherment_of_rongorongo#:~:text=%27phonetic%27.,does%20not%20follow%20from%20his" TargetMode="External" /><Relationship Type="http://schemas.openxmlformats.org/officeDocument/2006/relationships/hyperlink" Id="rId42" Target="https://en.wikipedia.org/wiki/Decipherment_of_rongorongo#:~:text=%28black%20nightshade%2C%20Solanum%20nigrum%29.,%E2%80%94%20M%C3%A9traux" TargetMode="External" /><Relationship Type="http://schemas.openxmlformats.org/officeDocument/2006/relationships/hyperlink" Id="rId31" Target="https://en.wikipedia.org/wiki/Decipherment_of_rongorongo#:~:text=,%28verse%2016" TargetMode="External" /><Relationship Type="http://schemas.openxmlformats.org/officeDocument/2006/relationships/hyperlink" Id="rId75" Target="https://en.wikipedia.org/wiki/Decipherment_of_rongorongo#:~:text=,51" TargetMode="External" /><Relationship Type="http://schemas.openxmlformats.org/officeDocument/2006/relationships/hyperlink" Id="rId66" Target="https://en.wikipedia.org/wiki/Decipherment_of_rongorongo#:~:text=,does%20not%20follow%20from%20his" TargetMode="External" /><Relationship Type="http://schemas.openxmlformats.org/officeDocument/2006/relationships/hyperlink" Id="rId62" Target="https://en.wikipedia.org/wiki/Decipherment_of_rongorongo#:~:text=,from%20his%20Rapanui%20transcription%20of" TargetMode="External" /><Relationship Type="http://schemas.openxmlformats.org/officeDocument/2006/relationships/hyperlink" Id="rId120" Target="https://en.wikipedia.org/wiki/Decipherment_of_rongorongo#:~:text=,that%20the%20staff%20stood%20alone" TargetMode="External" /><Relationship Type="http://schemas.openxmlformats.org/officeDocument/2006/relationships/hyperlink" Id="rId106" Target="https://en.wikipedia.org/wiki/Decipherment_of_rongorongo#:~:text=10%20%20hua%2024%20,hotu%20%26%20hiro%20intercalary%20days" TargetMode="External" /><Relationship Type="http://schemas.openxmlformats.org/officeDocument/2006/relationships/hyperlink" Id="rId112" Target="https://en.wikipedia.org/wiki/Decipherment_of_rongorongo#:~:text=10%20,12" TargetMode="External" /><Relationship Type="http://schemas.openxmlformats.org/officeDocument/2006/relationships/hyperlink" Id="rId116" Target="https://en.wikipedia.org/wiki/Decipherment_of_rongorongo#:~:text=13%20%20ina,hotu%20%26%20hiro%20intercalary%20days" TargetMode="External" /><Relationship Type="http://schemas.openxmlformats.org/officeDocument/2006/relationships/hyperlink" Id="rId104" Target="https://en.wikipedia.org/wiki/Decipherment_of_rongorongo#:~:text=8%20%20kokore%206%20,moon%20%2C%20maharu%20%20157" TargetMode="External" /><Relationship Type="http://schemas.openxmlformats.org/officeDocument/2006/relationships/hyperlink" Id="rId82" Target="https://en.wikipedia.org/wiki/Decipherment_of_rongorongo#:~:text=Although%20no,victim" TargetMode="External" /><Relationship Type="http://schemas.openxmlformats.org/officeDocument/2006/relationships/hyperlink" Id="rId103" Target="https://en.wikipedia.org/wiki/Decipherment_of_rongorongo#:~:text=Among%20the%20ethnographic%20data%20Thomson,used%20a%20%20100%20with" TargetMode="External" /><Relationship Type="http://schemas.openxmlformats.org/officeDocument/2006/relationships/hyperlink" Id="rId33" Target="https://en.wikipedia.org/wiki/Decipherment_of_rongorongo#:~:text=Apai%20,C%20%28Mamari" TargetMode="External" /><Relationship Type="http://schemas.openxmlformats.org/officeDocument/2006/relationships/hyperlink" Id="rId30" Target="https://en.wikipedia.org/wiki/Decipherment_of_rongorongo#:~:text=Atua%20Matariri%2C%20so%20called%20from,and%20then%20according%20to%20M%C3%A9traux" TargetMode="External" /><Relationship Type="http://schemas.openxmlformats.org/officeDocument/2006/relationships/hyperlink" Id="rId36" Target="https://en.wikipedia.org/wiki/Decipherment_of_rongorongo#:~:text=Fischer%20identified%20glyph%2076%20as,primary%20example%20was%20this%20one" TargetMode="External" /><Relationship Type="http://schemas.openxmlformats.org/officeDocument/2006/relationships/hyperlink" Id="rId35" Target="https://en.wikipedia.org/wiki/Decipherment_of_rongorongo#:~:text=Fischer%20notes%20that%20the%20long,citation%20needed%5D%5B%20note%2016" TargetMode="External" /><Relationship Type="http://schemas.openxmlformats.org/officeDocument/2006/relationships/hyperlink" Id="rId41" Target="https://en.wikipedia.org/wiki/Decipherment_of_rongorongo#:~:text=Fischer%20proposed%20that%20the%20glyph,the%20analogous%20phonetic%20reading%20of" TargetMode="External" /><Relationship Type="http://schemas.openxmlformats.org/officeDocument/2006/relationships/hyperlink" Id="rId37" Target="https://en.wikipedia.org/wiki/Decipherment_of_rongorongo#:~:text=Fischer%20supported%20his%20interpretation%20by,glottal%20stops%20or%20long%20vowels" TargetMode="External" /><Relationship Type="http://schemas.openxmlformats.org/officeDocument/2006/relationships/hyperlink" Id="rId22" Target="https://en.wikipedia.org/wiki/Decipherment_of_rongorongo#:~:text=German%20ethnologist%20Thomas%20Barthel%20%2C,only%20example%20of%20rongorongo%20whose" TargetMode="External" /><Relationship Type="http://schemas.openxmlformats.org/officeDocument/2006/relationships/hyperlink" Id="rId94" Target="https://en.wikipedia.org/wiki/Decipherment_of_rongorongo#:~:text=Guy%20notes%20that%20the%20further,citation%20needed" TargetMode="External" /><Relationship Type="http://schemas.openxmlformats.org/officeDocument/2006/relationships/hyperlink" Id="rId63" Target="https://en.wikipedia.org/wiki/Decipherment_of_rongorongo#:~:text=He%20Hina%20,63" TargetMode="External" /><Relationship Type="http://schemas.openxmlformats.org/officeDocument/2006/relationships/hyperlink" Id="rId83" Target="https://en.wikipedia.org/wiki/Decipherment_of_rongorongo#:~:text=He%20claimed%20similar%20phallic%20triplets,59" TargetMode="External" /><Relationship Type="http://schemas.openxmlformats.org/officeDocument/2006/relationships/hyperlink" Id="rId38" Target="https://en.wikipedia.org/wiki/Decipherment_of_rongorongo#:~:text=Image%3A%20glyph%20sequence%20606,8" TargetMode="External" /><Relationship Type="http://schemas.openxmlformats.org/officeDocument/2006/relationships/hyperlink" Id="rId96" Target="https://en.wikipedia.org/wiki/Decipherment_of_rongorongo#:~:text=ImageThe%20Mamari%20calendar%20starts%20midway,follow%20the%20identified%20calendar" TargetMode="External" /><Relationship Type="http://schemas.openxmlformats.org/officeDocument/2006/relationships/hyperlink" Id="rId47" Target="https://en.wikipedia.org/wiki/Decipherment_of_rongorongo#:~:text=In%201957%20the%20Russian%20epigraphers,citation%20needed" TargetMode="External" /><Relationship Type="http://schemas.openxmlformats.org/officeDocument/2006/relationships/hyperlink" Id="rId23" Target="https://en.wikipedia.org/wiki/Decipherment_of_rongorongo#:~:text=In%20Guy%27s%20interpretation%2C%20the%20core,99" TargetMode="External" /><Relationship Type="http://schemas.openxmlformats.org/officeDocument/2006/relationships/hyperlink" Id="rId108" Target="https://en.wikipedia.org/wiki/Decipherment_of_rongorongo#:~:text=M%C3%A9traux%20and%20Englert%2C%20because%20they,13" TargetMode="External" /><Relationship Type="http://schemas.openxmlformats.org/officeDocument/2006/relationships/hyperlink" Id="rId46" Target="https://en.wikipedia.org/wiki/Decipherment_of_rongorongo#:~:text=Now%2C%20if%20the%20repeated%20independent,then%20this%20means%20something%20like" TargetMode="External" /><Relationship Type="http://schemas.openxmlformats.org/officeDocument/2006/relationships/hyperlink" Id="rId40" Target="https://en.wikipedia.org/wiki/Decipherment_of_rongorongo#:~:text=On%20the%20basis%20that%20the,citation%20needed" TargetMode="External" /><Relationship Type="http://schemas.openxmlformats.org/officeDocument/2006/relationships/hyperlink" Id="rId34" Target="https://en.wikipedia.org/wiki/Decipherment_of_rongorongo#:~:text=Salmon%27s%20Rapanui%20was%20not%20fluent%2C,become%20clearly%20ridiculous%20towards%20the" TargetMode="External" /><Relationship Type="http://schemas.openxmlformats.org/officeDocument/2006/relationships/hyperlink" Id="rId93" Target="https://en.wikipedia.org/wiki/Decipherment_of_rongorongo#:~:text=Seven%20of%20the%20calendrical%20crescents,citation%20needed" TargetMode="External" /><Relationship Type="http://schemas.openxmlformats.org/officeDocument/2006/relationships/hyperlink" Id="rId60" Target="https://en.wikipedia.org/wiki/Decipherment_of_rongorongo#:~:text=Since%20a%20proposal%20by%20Butinov,mnemonic%20device%2C%20such%20as%20the" TargetMode="External" /><Relationship Type="http://schemas.openxmlformats.org/officeDocument/2006/relationships/hyperlink" Id="rId65" Target="https://en.wikipedia.org/wiki/Decipherment_of_rongorongo#:~:text=Taking%20penis%20to%20mean%20,citation%20needed" TargetMode="External" /><Relationship Type="http://schemas.openxmlformats.org/officeDocument/2006/relationships/hyperlink" Id="rId105" Target="https://en.wikipedia.org/wiki/Decipherment_of_rongorongo#:~:text=The%20old%20calendar%20%20Day,6%20%2022%20%20matua" TargetMode="External" /><Relationship Type="http://schemas.openxmlformats.org/officeDocument/2006/relationships/hyperlink" Id="rId77" Target="https://en.wikipedia.org/wiki/Decipherment_of_rongorongo#:~:text=There%20are%20a%20number%20of,objections%20to%20Fischer%27s%20approach" TargetMode="External" /><Relationship Type="http://schemas.openxmlformats.org/officeDocument/2006/relationships/hyperlink" Id="rId95" Target="https://en.wikipedia.org/wiki/Decipherment_of_rongorongo#:~:text=These%20thirty%20nights%2C%20starting%20with,end%20of%20the%20calendar%2C%20introduced" TargetMode="External" /><Relationship Type="http://schemas.openxmlformats.org/officeDocument/2006/relationships/hyperlink" Id="rId50" Target="https://en.wikipedia.org/wiki/Decipherment_of_rongorongo#:~:text=These%20thirty%20nights%2C%20starting%20with,the%20two%20intercalary%20nights%20held" TargetMode="External" /><Relationship Type="http://schemas.openxmlformats.org/officeDocument/2006/relationships/hyperlink" Id="rId64" Target="https://en.wikipedia.org/wiki/Decipherment_of_rongorongo#:~:text=These%20verses%20summarize%20a%20myth,lists%20twenty%20procreations%20of%20Tiki" TargetMode="External" /><Relationship Type="http://schemas.openxmlformats.org/officeDocument/2006/relationships/hyperlink" Id="rId76" Target="https://en.wikipedia.org/wiki/Decipherment_of_rongorongo#:~:text=Ure%20Va%EA%9E%8Ce%20Iko%27s%20readings,84" TargetMode="External" /><Relationship Type="http://schemas.openxmlformats.org/officeDocument/2006/relationships/hyperlink" Id="rId39" Target="https://en.wikipedia.org/wiki/Decipherment_of_rongorongo#:~:text=about%20half,note%2017" TargetMode="External" /><Relationship Type="http://schemas.openxmlformats.org/officeDocument/2006/relationships/hyperlink" Id="rId48" Target="https://en.wikipedia.org/wiki/Decipherment_of_rongorongo#:~:text=and%20the%20sequence%20is%20a,lineage" TargetMode="External" /><Relationship Type="http://schemas.openxmlformats.org/officeDocument/2006/relationships/hyperlink" Id="rId81" Target="https://en.wikipedia.org/wiki/Decipherment_of_rongorongo#:~:text=divided%20by%20,citation%20needed%5D%5B%20note%2016" TargetMode="External" /><Relationship Type="http://schemas.openxmlformats.org/officeDocument/2006/relationships/hyperlink" Id="rId85" Target="https://en.wikipedia.org/wiki/Decipherment_of_rongorongo#:~:text=figure%2C%20giving%20every%20Fischer%20attribution,copulates%20with%20the%20fish%27%2C%20and" TargetMode="External" /><Relationship Type="http://schemas.openxmlformats.org/officeDocument/2006/relationships/hyperlink" Id="rId111" Target="https://en.wikipedia.org/wiki/Decipherment_of_rongorongo#:~:text=heralding%20sequences%20each%20contain%20two,citation%20needed" TargetMode="External" /><Relationship Type="http://schemas.openxmlformats.org/officeDocument/2006/relationships/hyperlink" Id="rId107" Target="https://en.wikipedia.org/wiki/Decipherment_of_rongorongo#:~:text=in%20the%20old%20calendar,citation%20needed" TargetMode="External" /><Relationship Type="http://schemas.openxmlformats.org/officeDocument/2006/relationships/hyperlink" Id="rId101" Target="https://en.wikipedia.org/wiki/Decipherment_of_rongorongo#:~:text=known%20as%20Mamari%2C%20as%20a,99" TargetMode="External" /><Relationship Type="http://schemas.openxmlformats.org/officeDocument/2006/relationships/hyperlink" Id="rId54" Target="https://en.wikipedia.org/wiki/Decipherment_of_rongorongo#:~:text=occurrences%20of%20glyph%2076%2C%20the,51" TargetMode="External" /><Relationship Type="http://schemas.openxmlformats.org/officeDocument/2006/relationships/hyperlink" Id="rId102" Target="https://en.wikipedia.org/wiki/Decipherment_of_rongorongo#:~:text=of%20the%20full%20moon%2C%20Image%3A,99" TargetMode="External" /><Relationship Type="http://schemas.openxmlformats.org/officeDocument/2006/relationships/hyperlink" Id="rId109" Target="https://en.wikipedia.org/wiki/Decipherment_of_rongorongo#:~:text=rebuses%20and%20correspondences%20with%20the,which%20do%20not%20have%20individual" TargetMode="External" /><Relationship Type="http://schemas.openxmlformats.org/officeDocument/2006/relationships/hyperlink" Id="rId29" Target="https://en.wikipedia.org/wiki/Decipherment_of_rongorongo#:~:text=recitations%2C%20Apai%20and%20Atua%20Matariri%2C,note%2011" TargetMode="External" /><Relationship Type="http://schemas.openxmlformats.org/officeDocument/2006/relationships/hyperlink" Id="rId114" Target="https://en.wikipedia.org/wiki/Decipherment_of_rongorongo#:~:text=should%20be%20inserted%20into%20the,citation%20needed" TargetMode="External" /><Relationship Type="http://schemas.openxmlformats.org/officeDocument/2006/relationships/hyperlink" Id="rId118" Target="https://en.wikipedia.org/wiki/Decipherment_of_rongorongo#:~:text=single%20line%20of%20Gv%20which,it%20is%20easy%20to%20find" TargetMode="External" /><Relationship Type="http://schemas.openxmlformats.org/officeDocument/2006/relationships/hyperlink" Id="rId115" Target="https://en.wikipedia.org/wiki/Decipherment_of_rongorongo#:~:text=the%20full%20moon.,citation%20needed" TargetMode="External" /><Relationship Type="http://schemas.openxmlformats.org/officeDocument/2006/relationships/hyperlink" Id="rId125" Target="https://en.wikipedia.org/wiki/Rongorongo_text_C" TargetMode="External" /><Relationship Type="http://schemas.openxmlformats.org/officeDocument/2006/relationships/hyperlink" Id="rId43" Target="https://en.wikipedia.org/wiki/Rongorongo_text_C#:~:text=Fourteen%20lines%20of%20glyphs%20on,are%20recto%20and%20verso%2C%20respectively" TargetMode="External" /><Relationship Type="http://schemas.openxmlformats.org/officeDocument/2006/relationships/hyperlink" Id="rId89" Target="https://en.wikipedia.org/wiki/Rongorongo_text_C#:~:text=Jaussen%27s%20informant%20Metoro%20Tau%E2%80%98a%20Ure,opposite%20with%20a%20new%20subject" TargetMode="External" /><Relationship Type="http://schemas.openxmlformats.org/officeDocument/2006/relationships/hyperlink" Id="rId44" Target="https://en.wikipedia.org/wiki/Rongorongo_text_C#:~:text=Katherine%20Routledge%20was%20told%20that,as%20well%20as%20the%20calendar" TargetMode="External" /><Relationship Type="http://schemas.openxmlformats.org/officeDocument/2006/relationships/hyperlink" Id="rId21" Target="https://en.wikipedia.org/wiki/Rongorongo_text_C#:~:text=Mamari%20is%20the%20only%20rongorongo,sides%20may%20also%20be%20calendrical" TargetMode="External" /><Relationship Type="http://schemas.openxmlformats.org/officeDocument/2006/relationships/hyperlink" Id="rId132" Target="https://evols.library.manoa.hawaii.edu/bitstreams/2c189094-2344-42bd-8727-2592e154858f/download" TargetMode="External" /><Relationship Type="http://schemas.openxmlformats.org/officeDocument/2006/relationships/hyperlink" Id="rId88" Target="https://evols.library.manoa.hawaii.edu/bitstreams/2c189094-2344-42bd-8727-2592e154858f/download#:~:text=eVols%20evols,that%20in%20all%20four" TargetMode="External" /><Relationship Type="http://schemas.openxmlformats.org/officeDocument/2006/relationships/hyperlink" Id="rId136" Target="https://files.osf.io/v1/resources/vjsna/providers/osfstorage/66956620ec07f904adbdc308?action=download&amp;direct&amp;version=1" TargetMode="External" /><Relationship Type="http://schemas.openxmlformats.org/officeDocument/2006/relationships/hyperlink" Id="rId121" Target="https://files.osf.io/v1/resources/vjsna/providers/osfstorage/66956620ec07f904adbdc308?action=download&amp;direct&amp;version=1#:~:text=,In%3A%20Journal%20de" TargetMode="External" /><Relationship Type="http://schemas.openxmlformats.org/officeDocument/2006/relationships/hyperlink" Id="rId133" Target="https://hup.fi/chapters/18/files/e358cfc7-72fe-499f-8c7e-eb294e9daab4.pdf" TargetMode="External" /><Relationship Type="http://schemas.openxmlformats.org/officeDocument/2006/relationships/hyperlink" Id="rId90" Target="https://hup.fi/chapters/18/files/e358cfc7-72fe-499f-8c7e-eb294e9daab4.pdf#:~:text=,series%20of%20glyphs%20each" TargetMode="External" /><Relationship Type="http://schemas.openxmlformats.org/officeDocument/2006/relationships/hyperlink" Id="rId134" Target="https://journals.openedition.org/jso/5813?lang=en" TargetMode="External" /><Relationship Type="http://schemas.openxmlformats.org/officeDocument/2006/relationships/hyperlink" Id="rId98" Target="https://journals.openedition.org/jso/5813?lang=en#:~:text=Corrections%20journals,001%2C%20causing%20curved" TargetMode="External" /><Relationship Type="http://schemas.openxmlformats.org/officeDocument/2006/relationships/hyperlink" Id="rId97" Target="https://journals.openedition.org/jso/5813?lang=en#:~:text=Rongorongo%20Script%3A%20Carving%20Techniques%20and,001%2C%20causing%20curved" TargetMode="External" /><Relationship Type="http://schemas.openxmlformats.org/officeDocument/2006/relationships/hyperlink" Id="rId135" Target="https://journals.openedition.org/jso/6272?lang=en" TargetMode="External" /><Relationship Type="http://schemas.openxmlformats.org/officeDocument/2006/relationships/hyperlink" Id="rId110" Target="https://journals.openedition.org/jso/6272?lang=en#:~:text=Astronomical%20Content%20in%20Rongorongo%20Tablet,do%20that%20but%20instead" TargetMode="External" /><Relationship Type="http://schemas.openxmlformats.org/officeDocument/2006/relationships/hyperlink" Id="rId131" Target="https://journals.openedition.org/jso/6695?lang=en" TargetMode="External" /><Relationship Type="http://schemas.openxmlformats.org/officeDocument/2006/relationships/hyperlink" Id="rId87" Target="https://journals.openedition.org/jso/6695?lang=en#:~:text=Rongorongo%20tablet%20from%20the%20Ethnological,and" TargetMode="External" /><Relationship Type="http://schemas.openxmlformats.org/officeDocument/2006/relationships/hyperlink" Id="rId128" Target="https://www.jstor.org/stable/20706625" TargetMode="External" /><Relationship Type="http://schemas.openxmlformats.org/officeDocument/2006/relationships/hyperlink" Id="rId45" Target="https://www.jstor.org/stable/20706625#:~:text=It%20is%20a%20common%20rhetorical,Genealogies%20can%20take%20different" TargetMode="External" /></Relationships>
</file>

<file path=word/_rels/footnotes.xml.rels><?xml version="1.0" encoding="UTF-8"?><Relationships xmlns="http://schemas.openxmlformats.org/package/2006/relationships"><Relationship Type="http://schemas.openxmlformats.org/officeDocument/2006/relationships/hyperlink" Id="rId127" Target="file://file-33ZjiqaoViPoHaDhL9xBmQ" TargetMode="External" /><Relationship Type="http://schemas.openxmlformats.org/officeDocument/2006/relationships/hyperlink" Id="rId59" Target="file://file-33ZjiqaoViPoHaDhL9xBmQ#:~:text=%7B%20," TargetMode="External" /><Relationship Type="http://schemas.openxmlformats.org/officeDocument/2006/relationships/hyperlink" Id="rId74" Target="file://file-33ZjiqaoViPoHaDhL9xBmQ#:~:text=%7B%20,60" TargetMode="External" /><Relationship Type="http://schemas.openxmlformats.org/officeDocument/2006/relationships/hyperlink" Id="rId57" Target="file://file-33ZjiqaoViPoHaDhL9xBmQ#:~:text=," TargetMode="External" /><Relationship Type="http://schemas.openxmlformats.org/officeDocument/2006/relationships/hyperlink" Id="rId52" Target="file://file-33ZjiqaoViPoHaDhL9xBmQ#:~:text=,300" TargetMode="External" /><Relationship Type="http://schemas.openxmlformats.org/officeDocument/2006/relationships/hyperlink" Id="rId26" Target="file://file-33ZjiqaoViPoHaDhL9xBmQ#:~:text=,Anthropomorphic%20authority%20figure%2C%20patronymic%20sequences" TargetMode="External" /><Relationship Type="http://schemas.openxmlformats.org/officeDocument/2006/relationships/hyperlink" Id="rId92" Target="file://file-33ZjiqaoViPoHaDhL9xBmQ#:~:text=,as%20plural%20affix%20when%20combined" TargetMode="External" /><Relationship Type="http://schemas.openxmlformats.org/officeDocument/2006/relationships/hyperlink" Id="rId25" Target="file://file-33ZjiqaoViPoHaDhL9xBmQ#:~:text=,breast%20%2F%20nurture%20%2F%20female" TargetMode="External" /><Relationship Type="http://schemas.openxmlformats.org/officeDocument/2006/relationships/hyperlink" Id="rId58" Target="file://file-33ZjiqaoViPoHaDhL9xBmQ#:~:text=,child%20%2F%20young%20%2F%20offspring" TargetMode="External" /><Relationship Type="http://schemas.openxmlformats.org/officeDocument/2006/relationships/hyperlink" Id="rId28" Target="file://file-33ZjiqaoViPoHaDhL9xBmQ#:~:text=,form%2C%20creation%20chants%2C%20sexual%20sequences" TargetMode="External" /><Relationship Type="http://schemas.openxmlformats.org/officeDocument/2006/relationships/hyperlink" Id="rId49" Target="file://file-33ZjiqaoViPoHaDhL9xBmQ#:~:text=,hand%2Fplural%20marker" TargetMode="External" /><Relationship Type="http://schemas.openxmlformats.org/officeDocument/2006/relationships/hyperlink" Id="rId27" Target="file://file-33ZjiqaoViPoHaDhL9xBmQ#:~:text=,king%20%2F%20ruler%20%2F%20man" TargetMode="External" /><Relationship Type="http://schemas.openxmlformats.org/officeDocument/2006/relationships/hyperlink" Id="rId73" Target="file://file-33ZjiqaoViPoHaDhL9xBmQ#:~:text=,stone%20%2F%20rock%20%2F%20hard" TargetMode="External" /><Relationship Type="http://schemas.openxmlformats.org/officeDocument/2006/relationships/hyperlink" Id="rId129" Target="file://file-6kzTLW3jdvuTG8pr7SyDQ4" TargetMode="External" /><Relationship Type="http://schemas.openxmlformats.org/officeDocument/2006/relationships/hyperlink" Id="rId71" Target="file://file-6kzTLW3jdvuTG8pr7SyDQ4#:~:text=%7B%20," TargetMode="External" /><Relationship Type="http://schemas.openxmlformats.org/officeDocument/2006/relationships/hyperlink" Id="rId70" Target="file://file-6kzTLW3jdvuTG8pr7SyDQ4#:~:text=%7B%20,%7D%2C" TargetMode="External" /><Relationship Type="http://schemas.openxmlformats.org/officeDocument/2006/relationships/hyperlink" Id="rId56" Target="file://file-6kzTLW3jdvuTG8pr7SyDQ4#:~:text=%7D%2C%20%7B%20,Forebear%2C%20genealogical%20predecessor" TargetMode="External" /><Relationship Type="http://schemas.openxmlformats.org/officeDocument/2006/relationships/hyperlink" Id="rId80" Target="file://file-6kzTLW3jdvuTG8pr7SyDQ4#:~:text=," TargetMode="External" /><Relationship Type="http://schemas.openxmlformats.org/officeDocument/2006/relationships/hyperlink" Id="rId67" Target="file://file-6kzTLW3jdvuTG8pr7SyDQ4#:~:text=,610" TargetMode="External" /><Relationship Type="http://schemas.openxmlformats.org/officeDocument/2006/relationships/hyperlink" Id="rId53" Target="file://file-6kzTLW3jdvuTG8pr7SyDQ4#:~:text=,76" TargetMode="External" /><Relationship Type="http://schemas.openxmlformats.org/officeDocument/2006/relationships/hyperlink" Id="rId119" Target="file://file-6kzTLW3jdvuTG8pr7SyDQ4#:~:text=,Knorozov%20social%20hierarchy" TargetMode="External" /><Relationship Type="http://schemas.openxmlformats.org/officeDocument/2006/relationships/hyperlink" Id="rId69" Target="file://file-6kzTLW3jdvuTG8pr7SyDQ4#:~:text=,beginning" TargetMode="External" /><Relationship Type="http://schemas.openxmlformats.org/officeDocument/2006/relationships/hyperlink" Id="rId113" Target="file://file-6kzTLW3jdvuTG8pr7SyDQ4#:~:text=,figure%2C%20appears%20in%20genealogical%20contexts" TargetMode="External" /><Relationship Type="http://schemas.openxmlformats.org/officeDocument/2006/relationships/hyperlink" Id="rId68" Target="file://file-6kzTLW3jdvuTG8pr7SyDQ4#:~:text=,origin" TargetMode="External" /><Relationship Type="http://schemas.openxmlformats.org/officeDocument/2006/relationships/hyperlink" Id="rId55" Target="file://file-6kzTLW3jdvuTG8pr7SyDQ4#:~:text=,sacrifice" TargetMode="External" /><Relationship Type="http://schemas.openxmlformats.org/officeDocument/2006/relationships/hyperlink" Id="rId72" Target="file://file-6kzTLW3jdvuTG8pr7SyDQ4#:~:text=,star" TargetMode="External" /><Relationship Type="http://schemas.openxmlformats.org/officeDocument/2006/relationships/hyperlink" Id="rId130" Target="https://ceramica.fandom.com/wiki/Decipherment_of_rongorongo" TargetMode="External" /><Relationship Type="http://schemas.openxmlformats.org/officeDocument/2006/relationships/hyperlink" Id="rId86" Target="https://ceramica.fandom.com/wiki/Decipherment_of_rongorongo#:~:text=Decipherment%20of%20rongorongo%20,the%20one" TargetMode="External" /><Relationship Type="http://schemas.openxmlformats.org/officeDocument/2006/relationships/hyperlink" Id="rId126" Target="https://en.wikipedia.org/wiki/Decipherment_of_rongorongo" TargetMode="External" /><Relationship Type="http://schemas.openxmlformats.org/officeDocument/2006/relationships/hyperlink" Id="rId32" Target="https://en.wikipedia.org/wiki/Decipherment_of_rongorongo#:~:text=%22Tiki,meat%20%28%3F%29%22%20%28verse%2032" TargetMode="External" /><Relationship Type="http://schemas.openxmlformats.org/officeDocument/2006/relationships/hyperlink" Id="rId78" Target="https://en.wikipedia.org/wiki/Decipherment_of_rongorongo#:~:text=%27phonetic%27.,does%20not%20follow%20from%20his" TargetMode="External" /><Relationship Type="http://schemas.openxmlformats.org/officeDocument/2006/relationships/hyperlink" Id="rId42" Target="https://en.wikipedia.org/wiki/Decipherment_of_rongorongo#:~:text=%28black%20nightshade%2C%20Solanum%20nigrum%29.,%E2%80%94%20M%C3%A9traux" TargetMode="External" /><Relationship Type="http://schemas.openxmlformats.org/officeDocument/2006/relationships/hyperlink" Id="rId31" Target="https://en.wikipedia.org/wiki/Decipherment_of_rongorongo#:~:text=,%28verse%2016" TargetMode="External" /><Relationship Type="http://schemas.openxmlformats.org/officeDocument/2006/relationships/hyperlink" Id="rId75" Target="https://en.wikipedia.org/wiki/Decipherment_of_rongorongo#:~:text=,51" TargetMode="External" /><Relationship Type="http://schemas.openxmlformats.org/officeDocument/2006/relationships/hyperlink" Id="rId66" Target="https://en.wikipedia.org/wiki/Decipherment_of_rongorongo#:~:text=,does%20not%20follow%20from%20his" TargetMode="External" /><Relationship Type="http://schemas.openxmlformats.org/officeDocument/2006/relationships/hyperlink" Id="rId62" Target="https://en.wikipedia.org/wiki/Decipherment_of_rongorongo#:~:text=,from%20his%20Rapanui%20transcription%20of" TargetMode="External" /><Relationship Type="http://schemas.openxmlformats.org/officeDocument/2006/relationships/hyperlink" Id="rId120" Target="https://en.wikipedia.org/wiki/Decipherment_of_rongorongo#:~:text=,that%20the%20staff%20stood%20alone" TargetMode="External" /><Relationship Type="http://schemas.openxmlformats.org/officeDocument/2006/relationships/hyperlink" Id="rId106" Target="https://en.wikipedia.org/wiki/Decipherment_of_rongorongo#:~:text=10%20%20hua%2024%20,hotu%20%26%20hiro%20intercalary%20days" TargetMode="External" /><Relationship Type="http://schemas.openxmlformats.org/officeDocument/2006/relationships/hyperlink" Id="rId112" Target="https://en.wikipedia.org/wiki/Decipherment_of_rongorongo#:~:text=10%20,12" TargetMode="External" /><Relationship Type="http://schemas.openxmlformats.org/officeDocument/2006/relationships/hyperlink" Id="rId116" Target="https://en.wikipedia.org/wiki/Decipherment_of_rongorongo#:~:text=13%20%20ina,hotu%20%26%20hiro%20intercalary%20days" TargetMode="External" /><Relationship Type="http://schemas.openxmlformats.org/officeDocument/2006/relationships/hyperlink" Id="rId104" Target="https://en.wikipedia.org/wiki/Decipherment_of_rongorongo#:~:text=8%20%20kokore%206%20,moon%20%2C%20maharu%20%20157" TargetMode="External" /><Relationship Type="http://schemas.openxmlformats.org/officeDocument/2006/relationships/hyperlink" Id="rId82" Target="https://en.wikipedia.org/wiki/Decipherment_of_rongorongo#:~:text=Although%20no,victim" TargetMode="External" /><Relationship Type="http://schemas.openxmlformats.org/officeDocument/2006/relationships/hyperlink" Id="rId103" Target="https://en.wikipedia.org/wiki/Decipherment_of_rongorongo#:~:text=Among%20the%20ethnographic%20data%20Thomson,used%20a%20%20100%20with" TargetMode="External" /><Relationship Type="http://schemas.openxmlformats.org/officeDocument/2006/relationships/hyperlink" Id="rId33" Target="https://en.wikipedia.org/wiki/Decipherment_of_rongorongo#:~:text=Apai%20,C%20%28Mamari" TargetMode="External" /><Relationship Type="http://schemas.openxmlformats.org/officeDocument/2006/relationships/hyperlink" Id="rId30" Target="https://en.wikipedia.org/wiki/Decipherment_of_rongorongo#:~:text=Atua%20Matariri%2C%20so%20called%20from,and%20then%20according%20to%20M%C3%A9traux" TargetMode="External" /><Relationship Type="http://schemas.openxmlformats.org/officeDocument/2006/relationships/hyperlink" Id="rId36" Target="https://en.wikipedia.org/wiki/Decipherment_of_rongorongo#:~:text=Fischer%20identified%20glyph%2076%20as,primary%20example%20was%20this%20one" TargetMode="External" /><Relationship Type="http://schemas.openxmlformats.org/officeDocument/2006/relationships/hyperlink" Id="rId35" Target="https://en.wikipedia.org/wiki/Decipherment_of_rongorongo#:~:text=Fischer%20notes%20that%20the%20long,citation%20needed%5D%5B%20note%2016" TargetMode="External" /><Relationship Type="http://schemas.openxmlformats.org/officeDocument/2006/relationships/hyperlink" Id="rId41" Target="https://en.wikipedia.org/wiki/Decipherment_of_rongorongo#:~:text=Fischer%20proposed%20that%20the%20glyph,the%20analogous%20phonetic%20reading%20of" TargetMode="External" /><Relationship Type="http://schemas.openxmlformats.org/officeDocument/2006/relationships/hyperlink" Id="rId37" Target="https://en.wikipedia.org/wiki/Decipherment_of_rongorongo#:~:text=Fischer%20supported%20his%20interpretation%20by,glottal%20stops%20or%20long%20vowels" TargetMode="External" /><Relationship Type="http://schemas.openxmlformats.org/officeDocument/2006/relationships/hyperlink" Id="rId22" Target="https://en.wikipedia.org/wiki/Decipherment_of_rongorongo#:~:text=German%20ethnologist%20Thomas%20Barthel%20%2C,only%20example%20of%20rongorongo%20whose" TargetMode="External" /><Relationship Type="http://schemas.openxmlformats.org/officeDocument/2006/relationships/hyperlink" Id="rId94" Target="https://en.wikipedia.org/wiki/Decipherment_of_rongorongo#:~:text=Guy%20notes%20that%20the%20further,citation%20needed" TargetMode="External" /><Relationship Type="http://schemas.openxmlformats.org/officeDocument/2006/relationships/hyperlink" Id="rId63" Target="https://en.wikipedia.org/wiki/Decipherment_of_rongorongo#:~:text=He%20Hina%20,63" TargetMode="External" /><Relationship Type="http://schemas.openxmlformats.org/officeDocument/2006/relationships/hyperlink" Id="rId83" Target="https://en.wikipedia.org/wiki/Decipherment_of_rongorongo#:~:text=He%20claimed%20similar%20phallic%20triplets,59" TargetMode="External" /><Relationship Type="http://schemas.openxmlformats.org/officeDocument/2006/relationships/hyperlink" Id="rId38" Target="https://en.wikipedia.org/wiki/Decipherment_of_rongorongo#:~:text=Image%3A%20glyph%20sequence%20606,8" TargetMode="External" /><Relationship Type="http://schemas.openxmlformats.org/officeDocument/2006/relationships/hyperlink" Id="rId96" Target="https://en.wikipedia.org/wiki/Decipherment_of_rongorongo#:~:text=ImageThe%20Mamari%20calendar%20starts%20midway,follow%20the%20identified%20calendar" TargetMode="External" /><Relationship Type="http://schemas.openxmlformats.org/officeDocument/2006/relationships/hyperlink" Id="rId47" Target="https://en.wikipedia.org/wiki/Decipherment_of_rongorongo#:~:text=In%201957%20the%20Russian%20epigraphers,citation%20needed" TargetMode="External" /><Relationship Type="http://schemas.openxmlformats.org/officeDocument/2006/relationships/hyperlink" Id="rId23" Target="https://en.wikipedia.org/wiki/Decipherment_of_rongorongo#:~:text=In%20Guy%27s%20interpretation%2C%20the%20core,99" TargetMode="External" /><Relationship Type="http://schemas.openxmlformats.org/officeDocument/2006/relationships/hyperlink" Id="rId108" Target="https://en.wikipedia.org/wiki/Decipherment_of_rongorongo#:~:text=M%C3%A9traux%20and%20Englert%2C%20because%20they,13" TargetMode="External" /><Relationship Type="http://schemas.openxmlformats.org/officeDocument/2006/relationships/hyperlink" Id="rId46" Target="https://en.wikipedia.org/wiki/Decipherment_of_rongorongo#:~:text=Now%2C%20if%20the%20repeated%20independent,then%20this%20means%20something%20like" TargetMode="External" /><Relationship Type="http://schemas.openxmlformats.org/officeDocument/2006/relationships/hyperlink" Id="rId40" Target="https://en.wikipedia.org/wiki/Decipherment_of_rongorongo#:~:text=On%20the%20basis%20that%20the,citation%20needed" TargetMode="External" /><Relationship Type="http://schemas.openxmlformats.org/officeDocument/2006/relationships/hyperlink" Id="rId34" Target="https://en.wikipedia.org/wiki/Decipherment_of_rongorongo#:~:text=Salmon%27s%20Rapanui%20was%20not%20fluent%2C,become%20clearly%20ridiculous%20towards%20the" TargetMode="External" /><Relationship Type="http://schemas.openxmlformats.org/officeDocument/2006/relationships/hyperlink" Id="rId93" Target="https://en.wikipedia.org/wiki/Decipherment_of_rongorongo#:~:text=Seven%20of%20the%20calendrical%20crescents,citation%20needed" TargetMode="External" /><Relationship Type="http://schemas.openxmlformats.org/officeDocument/2006/relationships/hyperlink" Id="rId60" Target="https://en.wikipedia.org/wiki/Decipherment_of_rongorongo#:~:text=Since%20a%20proposal%20by%20Butinov,mnemonic%20device%2C%20such%20as%20the" TargetMode="External" /><Relationship Type="http://schemas.openxmlformats.org/officeDocument/2006/relationships/hyperlink" Id="rId65" Target="https://en.wikipedia.org/wiki/Decipherment_of_rongorongo#:~:text=Taking%20penis%20to%20mean%20,citation%20needed" TargetMode="External" /><Relationship Type="http://schemas.openxmlformats.org/officeDocument/2006/relationships/hyperlink" Id="rId105" Target="https://en.wikipedia.org/wiki/Decipherment_of_rongorongo#:~:text=The%20old%20calendar%20%20Day,6%20%2022%20%20matua" TargetMode="External" /><Relationship Type="http://schemas.openxmlformats.org/officeDocument/2006/relationships/hyperlink" Id="rId77" Target="https://en.wikipedia.org/wiki/Decipherment_of_rongorongo#:~:text=There%20are%20a%20number%20of,objections%20to%20Fischer%27s%20approach" TargetMode="External" /><Relationship Type="http://schemas.openxmlformats.org/officeDocument/2006/relationships/hyperlink" Id="rId95" Target="https://en.wikipedia.org/wiki/Decipherment_of_rongorongo#:~:text=These%20thirty%20nights%2C%20starting%20with,end%20of%20the%20calendar%2C%20introduced" TargetMode="External" /><Relationship Type="http://schemas.openxmlformats.org/officeDocument/2006/relationships/hyperlink" Id="rId50" Target="https://en.wikipedia.org/wiki/Decipherment_of_rongorongo#:~:text=These%20thirty%20nights%2C%20starting%20with,the%20two%20intercalary%20nights%20held" TargetMode="External" /><Relationship Type="http://schemas.openxmlformats.org/officeDocument/2006/relationships/hyperlink" Id="rId64" Target="https://en.wikipedia.org/wiki/Decipherment_of_rongorongo#:~:text=These%20verses%20summarize%20a%20myth,lists%20twenty%20procreations%20of%20Tiki" TargetMode="External" /><Relationship Type="http://schemas.openxmlformats.org/officeDocument/2006/relationships/hyperlink" Id="rId76" Target="https://en.wikipedia.org/wiki/Decipherment_of_rongorongo#:~:text=Ure%20Va%EA%9E%8Ce%20Iko%27s%20readings,84" TargetMode="External" /><Relationship Type="http://schemas.openxmlformats.org/officeDocument/2006/relationships/hyperlink" Id="rId39" Target="https://en.wikipedia.org/wiki/Decipherment_of_rongorongo#:~:text=about%20half,note%2017" TargetMode="External" /><Relationship Type="http://schemas.openxmlformats.org/officeDocument/2006/relationships/hyperlink" Id="rId48" Target="https://en.wikipedia.org/wiki/Decipherment_of_rongorongo#:~:text=and%20the%20sequence%20is%20a,lineage" TargetMode="External" /><Relationship Type="http://schemas.openxmlformats.org/officeDocument/2006/relationships/hyperlink" Id="rId81" Target="https://en.wikipedia.org/wiki/Decipherment_of_rongorongo#:~:text=divided%20by%20,citation%20needed%5D%5B%20note%2016" TargetMode="External" /><Relationship Type="http://schemas.openxmlformats.org/officeDocument/2006/relationships/hyperlink" Id="rId85" Target="https://en.wikipedia.org/wiki/Decipherment_of_rongorongo#:~:text=figure%2C%20giving%20every%20Fischer%20attribution,copulates%20with%20the%20fish%27%2C%20and" TargetMode="External" /><Relationship Type="http://schemas.openxmlformats.org/officeDocument/2006/relationships/hyperlink" Id="rId111" Target="https://en.wikipedia.org/wiki/Decipherment_of_rongorongo#:~:text=heralding%20sequences%20each%20contain%20two,citation%20needed" TargetMode="External" /><Relationship Type="http://schemas.openxmlformats.org/officeDocument/2006/relationships/hyperlink" Id="rId107" Target="https://en.wikipedia.org/wiki/Decipherment_of_rongorongo#:~:text=in%20the%20old%20calendar,citation%20needed" TargetMode="External" /><Relationship Type="http://schemas.openxmlformats.org/officeDocument/2006/relationships/hyperlink" Id="rId101" Target="https://en.wikipedia.org/wiki/Decipherment_of_rongorongo#:~:text=known%20as%20Mamari%2C%20as%20a,99" TargetMode="External" /><Relationship Type="http://schemas.openxmlformats.org/officeDocument/2006/relationships/hyperlink" Id="rId54" Target="https://en.wikipedia.org/wiki/Decipherment_of_rongorongo#:~:text=occurrences%20of%20glyph%2076%2C%20the,51" TargetMode="External" /><Relationship Type="http://schemas.openxmlformats.org/officeDocument/2006/relationships/hyperlink" Id="rId102" Target="https://en.wikipedia.org/wiki/Decipherment_of_rongorongo#:~:text=of%20the%20full%20moon%2C%20Image%3A,99" TargetMode="External" /><Relationship Type="http://schemas.openxmlformats.org/officeDocument/2006/relationships/hyperlink" Id="rId109" Target="https://en.wikipedia.org/wiki/Decipherment_of_rongorongo#:~:text=rebuses%20and%20correspondences%20with%20the,which%20do%20not%20have%20individual" TargetMode="External" /><Relationship Type="http://schemas.openxmlformats.org/officeDocument/2006/relationships/hyperlink" Id="rId29" Target="https://en.wikipedia.org/wiki/Decipherment_of_rongorongo#:~:text=recitations%2C%20Apai%20and%20Atua%20Matariri%2C,note%2011" TargetMode="External" /><Relationship Type="http://schemas.openxmlformats.org/officeDocument/2006/relationships/hyperlink" Id="rId114" Target="https://en.wikipedia.org/wiki/Decipherment_of_rongorongo#:~:text=should%20be%20inserted%20into%20the,citation%20needed" TargetMode="External" /><Relationship Type="http://schemas.openxmlformats.org/officeDocument/2006/relationships/hyperlink" Id="rId118" Target="https://en.wikipedia.org/wiki/Decipherment_of_rongorongo#:~:text=single%20line%20of%20Gv%20which,it%20is%20easy%20to%20find" TargetMode="External" /><Relationship Type="http://schemas.openxmlformats.org/officeDocument/2006/relationships/hyperlink" Id="rId115" Target="https://en.wikipedia.org/wiki/Decipherment_of_rongorongo#:~:text=the%20full%20moon.,citation%20needed" TargetMode="External" /><Relationship Type="http://schemas.openxmlformats.org/officeDocument/2006/relationships/hyperlink" Id="rId125" Target="https://en.wikipedia.org/wiki/Rongorongo_text_C" TargetMode="External" /><Relationship Type="http://schemas.openxmlformats.org/officeDocument/2006/relationships/hyperlink" Id="rId43" Target="https://en.wikipedia.org/wiki/Rongorongo_text_C#:~:text=Fourteen%20lines%20of%20glyphs%20on,are%20recto%20and%20verso%2C%20respectively" TargetMode="External" /><Relationship Type="http://schemas.openxmlformats.org/officeDocument/2006/relationships/hyperlink" Id="rId89" Target="https://en.wikipedia.org/wiki/Rongorongo_text_C#:~:text=Jaussen%27s%20informant%20Metoro%20Tau%E2%80%98a%20Ure,opposite%20with%20a%20new%20subject" TargetMode="External" /><Relationship Type="http://schemas.openxmlformats.org/officeDocument/2006/relationships/hyperlink" Id="rId44" Target="https://en.wikipedia.org/wiki/Rongorongo_text_C#:~:text=Katherine%20Routledge%20was%20told%20that,as%20well%20as%20the%20calendar" TargetMode="External" /><Relationship Type="http://schemas.openxmlformats.org/officeDocument/2006/relationships/hyperlink" Id="rId21" Target="https://en.wikipedia.org/wiki/Rongorongo_text_C#:~:text=Mamari%20is%20the%20only%20rongorongo,sides%20may%20also%20be%20calendrical" TargetMode="External" /><Relationship Type="http://schemas.openxmlformats.org/officeDocument/2006/relationships/hyperlink" Id="rId132" Target="https://evols.library.manoa.hawaii.edu/bitstreams/2c189094-2344-42bd-8727-2592e154858f/download" TargetMode="External" /><Relationship Type="http://schemas.openxmlformats.org/officeDocument/2006/relationships/hyperlink" Id="rId88" Target="https://evols.library.manoa.hawaii.edu/bitstreams/2c189094-2344-42bd-8727-2592e154858f/download#:~:text=eVols%20evols,that%20in%20all%20four" TargetMode="External" /><Relationship Type="http://schemas.openxmlformats.org/officeDocument/2006/relationships/hyperlink" Id="rId136" Target="https://files.osf.io/v1/resources/vjsna/providers/osfstorage/66956620ec07f904adbdc308?action=download&amp;direct&amp;version=1" TargetMode="External" /><Relationship Type="http://schemas.openxmlformats.org/officeDocument/2006/relationships/hyperlink" Id="rId121" Target="https://files.osf.io/v1/resources/vjsna/providers/osfstorage/66956620ec07f904adbdc308?action=download&amp;direct&amp;version=1#:~:text=,In%3A%20Journal%20de" TargetMode="External" /><Relationship Type="http://schemas.openxmlformats.org/officeDocument/2006/relationships/hyperlink" Id="rId133" Target="https://hup.fi/chapters/18/files/e358cfc7-72fe-499f-8c7e-eb294e9daab4.pdf" TargetMode="External" /><Relationship Type="http://schemas.openxmlformats.org/officeDocument/2006/relationships/hyperlink" Id="rId90" Target="https://hup.fi/chapters/18/files/e358cfc7-72fe-499f-8c7e-eb294e9daab4.pdf#:~:text=,series%20of%20glyphs%20each" TargetMode="External" /><Relationship Type="http://schemas.openxmlformats.org/officeDocument/2006/relationships/hyperlink" Id="rId134" Target="https://journals.openedition.org/jso/5813?lang=en" TargetMode="External" /><Relationship Type="http://schemas.openxmlformats.org/officeDocument/2006/relationships/hyperlink" Id="rId98" Target="https://journals.openedition.org/jso/5813?lang=en#:~:text=Corrections%20journals,001%2C%20causing%20curved" TargetMode="External" /><Relationship Type="http://schemas.openxmlformats.org/officeDocument/2006/relationships/hyperlink" Id="rId97" Target="https://journals.openedition.org/jso/5813?lang=en#:~:text=Rongorongo%20Script%3A%20Carving%20Techniques%20and,001%2C%20causing%20curved" TargetMode="External" /><Relationship Type="http://schemas.openxmlformats.org/officeDocument/2006/relationships/hyperlink" Id="rId135" Target="https://journals.openedition.org/jso/6272?lang=en" TargetMode="External" /><Relationship Type="http://schemas.openxmlformats.org/officeDocument/2006/relationships/hyperlink" Id="rId110" Target="https://journals.openedition.org/jso/6272?lang=en#:~:text=Astronomical%20Content%20in%20Rongorongo%20Tablet,do%20that%20but%20instead" TargetMode="External" /><Relationship Type="http://schemas.openxmlformats.org/officeDocument/2006/relationships/hyperlink" Id="rId131" Target="https://journals.openedition.org/jso/6695?lang=en" TargetMode="External" /><Relationship Type="http://schemas.openxmlformats.org/officeDocument/2006/relationships/hyperlink" Id="rId87" Target="https://journals.openedition.org/jso/6695?lang=en#:~:text=Rongorongo%20tablet%20from%20the%20Ethnological,and" TargetMode="External" /><Relationship Type="http://schemas.openxmlformats.org/officeDocument/2006/relationships/hyperlink" Id="rId128" Target="https://www.jstor.org/stable/20706625" TargetMode="External" /><Relationship Type="http://schemas.openxmlformats.org/officeDocument/2006/relationships/hyperlink" Id="rId45" Target="https://www.jstor.org/stable/20706625#:~:text=It%20is%20a%20common%20rhetorical,Genealogies%20can%20take%20differ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2025-12-20T21:56:34Z</dcterms:created>
  <dcterms:modified xsi:type="dcterms:W3CDTF">2025-12-20T21:56:34Z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