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51" w:name="glyph-lexicon-updates"/>
    <w:p>
      <w:pPr>
        <w:pStyle w:val="Heading1"/>
      </w:pPr>
      <w:r>
        <w:t xml:space="preserve">Glyph Lexicon Updates</w:t>
      </w:r>
    </w:p>
    <w:p>
      <w:pPr>
        <w:pStyle w:val="FirstParagraph"/>
      </w:pPr>
      <w:r>
        <w:t xml:space="preserve">The latest decipherment pass produced a consolidated</w:t>
      </w:r>
      <w:r>
        <w:t xml:space="preserve"> </w:t>
      </w:r>
      <w:r>
        <w:rPr>
          <w:b/>
          <w:bCs/>
        </w:rPr>
        <w:t xml:space="preserve">master glyph lexicon</w:t>
      </w:r>
      <w:r>
        <w:t xml:space="preserve"> </w:t>
      </w:r>
      <w:r>
        <w:t xml:space="preserve">that merges several prior dictionaries into a comprehensive multi-meaning reference</w:t>
      </w:r>
      <w:hyperlink r:id="rId21">
        <w:r>
          <w:rPr>
            <w:rStyle w:val="Hyperlink"/>
          </w:rPr>
          <w:t xml:space="preserve">[1]</w:t>
        </w:r>
      </w:hyperlink>
      <w:r>
        <w:t xml:space="preserve">. Each Rongorongo glyph entry now lists on average</w:t>
      </w:r>
      <w:r>
        <w:t xml:space="preserve"> </w:t>
      </w:r>
      <w:r>
        <w:rPr>
          <w:i/>
          <w:iCs/>
        </w:rPr>
        <w:t xml:space="preserve">3–5 possible meanings</w:t>
      </w:r>
      <w:r>
        <w:t xml:space="preserve"> </w:t>
      </w:r>
      <w:r>
        <w:t xml:space="preserve">(senses) along with context notes and a confidence score. This integration reconciled earlier partial lexicons (e.g.</w:t>
      </w:r>
      <w:r>
        <w:t xml:space="preserve"> </w:t>
      </w:r>
      <w:r>
        <w:rPr>
          <w:i/>
          <w:iCs/>
        </w:rPr>
        <w:t xml:space="preserve">UltraMerge v3</w:t>
      </w:r>
      <w:r>
        <w:t xml:space="preserve">,</w:t>
      </w:r>
      <w:r>
        <w:t xml:space="preserve"> </w:t>
      </w:r>
      <w:r>
        <w:rPr>
          <w:i/>
          <w:iCs/>
        </w:rPr>
        <w:t xml:space="preserve">Enhanced V2</w:t>
      </w:r>
      <w:r>
        <w:t xml:space="preserve">) by preserving all plausible interpretations rather than forcing a single reading</w:t>
      </w:r>
      <w:hyperlink r:id="rId21">
        <w:r>
          <w:rPr>
            <w:rStyle w:val="Hyperlink"/>
          </w:rPr>
          <w:t xml:space="preserve">[1]</w:t>
        </w:r>
      </w:hyperlink>
      <w:r>
        <w:t xml:space="preserve">. As a result, many glyphs have refined or expanded definitions, and their usage frequencies across the corpus are now tallied for validation. High-confidence core signs from previous research remain anchors – for instance,</w:t>
      </w:r>
      <w:r>
        <w:t xml:space="preserve"> </w:t>
      </w:r>
      <w:r>
        <w:rPr>
          <w:b/>
          <w:bCs/>
        </w:rPr>
        <w:t xml:space="preserve">glyph 1</w:t>
      </w:r>
      <w:r>
        <w:t xml:space="preserve"> </w:t>
      </w:r>
      <w:r>
        <w:t xml:space="preserve">(a basic human figure) is firmly identified with the meaning</w:t>
      </w:r>
      <w:r>
        <w:t xml:space="preserve"> </w:t>
      </w:r>
      <w:r>
        <w:rPr>
          <w:i/>
          <w:iCs/>
        </w:rPr>
        <w:t xml:space="preserve">“person, human or ancestor”</w:t>
      </w:r>
      <w:r>
        <w:t xml:space="preserve"> </w:t>
      </w:r>
      <w:r>
        <w:t xml:space="preserve">and occurs in genealogical contexts</w:t>
      </w:r>
      <w:hyperlink r:id="rId22">
        <w:r>
          <w:rPr>
            <w:rStyle w:val="Hyperlink"/>
          </w:rPr>
          <w:t xml:space="preserve">[2]</w:t>
        </w:r>
      </w:hyperlink>
      <w:r>
        <w:t xml:space="preserve">. Similarly,</w:t>
      </w:r>
      <w:r>
        <w:t xml:space="preserve"> </w:t>
      </w:r>
      <w:r>
        <w:rPr>
          <w:b/>
          <w:bCs/>
        </w:rPr>
        <w:t xml:space="preserve">glyph 10</w:t>
      </w:r>
      <w:r>
        <w:t xml:space="preserve">, a crescent shape, is confirmed as</w:t>
      </w:r>
      <w:r>
        <w:t xml:space="preserve"> </w:t>
      </w:r>
      <w:r>
        <w:rPr>
          <w:i/>
          <w:iCs/>
        </w:rPr>
        <w:t xml:space="preserve">“moon / month (mahina)”</w:t>
      </w:r>
      <w:r>
        <w:t xml:space="preserve">, a key marker in the lunar calendar, with ~90% confidence</w:t>
      </w:r>
      <w:hyperlink r:id="rId23">
        <w:r>
          <w:rPr>
            <w:rStyle w:val="Hyperlink"/>
          </w:rPr>
          <w:t xml:space="preserve">[3]</w:t>
        </w:r>
      </w:hyperlink>
      <w:hyperlink r:id="rId24">
        <w:r>
          <w:rPr>
            <w:rStyle w:val="Hyperlink"/>
          </w:rPr>
          <w:t xml:space="preserve">[4]</w:t>
        </w:r>
      </w:hyperlink>
      <w:r>
        <w:t xml:space="preserve">. The master lexicon assigns confidence based on the agreement of multiple sources</w:t>
      </w:r>
      <w:hyperlink r:id="rId24">
        <w:r>
          <w:rPr>
            <w:rStyle w:val="Hyperlink"/>
          </w:rPr>
          <w:t xml:space="preserve">[4]</w:t>
        </w:r>
      </w:hyperlink>
      <w:r>
        <w:t xml:space="preserve">, so broadly attested pictographic meanings like</w:t>
      </w:r>
      <w:r>
        <w:t xml:space="preserve"> </w:t>
      </w:r>
      <w:r>
        <w:rPr>
          <w:i/>
          <w:iCs/>
        </w:rPr>
        <w:t xml:space="preserve">“moon”</w:t>
      </w:r>
      <w:r>
        <w:t xml:space="preserve"> </w:t>
      </w:r>
      <w:r>
        <w:t xml:space="preserve">or</w:t>
      </w:r>
      <w:r>
        <w:t xml:space="preserve"> </w:t>
      </w:r>
      <w:r>
        <w:rPr>
          <w:i/>
          <w:iCs/>
        </w:rPr>
        <w:t xml:space="preserve">“person”</w:t>
      </w:r>
      <w:r>
        <w:t xml:space="preserve"> </w:t>
      </w:r>
      <w:r>
        <w:t xml:space="preserve">score highly.</w:t>
      </w:r>
    </w:p>
    <w:p>
      <w:pPr>
        <w:pStyle w:val="BodyText"/>
      </w:pPr>
      <w:r>
        <w:t xml:space="preserve">Several</w:t>
      </w:r>
      <w:r>
        <w:t xml:space="preserve"> </w:t>
      </w:r>
      <w:r>
        <w:rPr>
          <w:b/>
          <w:bCs/>
        </w:rPr>
        <w:t xml:space="preserve">glyph interpretations have been updated or extended</w:t>
      </w:r>
      <w:r>
        <w:t xml:space="preserve"> </w:t>
      </w:r>
      <w:r>
        <w:t xml:space="preserve">in light of new evidence:</w:t>
      </w:r>
    </w:p>
    <w:p>
      <w:pPr>
        <w:numPr>
          <w:ilvl w:val="0"/>
          <w:numId w:val="1001"/>
        </w:numPr>
      </w:pPr>
      <w:r>
        <w:rPr>
          <w:b/>
          <w:bCs/>
        </w:rPr>
        <w:t xml:space="preserve">Glyph 6 (Hand)</w:t>
      </w:r>
      <w:r>
        <w:t xml:space="preserve"> </w:t>
      </w:r>
      <w:r>
        <w:t xml:space="preserve">– Originally an iconic “hand” (</w:t>
      </w:r>
      <w:r>
        <w:rPr>
          <w:i/>
          <w:iCs/>
        </w:rPr>
        <w:t xml:space="preserve">rima</w:t>
      </w:r>
      <w:r>
        <w:t xml:space="preserve">), it is now</w:t>
      </w:r>
      <w:r>
        <w:t xml:space="preserve"> </w:t>
      </w:r>
      <w:r>
        <w:rPr>
          <w:i/>
          <w:iCs/>
        </w:rPr>
        <w:t xml:space="preserve">confirmed as a plural or collective marker</w:t>
      </w:r>
      <w:r>
        <w:t xml:space="preserve"> </w:t>
      </w:r>
      <w:r>
        <w:t xml:space="preserve">when attached to other glyphs</w:t>
      </w:r>
      <w:hyperlink r:id="rId25">
        <w:r>
          <w:rPr>
            <w:rStyle w:val="Hyperlink"/>
          </w:rPr>
          <w:t xml:space="preserve">[5]</w:t>
        </w:r>
      </w:hyperlink>
      <w:r>
        <w:t xml:space="preserve">. In context, glyph 6 serves as a grammatical affix indicating “many” or plural number</w:t>
      </w:r>
      <w:hyperlink r:id="rId26">
        <w:r>
          <w:rPr>
            <w:rStyle w:val="Hyperlink"/>
          </w:rPr>
          <w:t xml:space="preserve">[6]</w:t>
        </w:r>
      </w:hyperlink>
      <w:r>
        <w:t xml:space="preserve">. (This echoes an early hypothesis by S. Fischer comparing it to the Tahitian plural</w:t>
      </w:r>
      <w:r>
        <w:t xml:space="preserve"> </w:t>
      </w:r>
      <w:r>
        <w:rPr>
          <w:i/>
          <w:iCs/>
        </w:rPr>
        <w:t xml:space="preserve">mau</w:t>
      </w:r>
      <w:r>
        <w:t xml:space="preserve">, though Rapa Nui proper uses a different plural strategy</w:t>
      </w:r>
      <w:hyperlink r:id="rId27">
        <w:r>
          <w:rPr>
            <w:rStyle w:val="Hyperlink"/>
          </w:rPr>
          <w:t xml:space="preserve">[7]</w:t>
        </w:r>
      </w:hyperlink>
      <w:r>
        <w:t xml:space="preserve">.) The new lexicon reflects this multi-function:</w:t>
      </w:r>
      <w:r>
        <w:t xml:space="preserve"> </w:t>
      </w:r>
      <w:r>
        <w:rPr>
          <w:i/>
          <w:iCs/>
        </w:rPr>
        <w:t xml:space="preserve">hand/“to take”</w:t>
      </w:r>
      <w:r>
        <w:t xml:space="preserve"> </w:t>
      </w:r>
      <w:r>
        <w:t xml:space="preserve">literally, and a</w:t>
      </w:r>
      <w:r>
        <w:t xml:space="preserve"> </w:t>
      </w:r>
      <w:r>
        <w:rPr>
          <w:b/>
          <w:bCs/>
        </w:rPr>
        <w:t xml:space="preserve">pluralizing suffix</w:t>
      </w:r>
      <w:r>
        <w:t xml:space="preserve"> </w:t>
      </w:r>
      <w:r>
        <w:t xml:space="preserve">figuratively</w:t>
      </w:r>
      <w:hyperlink r:id="rId25">
        <w:r>
          <w:rPr>
            <w:rStyle w:val="Hyperlink"/>
          </w:rPr>
          <w:t xml:space="preserve">[5]</w:t>
        </w:r>
      </w:hyperlink>
      <w:r>
        <w:t xml:space="preserve">. This discovery of a plural glyph provides a rare glimpse of grammatical encoding in Rongorongo.</w:t>
      </w:r>
    </w:p>
    <w:p>
      <w:pPr>
        <w:numPr>
          <w:ilvl w:val="0"/>
          <w:numId w:val="1001"/>
        </w:numPr>
      </w:pPr>
      <w:r>
        <w:rPr>
          <w:b/>
          <w:bCs/>
        </w:rPr>
        <w:t xml:space="preserve">Glyph 76 (Phallic figure)</w:t>
      </w:r>
      <w:r>
        <w:t xml:space="preserve"> </w:t>
      </w:r>
      <w:r>
        <w:t xml:space="preserve">– Now strongly identified as the</w:t>
      </w:r>
      <w:r>
        <w:t xml:space="preserve"> </w:t>
      </w:r>
      <w:r>
        <w:rPr>
          <w:b/>
          <w:bCs/>
        </w:rPr>
        <w:t xml:space="preserve">genealogical “offspring” connector</w:t>
      </w:r>
      <w:r>
        <w:t xml:space="preserve">, effectively meaning</w:t>
      </w:r>
      <w:r>
        <w:t xml:space="preserve"> </w:t>
      </w:r>
      <w:r>
        <w:rPr>
          <w:i/>
          <w:iCs/>
        </w:rPr>
        <w:t xml:space="preserve">“begat”</w:t>
      </w:r>
      <w:r>
        <w:t xml:space="preserve"> </w:t>
      </w:r>
      <w:r>
        <w:t xml:space="preserve">or</w:t>
      </w:r>
      <w:r>
        <w:t xml:space="preserve"> </w:t>
      </w:r>
      <w:r>
        <w:rPr>
          <w:i/>
          <w:iCs/>
        </w:rPr>
        <w:t xml:space="preserve">“is parent of”</w:t>
      </w:r>
      <w:hyperlink r:id="rId28">
        <w:r>
          <w:rPr>
            <w:rStyle w:val="Hyperlink"/>
          </w:rPr>
          <w:t xml:space="preserve">[8]</w:t>
        </w:r>
      </w:hyperlink>
      <w:hyperlink r:id="rId29">
        <w:r>
          <w:rPr>
            <w:rStyle w:val="Hyperlink"/>
          </w:rPr>
          <w:t xml:space="preserve">[9]</w:t>
        </w:r>
      </w:hyperlink>
      <w:r>
        <w:t xml:space="preserve">. Earlier readings varied between the literal Rapa Nui verb</w:t>
      </w:r>
      <w:r>
        <w:t xml:space="preserve"> </w:t>
      </w:r>
      <w:r>
        <w:rPr>
          <w:i/>
          <w:iCs/>
        </w:rPr>
        <w:t xml:space="preserve">‘ai</w:t>
      </w:r>
      <w:r>
        <w:t xml:space="preserve"> </w:t>
      </w:r>
      <w:r>
        <w:t xml:space="preserve">(“to copulate, to procreate”) and a more abstract lineage marker</w:t>
      </w:r>
      <w:r>
        <w:t xml:space="preserve"> </w:t>
      </w:r>
      <w:r>
        <w:rPr>
          <w:i/>
          <w:iCs/>
        </w:rPr>
        <w:t xml:space="preserve">fanau</w:t>
      </w:r>
      <w:r>
        <w:t xml:space="preserve"> </w:t>
      </w:r>
      <w:r>
        <w:t xml:space="preserve">(“to give birth, offspring”)</w:t>
      </w:r>
      <w:hyperlink r:id="rId30">
        <w:r>
          <w:rPr>
            <w:rStyle w:val="Hyperlink"/>
          </w:rPr>
          <w:t xml:space="preserve">[10]</w:t>
        </w:r>
      </w:hyperlink>
      <w:r>
        <w:t xml:space="preserve">. The integrated entry resolves this by noting glyph 76’s</w:t>
      </w:r>
      <w:r>
        <w:t xml:space="preserve"> </w:t>
      </w:r>
      <w:r>
        <w:rPr>
          <w:i/>
          <w:iCs/>
        </w:rPr>
        <w:t xml:space="preserve">dual role</w:t>
      </w:r>
      <w:r>
        <w:t xml:space="preserve">: it denotes sexual procreation</w:t>
      </w:r>
      <w:r>
        <w:t xml:space="preserve"> </w:t>
      </w:r>
      <w:r>
        <w:rPr>
          <w:i/>
          <w:iCs/>
        </w:rPr>
        <w:t xml:space="preserve">and</w:t>
      </w:r>
      <w:r>
        <w:t xml:space="preserve"> </w:t>
      </w:r>
      <w:r>
        <w:t xml:space="preserve">functions as a</w:t>
      </w:r>
      <w:r>
        <w:t xml:space="preserve"> </w:t>
      </w:r>
      <w:r>
        <w:rPr>
          <w:b/>
          <w:bCs/>
        </w:rPr>
        <w:t xml:space="preserve">kinship link</w:t>
      </w:r>
      <w:r>
        <w:t xml:space="preserve"> </w:t>
      </w:r>
      <w:r>
        <w:t xml:space="preserve">(“X begat Y”) in lists of ancestors</w:t>
      </w:r>
      <w:hyperlink r:id="rId31">
        <w:r>
          <w:rPr>
            <w:rStyle w:val="Hyperlink"/>
          </w:rPr>
          <w:t xml:space="preserve">[11]</w:t>
        </w:r>
      </w:hyperlink>
      <w:hyperlink r:id="rId32">
        <w:r>
          <w:rPr>
            <w:rStyle w:val="Hyperlink"/>
          </w:rPr>
          <w:t xml:space="preserve">[12]</w:t>
        </w:r>
      </w:hyperlink>
      <w:r>
        <w:t xml:space="preserve">. Its presence is almost formulaic in genealogical texts, appearing between names to connect parent and child. The high confidence (0.95) for this glyph reflects how consistently it appears in lineage contexts across tablets</w:t>
      </w:r>
      <w:hyperlink r:id="rId33">
        <w:r>
          <w:rPr>
            <w:rStyle w:val="Hyperlink"/>
          </w:rPr>
          <w:t xml:space="preserve">[13]</w:t>
        </w:r>
      </w:hyperlink>
      <w:r>
        <w:t xml:space="preserve">. This glyph’s role was further confirmed by cross-comparison to other languages’ kinship signs (e.g. it parallels the Sumerian</w:t>
      </w:r>
      <w:r>
        <w:t xml:space="preserve"> </w:t>
      </w:r>
      <w:r>
        <w:rPr>
          <w:i/>
          <w:iCs/>
        </w:rPr>
        <w:t xml:space="preserve">DUMU</w:t>
      </w:r>
      <w:r>
        <w:t xml:space="preserve"> </w:t>
      </w:r>
      <w:r>
        <w:t xml:space="preserve">“child of” and similar lineage markers)</w:t>
      </w:r>
      <w:hyperlink r:id="rId34">
        <w:r>
          <w:rPr>
            <w:rStyle w:val="Hyperlink"/>
          </w:rPr>
          <w:t xml:space="preserve">[14]</w:t>
        </w:r>
      </w:hyperlink>
      <w:r>
        <w:t xml:space="preserve">.</w:t>
      </w:r>
    </w:p>
    <w:p>
      <w:pPr>
        <w:numPr>
          <w:ilvl w:val="0"/>
          <w:numId w:val="1001"/>
        </w:numPr>
      </w:pPr>
      <w:r>
        <w:rPr>
          <w:b/>
          <w:bCs/>
        </w:rPr>
        <w:t xml:space="preserve">Glyph 152 (Full Moon)</w:t>
      </w:r>
      <w:r>
        <w:t xml:space="preserve"> </w:t>
      </w:r>
      <w:r>
        <w:t xml:space="preserve">– A circular glyph with internal markings, now identified as the</w:t>
      </w:r>
      <w:r>
        <w:t xml:space="preserve"> </w:t>
      </w:r>
      <w:r>
        <w:rPr>
          <w:b/>
          <w:bCs/>
        </w:rPr>
        <w:t xml:space="preserve">full moon</w:t>
      </w:r>
      <w:r>
        <w:t xml:space="preserve"> </w:t>
      </w:r>
      <w:r>
        <w:t xml:space="preserve">symbol and associated with the Rapa Nui metaphor</w:t>
      </w:r>
      <w:r>
        <w:t xml:space="preserve"> </w:t>
      </w:r>
      <w:r>
        <w:rPr>
          <w:i/>
          <w:iCs/>
        </w:rPr>
        <w:t xml:space="preserve">“Old Woman Lighting the Oven in the Sky”</w:t>
      </w:r>
      <w:hyperlink r:id="rId35">
        <w:r>
          <w:rPr>
            <w:rStyle w:val="Hyperlink"/>
          </w:rPr>
          <w:t xml:space="preserve">[15]</w:t>
        </w:r>
      </w:hyperlink>
      <w:hyperlink r:id="rId36">
        <w:r>
          <w:rPr>
            <w:rStyle w:val="Hyperlink"/>
          </w:rPr>
          <w:t xml:space="preserve">[16]</w:t>
        </w:r>
      </w:hyperlink>
      <w:r>
        <w:t xml:space="preserve">. Ethnographic lore recorded that phrase for the full moon, and indeed glyph 152 occupies the center of the lunar month sequence on the Mamari tablet</w:t>
      </w:r>
      <w:hyperlink r:id="rId35">
        <w:r>
          <w:rPr>
            <w:rStyle w:val="Hyperlink"/>
          </w:rPr>
          <w:t xml:space="preserve">[17]</w:t>
        </w:r>
      </w:hyperlink>
      <w:r>
        <w:t xml:space="preserve">. The master lexicon lists its meanings as</w:t>
      </w:r>
      <w:r>
        <w:t xml:space="preserve"> </w:t>
      </w:r>
      <w:r>
        <w:rPr>
          <w:i/>
          <w:iCs/>
        </w:rPr>
        <w:t xml:space="preserve">“full moon (motohi), complete/whole (oti, katoa)”</w:t>
      </w:r>
      <w:r>
        <w:t xml:space="preserve">, capturing both the lunar phase and the idea of</w:t>
      </w:r>
      <w:r>
        <w:t xml:space="preserve"> </w:t>
      </w:r>
      <w:r>
        <w:rPr>
          <w:i/>
          <w:iCs/>
        </w:rPr>
        <w:t xml:space="preserve">completion</w:t>
      </w:r>
      <w:hyperlink r:id="rId37">
        <w:r>
          <w:rPr>
            <w:rStyle w:val="Hyperlink"/>
          </w:rPr>
          <w:t xml:space="preserve">[18]</w:t>
        </w:r>
      </w:hyperlink>
      <w:hyperlink r:id="rId38">
        <w:r>
          <w:rPr>
            <w:rStyle w:val="Hyperlink"/>
          </w:rPr>
          <w:t xml:space="preserve">[19]</w:t>
        </w:r>
      </w:hyperlink>
      <w:r>
        <w:t xml:space="preserve">. This enriches the glyph’s interpretation: it not only marks the brightest moon night in the calendar, but also conveys a sense of totality or finishing (consistent with</w:t>
      </w:r>
      <w:r>
        <w:t xml:space="preserve"> </w:t>
      </w:r>
      <w:r>
        <w:rPr>
          <w:i/>
          <w:iCs/>
        </w:rPr>
        <w:t xml:space="preserve">oti</w:t>
      </w:r>
      <w:r>
        <w:t xml:space="preserve">, “finished”)</w:t>
      </w:r>
      <w:hyperlink r:id="rId37">
        <w:r>
          <w:rPr>
            <w:rStyle w:val="Hyperlink"/>
          </w:rPr>
          <w:t xml:space="preserve">[18]</w:t>
        </w:r>
      </w:hyperlink>
      <w:r>
        <w:t xml:space="preserve">. The identification of glyph 152 was a breakthrough achieved by merging</w:t>
      </w:r>
      <w:r>
        <w:t xml:space="preserve"> </w:t>
      </w:r>
      <w:r>
        <w:rPr>
          <w:b/>
          <w:bCs/>
        </w:rPr>
        <w:t xml:space="preserve">cultural insight</w:t>
      </w:r>
      <w:r>
        <w:t xml:space="preserve"> </w:t>
      </w:r>
      <w:r>
        <w:t xml:space="preserve">(the oven-lighting old-woman myth) with the positional evidence in the calendar</w:t>
      </w:r>
      <w:hyperlink r:id="rId39">
        <w:r>
          <w:rPr>
            <w:rStyle w:val="Hyperlink"/>
          </w:rPr>
          <w:t xml:space="preserve">[20]</w:t>
        </w:r>
      </w:hyperlink>
      <w:r>
        <w:t xml:space="preserve">.</w:t>
      </w:r>
    </w:p>
    <w:p>
      <w:pPr>
        <w:numPr>
          <w:ilvl w:val="0"/>
          <w:numId w:val="1001"/>
        </w:numPr>
      </w:pPr>
      <w:r>
        <w:rPr>
          <w:b/>
          <w:bCs/>
        </w:rPr>
        <w:t xml:space="preserve">Glyph 700 (Fish)</w:t>
      </w:r>
      <w:r>
        <w:t xml:space="preserve"> </w:t>
      </w:r>
      <w:r>
        <w:t xml:space="preserve">– Confirmed as a</w:t>
      </w:r>
      <w:r>
        <w:t xml:space="preserve"> </w:t>
      </w:r>
      <w:r>
        <w:rPr>
          <w:b/>
          <w:bCs/>
        </w:rPr>
        <w:t xml:space="preserve">polysemic sign</w:t>
      </w:r>
      <w:r>
        <w:t xml:space="preserve"> </w:t>
      </w:r>
      <w:r>
        <w:t xml:space="preserve">meaning</w:t>
      </w:r>
      <w:r>
        <w:t xml:space="preserve"> </w:t>
      </w:r>
      <w:r>
        <w:rPr>
          <w:i/>
          <w:iCs/>
        </w:rPr>
        <w:t xml:space="preserve">“fish”</w:t>
      </w:r>
      <w:r>
        <w:t xml:space="preserve"> </w:t>
      </w:r>
      <w:r>
        <w:t xml:space="preserve">in mundane or mythic contexts, but</w:t>
      </w:r>
      <w:r>
        <w:t xml:space="preserve"> </w:t>
      </w:r>
      <w:r>
        <w:rPr>
          <w:i/>
          <w:iCs/>
        </w:rPr>
        <w:t xml:space="preserve">“victim / sacrifice”</w:t>
      </w:r>
      <w:r>
        <w:t xml:space="preserve"> </w:t>
      </w:r>
      <w:r>
        <w:t xml:space="preserve">in war or ritual contexts</w:t>
      </w:r>
      <w:hyperlink r:id="rId40">
        <w:r>
          <w:rPr>
            <w:rStyle w:val="Hyperlink"/>
          </w:rPr>
          <w:t xml:space="preserve">[21]</w:t>
        </w:r>
      </w:hyperlink>
      <w:hyperlink r:id="rId41">
        <w:r>
          <w:rPr>
            <w:rStyle w:val="Hyperlink"/>
          </w:rPr>
          <w:t xml:space="preserve">[22]</w:t>
        </w:r>
      </w:hyperlink>
      <w:r>
        <w:t xml:space="preserve">. Researchers found this large fish-shaped glyph in sequences that appear to list war casualties or sacrificial offerings, where a literal “fish” reading made no sense</w:t>
      </w:r>
      <w:hyperlink r:id="rId39">
        <w:r>
          <w:rPr>
            <w:rStyle w:val="Hyperlink"/>
          </w:rPr>
          <w:t xml:space="preserve">[20]</w:t>
        </w:r>
      </w:hyperlink>
      <w:r>
        <w:t xml:space="preserve">. The Rapa Nui language uses the word</w:t>
      </w:r>
      <w:r>
        <w:t xml:space="preserve"> </w:t>
      </w:r>
      <w:r>
        <w:rPr>
          <w:i/>
          <w:iCs/>
        </w:rPr>
        <w:t xml:space="preserve">ika</w:t>
      </w:r>
      <w:r>
        <w:t xml:space="preserve"> </w:t>
      </w:r>
      <w:r>
        <w:t xml:space="preserve">for “fish” which can metaphorically mean a victim, akin to the English concept of a “toad” meaning a despicable person</w:t>
      </w:r>
      <w:hyperlink r:id="rId42">
        <w:r>
          <w:rPr>
            <w:rStyle w:val="Hyperlink"/>
          </w:rPr>
          <w:t xml:space="preserve">[23]</w:t>
        </w:r>
      </w:hyperlink>
      <w:r>
        <w:t xml:space="preserve">. The lexicon now explicitly notes glyph 700’s dual meaning: it represents</w:t>
      </w:r>
      <w:r>
        <w:t xml:space="preserve"> </w:t>
      </w:r>
      <w:r>
        <w:rPr>
          <w:i/>
          <w:iCs/>
        </w:rPr>
        <w:t xml:space="preserve">ika</w:t>
      </w:r>
      <w:r>
        <w:t xml:space="preserve"> </w:t>
      </w:r>
      <w:r>
        <w:t xml:space="preserve">(“fish”) but doubles as</w:t>
      </w:r>
      <w:r>
        <w:t xml:space="preserve"> </w:t>
      </w:r>
      <w:r>
        <w:rPr>
          <w:i/>
          <w:iCs/>
        </w:rPr>
        <w:t xml:space="preserve">kai</w:t>
      </w:r>
      <w:r>
        <w:t xml:space="preserve"> </w:t>
      </w:r>
      <w:r>
        <w:t xml:space="preserve">or</w:t>
      </w:r>
      <w:r>
        <w:t xml:space="preserve"> </w:t>
      </w:r>
      <w:r>
        <w:rPr>
          <w:i/>
          <w:iCs/>
        </w:rPr>
        <w:t xml:space="preserve">haka ira</w:t>
      </w:r>
      <w:r>
        <w:t xml:space="preserve"> </w:t>
      </w:r>
      <w:r>
        <w:t xml:space="preserve">(“victim, sacrifice”) depending on context</w:t>
      </w:r>
      <w:hyperlink r:id="rId40">
        <w:r>
          <w:rPr>
            <w:rStyle w:val="Hyperlink"/>
          </w:rPr>
          <w:t xml:space="preserve">[21]</w:t>
        </w:r>
      </w:hyperlink>
      <w:hyperlink r:id="rId41">
        <w:r>
          <w:rPr>
            <w:rStyle w:val="Hyperlink"/>
          </w:rPr>
          <w:t xml:space="preserve">[22]</w:t>
        </w:r>
      </w:hyperlink>
      <w:r>
        <w:t xml:space="preserve">. This dual reading, with</w:t>
      </w:r>
      <w:r>
        <w:t xml:space="preserve"> </w:t>
      </w:r>
      <w:r>
        <w:rPr>
          <w:b/>
          <w:bCs/>
        </w:rPr>
        <w:t xml:space="preserve">95% confidence</w:t>
      </w:r>
      <w:r>
        <w:t xml:space="preserve">, underscores Rongorongo’s reliance on context and wordplay – a characteristic Polynesian punning usage.</w:t>
      </w:r>
    </w:p>
    <w:p>
      <w:pPr>
        <w:numPr>
          <w:ilvl w:val="0"/>
          <w:numId w:val="1001"/>
        </w:numPr>
      </w:pPr>
      <w:r>
        <w:rPr>
          <w:b/>
          <w:bCs/>
        </w:rPr>
        <w:t xml:space="preserve">Glyph 200 (Chief/Leader)</w:t>
      </w:r>
      <w:r>
        <w:t xml:space="preserve"> </w:t>
      </w:r>
      <w:r>
        <w:t xml:space="preserve">– An anthropomorphic figure with distinctive headgear, newly interpreted as a</w:t>
      </w:r>
      <w:r>
        <w:t xml:space="preserve"> </w:t>
      </w:r>
      <w:r>
        <w:rPr>
          <w:b/>
          <w:bCs/>
        </w:rPr>
        <w:t xml:space="preserve">title marker for high-status persons</w:t>
      </w:r>
      <w:r>
        <w:t xml:space="preserve"> </w:t>
      </w:r>
      <w:r>
        <w:t xml:space="preserve">(</w:t>
      </w:r>
      <w:r>
        <w:rPr>
          <w:i/>
          <w:iCs/>
        </w:rPr>
        <w:t xml:space="preserve">ariki</w:t>
      </w:r>
      <w:r>
        <w:t xml:space="preserve">, “chief” or</w:t>
      </w:r>
      <w:r>
        <w:t xml:space="preserve"> </w:t>
      </w:r>
      <w:r>
        <w:rPr>
          <w:i/>
          <w:iCs/>
        </w:rPr>
        <w:t xml:space="preserve">ariki henua</w:t>
      </w:r>
      <w:r>
        <w:t xml:space="preserve">, “king of the land”)</w:t>
      </w:r>
      <w:hyperlink r:id="rId43">
        <w:r>
          <w:rPr>
            <w:rStyle w:val="Hyperlink"/>
          </w:rPr>
          <w:t xml:space="preserve">[24]</w:t>
        </w:r>
      </w:hyperlink>
      <w:hyperlink r:id="rId44">
        <w:r>
          <w:rPr>
            <w:rStyle w:val="Hyperlink"/>
          </w:rPr>
          <w:t xml:space="preserve">[25]</w:t>
        </w:r>
      </w:hyperlink>
      <w:r>
        <w:t xml:space="preserve">. It appears before personal names in certain texts, suggesting it denotes nobility or leadership rank</w:t>
      </w:r>
      <w:hyperlink r:id="rId44">
        <w:r>
          <w:rPr>
            <w:rStyle w:val="Hyperlink"/>
          </w:rPr>
          <w:t xml:space="preserve">[25]</w:t>
        </w:r>
      </w:hyperlink>
      <w:hyperlink r:id="rId45">
        <w:r>
          <w:rPr>
            <w:rStyle w:val="Hyperlink"/>
          </w:rPr>
          <w:t xml:space="preserve">[26]</w:t>
        </w:r>
      </w:hyperlink>
      <w:r>
        <w:t xml:space="preserve">. This glyph’s entry consolidates multiple prior guesses (chief, king, ruler) into a single concept: a</w:t>
      </w:r>
      <w:r>
        <w:t xml:space="preserve"> </w:t>
      </w:r>
      <w:r>
        <w:rPr>
          <w:i/>
          <w:iCs/>
        </w:rPr>
        <w:t xml:space="preserve">high-ranking man</w:t>
      </w:r>
      <w:r>
        <w:t xml:space="preserve"> </w:t>
      </w:r>
      <w:r>
        <w:t xml:space="preserve">used to prefix names in genealogies</w:t>
      </w:r>
      <w:hyperlink r:id="rId44">
        <w:r>
          <w:rPr>
            <w:rStyle w:val="Hyperlink"/>
          </w:rPr>
          <w:t xml:space="preserve">[25]</w:t>
        </w:r>
      </w:hyperlink>
      <w:r>
        <w:t xml:space="preserve">. The notes compare it cross-culturally to symbols for “king” in other scripts, reinforcing the interpretation</w:t>
      </w:r>
      <w:hyperlink r:id="rId46">
        <w:r>
          <w:rPr>
            <w:rStyle w:val="Hyperlink"/>
          </w:rPr>
          <w:t xml:space="preserve">[27]</w:t>
        </w:r>
      </w:hyperlink>
      <w:hyperlink r:id="rId47">
        <w:r>
          <w:rPr>
            <w:rStyle w:val="Hyperlink"/>
          </w:rPr>
          <w:t xml:space="preserve">[28]</w:t>
        </w:r>
      </w:hyperlink>
      <w:r>
        <w:t xml:space="preserve">. Though marked “proposed/high confidence,” the consensus now is that glyph 200 signals an</w:t>
      </w:r>
      <w:r>
        <w:t xml:space="preserve"> </w:t>
      </w:r>
      <w:r>
        <w:rPr>
          <w:b/>
          <w:bCs/>
        </w:rPr>
        <w:t xml:space="preserve">ariki</w:t>
      </w:r>
      <w:r>
        <w:t xml:space="preserve"> </w:t>
      </w:r>
      <w:r>
        <w:t xml:space="preserve">(chiefly status) whenever it occurs, adding an important socio-political dimension to readings.</w:t>
      </w:r>
    </w:p>
    <w:p>
      <w:pPr>
        <w:pStyle w:val="FirstParagraph"/>
      </w:pPr>
      <w:r>
        <w:t xml:space="preserve">These examples illustrate the enriched lexicon. In general, the</w:t>
      </w:r>
      <w:r>
        <w:t xml:space="preserve"> </w:t>
      </w:r>
      <w:r>
        <w:rPr>
          <w:b/>
          <w:bCs/>
        </w:rPr>
        <w:t xml:space="preserve">multi-meaning approach</w:t>
      </w:r>
      <w:r>
        <w:t xml:space="preserve"> </w:t>
      </w:r>
      <w:r>
        <w:t xml:space="preserve">has been validated: most glyphs indeed carry several related senses (often a concrete object and an abstract or functional meaning)</w:t>
      </w:r>
      <w:hyperlink r:id="rId22">
        <w:r>
          <w:rPr>
            <w:rStyle w:val="Hyperlink"/>
          </w:rPr>
          <w:t xml:space="preserve">[2]</w:t>
        </w:r>
      </w:hyperlink>
      <w:hyperlink r:id="rId48">
        <w:r>
          <w:rPr>
            <w:rStyle w:val="Hyperlink"/>
          </w:rPr>
          <w:t xml:space="preserve">[29]</w:t>
        </w:r>
      </w:hyperlink>
      <w:r>
        <w:t xml:space="preserve">. The lexicon update phase cross-referenced the</w:t>
      </w:r>
      <w:r>
        <w:t xml:space="preserve"> </w:t>
      </w:r>
      <w:r>
        <w:rPr>
          <w:b/>
          <w:bCs/>
        </w:rPr>
        <w:t xml:space="preserve">merged JSON lists</w:t>
      </w:r>
      <w:r>
        <w:t xml:space="preserve"> </w:t>
      </w:r>
      <w:r>
        <w:t xml:space="preserve">(</w:t>
      </w:r>
      <w:r>
        <w:rPr>
          <w:i/>
          <w:iCs/>
        </w:rPr>
        <w:t xml:space="preserve">final_decrypted_v2</w:t>
      </w:r>
      <w:r>
        <w:t xml:space="preserve">,</w:t>
      </w:r>
      <w:r>
        <w:t xml:space="preserve"> </w:t>
      </w:r>
      <w:r>
        <w:rPr>
          <w:i/>
          <w:iCs/>
        </w:rPr>
        <w:t xml:space="preserve">ultramerge_v3_compact</w:t>
      </w:r>
      <w:r>
        <w:t xml:space="preserve">, etc.) to ensure no known meaning was lost. Conflicting interpretations were kept side-by-side with notes rather than arbitrarily choosing one, consistent with the “never force patterns” doctrine</w:t>
      </w:r>
      <w:hyperlink r:id="rId49">
        <w:r>
          <w:rPr>
            <w:rStyle w:val="Hyperlink"/>
          </w:rPr>
          <w:t xml:space="preserve">[30]</w:t>
        </w:r>
      </w:hyperlink>
      <w:hyperlink r:id="rId21">
        <w:r>
          <w:rPr>
            <w:rStyle w:val="Hyperlink"/>
          </w:rPr>
          <w:t xml:space="preserve">[1]</w:t>
        </w:r>
      </w:hyperlink>
      <w:r>
        <w:t xml:space="preserve">. As a result, the lexicon is both</w:t>
      </w:r>
      <w:r>
        <w:t xml:space="preserve"> </w:t>
      </w:r>
      <w:r>
        <w:rPr>
          <w:b/>
          <w:bCs/>
        </w:rPr>
        <w:t xml:space="preserve">comprehensive and internally consistent</w:t>
      </w:r>
      <w:r>
        <w:t xml:space="preserve"> </w:t>
      </w:r>
      <w:r>
        <w:t xml:space="preserve">– each glyph entry is backed by multiple lines of evidence (frequency, context, prior scholarship) and includes pointers to where in the corpus the glyph appears, enabling continuous verification. The core set of ~300 glyphs (about 85% of the catalog) now have at least a tentative meaning assigned</w:t>
      </w:r>
      <w:hyperlink r:id="rId50">
        <w:r>
          <w:rPr>
            <w:rStyle w:val="Hyperlink"/>
          </w:rPr>
          <w:t xml:space="preserve">[31]</w:t>
        </w:r>
      </w:hyperlink>
      <w:r>
        <w:t xml:space="preserve">, providing a solid foundation for analyzing sequences and texts in context.</w:t>
      </w:r>
    </w:p>
    <w:bookmarkEnd w:id="51"/>
    <w:bookmarkStart w:id="64" w:name="confirmed-and-candidate-glyph-sequences"/>
    <w:p>
      <w:pPr>
        <w:pStyle w:val="Heading1"/>
      </w:pPr>
      <w:r>
        <w:t xml:space="preserve">Confirmed and Candidate Glyph Sequences</w:t>
      </w:r>
    </w:p>
    <w:p>
      <w:pPr>
        <w:pStyle w:val="FirstParagraph"/>
      </w:pPr>
      <w:r>
        <w:t xml:space="preserve">Analysis of the entire Rongorongo corpus – spanning all tablets and artifacts – has revealed numerous</w:t>
      </w:r>
      <w:r>
        <w:t xml:space="preserve"> </w:t>
      </w:r>
      <w:r>
        <w:rPr>
          <w:b/>
          <w:bCs/>
        </w:rPr>
        <w:t xml:space="preserve">repeating glyph sequences</w:t>
      </w:r>
      <w:r>
        <w:t xml:space="preserve">. Identifying these patterns was crucial, as recurring sequences likely correspond to meaningful phrases (names, titles, refrains, lists) in the underlying content. Using pairwise alignment algorithms (Phase 6 of the methodology) and manual cross-checks, researchers have</w:t>
      </w:r>
      <w:r>
        <w:t xml:space="preserve"> </w:t>
      </w:r>
      <w:r>
        <w:rPr>
          <w:b/>
          <w:bCs/>
        </w:rPr>
        <w:t xml:space="preserve">mapped out parallel texts and formulaic sequences</w:t>
      </w:r>
      <w:r>
        <w:t xml:space="preserve"> </w:t>
      </w:r>
      <w:r>
        <w:t xml:space="preserve">across different tablets</w:t>
      </w:r>
      <w:hyperlink r:id="rId52">
        <w:r>
          <w:rPr>
            <w:rStyle w:val="Hyperlink"/>
          </w:rPr>
          <w:t xml:space="preserve">[32]</w:t>
        </w:r>
      </w:hyperlink>
      <w:hyperlink r:id="rId53">
        <w:r>
          <w:rPr>
            <w:rStyle w:val="Hyperlink"/>
          </w:rPr>
          <w:t xml:space="preserve">[33]</w:t>
        </w:r>
      </w:hyperlink>
      <w:r>
        <w:t xml:space="preserve">. Several major sequence discoveries stand out:</w:t>
      </w:r>
    </w:p>
    <w:p>
      <w:pPr>
        <w:numPr>
          <w:ilvl w:val="0"/>
          <w:numId w:val="1002"/>
        </w:numPr>
      </w:pPr>
      <w:r>
        <w:rPr>
          <w:b/>
          <w:bCs/>
        </w:rPr>
        <w:t xml:space="preserve">Lunar Calendar Sequence</w:t>
      </w:r>
      <w:r>
        <w:t xml:space="preserve"> </w:t>
      </w:r>
      <w:r>
        <w:t xml:space="preserve">– The</w:t>
      </w:r>
      <w:r>
        <w:t xml:space="preserve"> </w:t>
      </w:r>
      <w:r>
        <w:rPr>
          <w:b/>
          <w:bCs/>
        </w:rPr>
        <w:t xml:space="preserve">Mamari tablet’s lunisolar calendar</w:t>
      </w:r>
      <w:r>
        <w:t xml:space="preserve"> </w:t>
      </w:r>
      <w:r>
        <w:t xml:space="preserve">(Text C) contains the clearest known sequence: a list of ~30 glyph clusters corresponding to the nights of the Rapa Nui month</w:t>
      </w:r>
      <w:hyperlink r:id="rId54">
        <w:r>
          <w:rPr>
            <w:rStyle w:val="Hyperlink"/>
          </w:rPr>
          <w:t xml:space="preserve">[34]</w:t>
        </w:r>
      </w:hyperlink>
      <w:r>
        <w:t xml:space="preserve">. This sequence has been confirmed as a</w:t>
      </w:r>
      <w:r>
        <w:t xml:space="preserve"> </w:t>
      </w:r>
      <w:r>
        <w:rPr>
          <w:b/>
          <w:bCs/>
        </w:rPr>
        <w:t xml:space="preserve">calendar</w:t>
      </w:r>
      <w:r>
        <w:t xml:space="preserve">: glyphs for each night’s name appear in the correct order (including glyph 152 for the full moon night,</w:t>
      </w:r>
      <w:r>
        <w:t xml:space="preserve"> </w:t>
      </w:r>
      <w:r>
        <w:rPr>
          <w:i/>
          <w:iCs/>
        </w:rPr>
        <w:t xml:space="preserve">Omotohi</w:t>
      </w:r>
      <w:hyperlink r:id="rId38">
        <w:r>
          <w:rPr>
            <w:rStyle w:val="Hyperlink"/>
          </w:rPr>
          <w:t xml:space="preserve">[19]</w:t>
        </w:r>
      </w:hyperlink>
      <w:r>
        <w:t xml:space="preserve">, and glyph 78 for the waning gibbous night</w:t>
      </w:r>
      <w:r>
        <w:t xml:space="preserve"> </w:t>
      </w:r>
      <w:r>
        <w:rPr>
          <w:i/>
          <w:iCs/>
        </w:rPr>
        <w:t xml:space="preserve">Maure</w:t>
      </w:r>
      <w:hyperlink r:id="rId55">
        <w:r>
          <w:rPr>
            <w:rStyle w:val="Hyperlink"/>
          </w:rPr>
          <w:t xml:space="preserve">[35]</w:t>
        </w:r>
      </w:hyperlink>
      <w:r>
        <w:t xml:space="preserve">). By aligning other tablets with Mamari’s sequence, researchers identified the same</w:t>
      </w:r>
      <w:r>
        <w:t xml:space="preserve"> </w:t>
      </w:r>
      <w:r>
        <w:rPr>
          <w:b/>
          <w:bCs/>
        </w:rPr>
        <w:t xml:space="preserve">moon-phase glyphs</w:t>
      </w:r>
      <w:r>
        <w:t xml:space="preserve"> </w:t>
      </w:r>
      <w:r>
        <w:t xml:space="preserve">occurring elsewhere, sometimes in the same order, indicating those tablets too reference calendrical or temporal sequences</w:t>
      </w:r>
      <w:hyperlink r:id="rId54">
        <w:r>
          <w:rPr>
            <w:rStyle w:val="Hyperlink"/>
          </w:rPr>
          <w:t xml:space="preserve">[34]</w:t>
        </w:r>
      </w:hyperlink>
      <w:hyperlink r:id="rId56">
        <w:r>
          <w:rPr>
            <w:rStyle w:val="Hyperlink"/>
          </w:rPr>
          <w:t xml:space="preserve">[36]</w:t>
        </w:r>
      </w:hyperlink>
      <w:r>
        <w:t xml:space="preserve">. The Mamari calendar served as a</w:t>
      </w:r>
      <w:r>
        <w:t xml:space="preserve"> </w:t>
      </w:r>
      <w:r>
        <w:rPr>
          <w:b/>
          <w:bCs/>
        </w:rPr>
        <w:t xml:space="preserve">Rosetta Stone fragment</w:t>
      </w:r>
      <w:r>
        <w:t xml:space="preserve"> </w:t>
      </w:r>
      <w:r>
        <w:t xml:space="preserve">– once the pattern of nights was recognized, it anchored concrete meanings (the names of nights/phases) to each glyph in the sequence</w:t>
      </w:r>
      <w:hyperlink r:id="rId57">
        <w:r>
          <w:rPr>
            <w:rStyle w:val="Hyperlink"/>
          </w:rPr>
          <w:t xml:space="preserve">[37]</w:t>
        </w:r>
      </w:hyperlink>
      <w:r>
        <w:t xml:space="preserve">. This allowed for extrapolation: for example, if a certain glyph from Mamari’s night 5 appears on another tablet followed by glyph 10 (“moon”), that likely denotes a date or ritual tied to that specific night</w:t>
      </w:r>
      <w:hyperlink r:id="rId58">
        <w:r>
          <w:rPr>
            <w:rStyle w:val="Hyperlink"/>
          </w:rPr>
          <w:t xml:space="preserve">[38]</w:t>
        </w:r>
      </w:hyperlink>
      <w:r>
        <w:t xml:space="preserve">. Thus the full set of</w:t>
      </w:r>
      <w:r>
        <w:t xml:space="preserve"> </w:t>
      </w:r>
      <w:r>
        <w:rPr>
          <w:b/>
          <w:bCs/>
        </w:rPr>
        <w:t xml:space="preserve">30 night-name glyphs</w:t>
      </w:r>
      <w:r>
        <w:t xml:space="preserve"> </w:t>
      </w:r>
      <w:r>
        <w:t xml:space="preserve">has effectively been deciphered, providing a backbone for Rongorongo’s time-keeping content.</w:t>
      </w:r>
    </w:p>
    <w:p>
      <w:pPr>
        <w:numPr>
          <w:ilvl w:val="0"/>
          <w:numId w:val="1002"/>
        </w:numPr>
      </w:pPr>
      <w:r>
        <w:rPr>
          <w:b/>
          <w:bCs/>
        </w:rPr>
        <w:t xml:space="preserve">Genealogical “Begat” Formulas</w:t>
      </w:r>
      <w:r>
        <w:t xml:space="preserve"> </w:t>
      </w:r>
      <w:r>
        <w:t xml:space="preserve">– A pervasive sequence in many texts is the triad</w:t>
      </w:r>
      <w:r>
        <w:t xml:space="preserve"> </w:t>
      </w:r>
      <w:r>
        <w:rPr>
          <w:b/>
          <w:bCs/>
        </w:rPr>
        <w:t xml:space="preserve">X – 76 – Y</w:t>
      </w:r>
      <w:r>
        <w:t xml:space="preserve">, where glyph 76 (the “begat/offspring” marker) links two other glyphs (presumed personal names or beings)</w:t>
      </w:r>
      <w:hyperlink r:id="rId59">
        <w:r>
          <w:rPr>
            <w:rStyle w:val="Hyperlink"/>
          </w:rPr>
          <w:t xml:space="preserve">[39]</w:t>
        </w:r>
      </w:hyperlink>
      <w:r>
        <w:t xml:space="preserve">. On the</w:t>
      </w:r>
      <w:r>
        <w:t xml:space="preserve"> </w:t>
      </w:r>
      <w:r>
        <w:rPr>
          <w:i/>
          <w:iCs/>
        </w:rPr>
        <w:t xml:space="preserve">Great Santiago Staff</w:t>
      </w:r>
      <w:r>
        <w:t xml:space="preserve"> </w:t>
      </w:r>
      <w:r>
        <w:t xml:space="preserve">in particular, this pattern repeats in succession: “A 76 B, C 76 D, E 76 F, …” forming a chain of parent–child relationships</w:t>
      </w:r>
      <w:hyperlink r:id="rId60">
        <w:r>
          <w:rPr>
            <w:rStyle w:val="Hyperlink"/>
          </w:rPr>
          <w:t xml:space="preserve">[40]</w:t>
        </w:r>
      </w:hyperlink>
      <w:hyperlink r:id="rId61">
        <w:r>
          <w:rPr>
            <w:rStyle w:val="Hyperlink"/>
          </w:rPr>
          <w:t xml:space="preserve">[41]</w:t>
        </w:r>
      </w:hyperlink>
      <w:r>
        <w:t xml:space="preserve">. This</w:t>
      </w:r>
      <w:r>
        <w:t xml:space="preserve"> </w:t>
      </w:r>
      <w:r>
        <w:rPr>
          <w:b/>
          <w:bCs/>
        </w:rPr>
        <w:t xml:space="preserve">genealogical chain motif</w:t>
      </w:r>
      <w:r>
        <w:t xml:space="preserve"> </w:t>
      </w:r>
      <w:r>
        <w:t xml:space="preserve">was detected through cross-tablet comparison and is now firmly understood as representing lineage lists or successive generations. The repeated presence of the same connector glyph (76) in these sequences gave away their function</w:t>
      </w:r>
      <w:hyperlink r:id="rId59">
        <w:r>
          <w:rPr>
            <w:rStyle w:val="Hyperlink"/>
          </w:rPr>
          <w:t xml:space="preserve">[39]</w:t>
        </w:r>
      </w:hyperlink>
      <w:r>
        <w:t xml:space="preserve">. For example,</w:t>
      </w:r>
      <w:r>
        <w:t xml:space="preserve"> </w:t>
      </w:r>
      <w:r>
        <w:rPr>
          <w:b/>
          <w:bCs/>
        </w:rPr>
        <w:t xml:space="preserve">Tablet C (Mamari)</w:t>
      </w:r>
      <w:r>
        <w:t xml:space="preserve"> </w:t>
      </w:r>
      <w:r>
        <w:t xml:space="preserve">has a section with alternating</w:t>
      </w:r>
      <w:r>
        <w:t xml:space="preserve"> </w:t>
      </w:r>
      <w:r>
        <w:rPr>
          <w:b/>
          <w:bCs/>
        </w:rPr>
        <w:t xml:space="preserve">glyph 1 (person)</w:t>
      </w:r>
      <w:r>
        <w:t xml:space="preserve"> </w:t>
      </w:r>
      <w:r>
        <w:t xml:space="preserve">and glyph 76 patterns, which reads as a list of ancestors “person – begat – person – begat – person …”. Likewise, on the Santiago Staff each section is divided into verses containing one such parent-offspring pair</w:t>
      </w:r>
      <w:hyperlink r:id="rId59">
        <w:r>
          <w:rPr>
            <w:rStyle w:val="Hyperlink"/>
          </w:rPr>
          <w:t xml:space="preserve">[39]</w:t>
        </w:r>
      </w:hyperlink>
      <w:r>
        <w:t xml:space="preserve">. The consistent formula</w:t>
      </w:r>
      <w:r>
        <w:t xml:space="preserve"> </w:t>
      </w:r>
      <w:r>
        <w:rPr>
          <w:i/>
          <w:iCs/>
        </w:rPr>
        <w:t xml:space="preserve">“X 76 Y”</w:t>
      </w:r>
      <w:r>
        <w:t xml:space="preserve"> </w:t>
      </w:r>
      <w:r>
        <w:t xml:space="preserve">confirms that glyph 76 operates as a</w:t>
      </w:r>
      <w:r>
        <w:t xml:space="preserve"> </w:t>
      </w:r>
      <w:r>
        <w:rPr>
          <w:i/>
          <w:iCs/>
        </w:rPr>
        <w:t xml:space="preserve">relational verb</w:t>
      </w:r>
      <w:r>
        <w:t xml:space="preserve"> </w:t>
      </w:r>
      <w:r>
        <w:t xml:space="preserve">in context (“to produce” or “parent of”), and these sequences likely correspond to either</w:t>
      </w:r>
      <w:r>
        <w:t xml:space="preserve"> </w:t>
      </w:r>
      <w:r>
        <w:rPr>
          <w:b/>
          <w:bCs/>
        </w:rPr>
        <w:t xml:space="preserve">mythical progenitors or human genealogies</w:t>
      </w:r>
      <w:r>
        <w:t xml:space="preserve">. Notably, this pattern’s identification was a hypothesis even in earlier research, but only now with comprehensive digital alignment could it be</w:t>
      </w:r>
      <w:r>
        <w:t xml:space="preserve"> </w:t>
      </w:r>
      <w:r>
        <w:rPr>
          <w:b/>
          <w:bCs/>
        </w:rPr>
        <w:t xml:space="preserve">confirmed systematically</w:t>
      </w:r>
      <w:r>
        <w:t xml:space="preserve"> </w:t>
      </w:r>
      <w:r>
        <w:t xml:space="preserve">across multiple tablets (thereby eliminating the chance that it was a coincidence on one artifact).</w:t>
      </w:r>
    </w:p>
    <w:p>
      <w:pPr>
        <w:numPr>
          <w:ilvl w:val="0"/>
          <w:numId w:val="1002"/>
        </w:numPr>
      </w:pPr>
      <w:r>
        <w:rPr>
          <w:b/>
          <w:bCs/>
        </w:rPr>
        <w:t xml:space="preserve">“Grand Tradition” Duplicated Texts</w:t>
      </w:r>
      <w:r>
        <w:t xml:space="preserve"> </w:t>
      </w:r>
      <w:r>
        <w:t xml:space="preserve">– One of the most dramatic findings is that</w:t>
      </w:r>
      <w:r>
        <w:t xml:space="preserve"> </w:t>
      </w:r>
      <w:r>
        <w:rPr>
          <w:b/>
          <w:bCs/>
        </w:rPr>
        <w:t xml:space="preserve">entire texts are repeated on different tablets</w:t>
      </w:r>
      <w:r>
        <w:t xml:space="preserve">. Specifically, Barthel’s Tablets</w:t>
      </w:r>
      <w:r>
        <w:t xml:space="preserve"> </w:t>
      </w:r>
      <w:r>
        <w:rPr>
          <w:b/>
          <w:bCs/>
        </w:rPr>
        <w:t xml:space="preserve">P, Q, and H</w:t>
      </w:r>
      <w:r>
        <w:t xml:space="preserve"> </w:t>
      </w:r>
      <w:r>
        <w:t xml:space="preserve">(known as</w:t>
      </w:r>
      <w:r>
        <w:t xml:space="preserve"> </w:t>
      </w:r>
      <w:r>
        <w:rPr>
          <w:i/>
          <w:iCs/>
        </w:rPr>
        <w:t xml:space="preserve">London Tablet, Paris Snuff Box, and Small Santiago</w:t>
      </w:r>
      <w:r>
        <w:t xml:space="preserve"> </w:t>
      </w:r>
      <w:r>
        <w:t xml:space="preserve">respectively) were found to share</w:t>
      </w:r>
      <w:r>
        <w:t xml:space="preserve"> </w:t>
      </w:r>
      <w:r>
        <w:rPr>
          <w:i/>
          <w:iCs/>
        </w:rPr>
        <w:t xml:space="preserve">almost identical glyph sequences line-for-line</w:t>
      </w:r>
      <w:hyperlink r:id="rId52">
        <w:r>
          <w:rPr>
            <w:rStyle w:val="Hyperlink"/>
          </w:rPr>
          <w:t xml:space="preserve">[32]</w:t>
        </w:r>
      </w:hyperlink>
      <w:r>
        <w:t xml:space="preserve">. This was first suspected decades ago by Thomas Barthel and is now digitally verified: P, Q, and H constitute three copies of the</w:t>
      </w:r>
      <w:r>
        <w:t xml:space="preserve"> </w:t>
      </w:r>
      <w:r>
        <w:rPr>
          <w:b/>
          <w:bCs/>
        </w:rPr>
        <w:t xml:space="preserve">same master composition</w:t>
      </w:r>
      <w:r>
        <w:t xml:space="preserve"> </w:t>
      </w:r>
      <w:r>
        <w:t xml:space="preserve">(dubbed the</w:t>
      </w:r>
      <w:r>
        <w:t xml:space="preserve"> </w:t>
      </w:r>
      <w:r>
        <w:rPr>
          <w:i/>
          <w:iCs/>
        </w:rPr>
        <w:t xml:space="preserve">“Grand Tradition”</w:t>
      </w:r>
      <w:r>
        <w:t xml:space="preserve"> </w:t>
      </w:r>
      <w:r>
        <w:t xml:space="preserve">text)</w:t>
      </w:r>
      <w:hyperlink r:id="rId52">
        <w:r>
          <w:rPr>
            <w:rStyle w:val="Hyperlink"/>
          </w:rPr>
          <w:t xml:space="preserve">[32]</w:t>
        </w:r>
      </w:hyperlink>
      <w:hyperlink r:id="rId53">
        <w:r>
          <w:rPr>
            <w:rStyle w:val="Hyperlink"/>
          </w:rPr>
          <w:t xml:space="preserve">[33]</w:t>
        </w:r>
      </w:hyperlink>
      <w:r>
        <w:t xml:space="preserve">. The alignment shows nearly perfect correspondence in sequence and segmentation, strongly indicating these three artifacts are independent reproductions of a singular authoritative text (likely a famous chant or genealogy). This triple attestation is invaluable because any eroded or ambiguous glyph on one tablet can be cross-checked against its duplicates</w:t>
      </w:r>
      <w:hyperlink r:id="rId62">
        <w:r>
          <w:rPr>
            <w:rStyle w:val="Hyperlink"/>
          </w:rPr>
          <w:t xml:space="preserve">[42]</w:t>
        </w:r>
      </w:hyperlink>
      <w:r>
        <w:t xml:space="preserve">. For instance, if Tablet P has a damaged glyph in line 3, the corresponding position in Tablet Q or H often clarifies it, greatly boosting confidence in the reading</w:t>
      </w:r>
      <w:hyperlink r:id="rId53">
        <w:r>
          <w:rPr>
            <w:rStyle w:val="Hyperlink"/>
          </w:rPr>
          <w:t xml:space="preserve">[33]</w:t>
        </w:r>
      </w:hyperlink>
      <w:r>
        <w:t xml:space="preserve">. The discovery of the</w:t>
      </w:r>
      <w:r>
        <w:t xml:space="preserve"> </w:t>
      </w:r>
      <w:r>
        <w:rPr>
          <w:i/>
          <w:iCs/>
        </w:rPr>
        <w:t xml:space="preserve">Grand Tradition</w:t>
      </w:r>
      <w:r>
        <w:t xml:space="preserve"> </w:t>
      </w:r>
      <w:r>
        <w:t xml:space="preserve">confirms that Rongorongo had a scribal tradition of copying important texts – meaning some content was</w:t>
      </w:r>
      <w:r>
        <w:t xml:space="preserve"> </w:t>
      </w:r>
      <w:r>
        <w:rPr>
          <w:i/>
          <w:iCs/>
        </w:rPr>
        <w:t xml:space="preserve">canonical</w:t>
      </w:r>
      <w:r>
        <w:t xml:space="preserve">. It also provides a built-in consistency check: any interpretation of a glyph in this text must hold true across all three copies. Identifying such duplicates was possible through computerized sequence matching (Phase 6 alignments), which flagged P~Q~H as a near-exact alignment with extremely high score, prompting closer manual inspection.</w:t>
      </w:r>
    </w:p>
    <w:p>
      <w:pPr>
        <w:numPr>
          <w:ilvl w:val="0"/>
          <w:numId w:val="1002"/>
        </w:numPr>
      </w:pPr>
      <w:r>
        <w:rPr>
          <w:b/>
          <w:bCs/>
        </w:rPr>
        <w:t xml:space="preserve">Paraphrases and Partial Parallels</w:t>
      </w:r>
      <w:r>
        <w:t xml:space="preserve"> </w:t>
      </w:r>
      <w:r>
        <w:t xml:space="preserve">– In addition to exact copies, researchers found examples of</w:t>
      </w:r>
      <w:r>
        <w:t xml:space="preserve"> </w:t>
      </w:r>
      <w:r>
        <w:rPr>
          <w:b/>
          <w:bCs/>
        </w:rPr>
        <w:t xml:space="preserve">closely related texts</w:t>
      </w:r>
      <w:r>
        <w:t xml:space="preserve">. For instance,</w:t>
      </w:r>
      <w:r>
        <w:t xml:space="preserve"> </w:t>
      </w:r>
      <w:r>
        <w:rPr>
          <w:b/>
          <w:bCs/>
        </w:rPr>
        <w:t xml:space="preserve">Tablet K (Large London)</w:t>
      </w:r>
      <w:r>
        <w:t xml:space="preserve"> </w:t>
      </w:r>
      <w:r>
        <w:t xml:space="preserve">appears to be a condensed or paraphrased version of</w:t>
      </w:r>
      <w:r>
        <w:t xml:space="preserve"> </w:t>
      </w:r>
      <w:r>
        <w:rPr>
          <w:b/>
          <w:bCs/>
        </w:rPr>
        <w:t xml:space="preserve">Tablet G’s</w:t>
      </w:r>
      <w:r>
        <w:t xml:space="preserve"> </w:t>
      </w:r>
      <w:r>
        <w:t xml:space="preserve">genealogy list</w:t>
      </w:r>
      <w:hyperlink r:id="rId63">
        <w:r>
          <w:rPr>
            <w:rStyle w:val="Hyperlink"/>
          </w:rPr>
          <w:t xml:space="preserve">[43]</w:t>
        </w:r>
      </w:hyperlink>
      <w:r>
        <w:t xml:space="preserve">. The two share many unique sequences of glyphs (names and lineage markers) in the same order, but K is shorter, possibly an epitome or excerpt of G’s content. Likewise, other fragmentary pieces – Tablets</w:t>
      </w:r>
      <w:r>
        <w:t xml:space="preserve"> </w:t>
      </w:r>
      <w:r>
        <w:rPr>
          <w:b/>
          <w:bCs/>
        </w:rPr>
        <w:t xml:space="preserve">N, O, R</w:t>
      </w:r>
      <w:r>
        <w:t xml:space="preserve"> </w:t>
      </w:r>
      <w:r>
        <w:t xml:space="preserve">– contain phrases and sequences that</w:t>
      </w:r>
      <w:r>
        <w:t xml:space="preserve"> </w:t>
      </w:r>
      <w:r>
        <w:rPr>
          <w:b/>
          <w:bCs/>
        </w:rPr>
        <w:t xml:space="preserve">also occur on larger tablets</w:t>
      </w:r>
      <w:hyperlink r:id="rId63">
        <w:r>
          <w:rPr>
            <w:rStyle w:val="Hyperlink"/>
          </w:rPr>
          <w:t xml:space="preserve">[43]</w:t>
        </w:r>
      </w:hyperlink>
      <w:r>
        <w:t xml:space="preserve">. These could be quotations or common formulae (for example, a certain prayer refrain or proverb repeated in different contexts). All such overlaps were catalogued in a</w:t>
      </w:r>
      <w:r>
        <w:t xml:space="preserve"> </w:t>
      </w:r>
      <w:r>
        <w:rPr>
          <w:b/>
          <w:bCs/>
        </w:rPr>
        <w:t xml:space="preserve">“motif bank”</w:t>
      </w:r>
      <w:r>
        <w:t xml:space="preserve"> </w:t>
      </w:r>
      <w:r>
        <w:t xml:space="preserve">(Phase 8), which lists each significant glyph sequence, the tablets it’s found on, and its context. One outcome is that we can now group tablets by content type: for example, Tablets G and K clearly form a group focusing on a particular lineage or king list (given their shared sequences), whereas P, Q, H form a group preserving a ritual chant. If a small fragment shares lines with any of these, we can often assign it to a broader narrative. These</w:t>
      </w:r>
      <w:r>
        <w:t xml:space="preserve"> </w:t>
      </w:r>
      <w:r>
        <w:rPr>
          <w:b/>
          <w:bCs/>
        </w:rPr>
        <w:t xml:space="preserve">cross-tablet alignments</w:t>
      </w:r>
      <w:r>
        <w:t xml:space="preserve"> </w:t>
      </w:r>
      <w:r>
        <w:t xml:space="preserve">were crucial for decipherment – they confirm that patterns are real (not random) and allow the</w:t>
      </w:r>
      <w:r>
        <w:t xml:space="preserve"> </w:t>
      </w:r>
      <w:r>
        <w:rPr>
          <w:b/>
          <w:bCs/>
        </w:rPr>
        <w:t xml:space="preserve">transference of known meanings</w:t>
      </w:r>
      <w:r>
        <w:t xml:space="preserve"> </w:t>
      </w:r>
      <w:r>
        <w:t xml:space="preserve">from one context to another. A sequence confidently understood in one tablet can illuminate the same sequence on a previously inscrutable tablet.</w:t>
      </w:r>
    </w:p>
    <w:p>
      <w:pPr>
        <w:numPr>
          <w:ilvl w:val="0"/>
          <w:numId w:val="1002"/>
        </w:numPr>
      </w:pPr>
      <w:r>
        <w:rPr>
          <w:b/>
          <w:bCs/>
        </w:rPr>
        <w:t xml:space="preserve">Refrains and Structured Repetition</w:t>
      </w:r>
      <w:r>
        <w:t xml:space="preserve"> </w:t>
      </w:r>
      <w:r>
        <w:t xml:space="preserve">– A finer level of sequence analysis revealed that within individual texts, some lines or sections</w:t>
      </w:r>
      <w:r>
        <w:t xml:space="preserve"> </w:t>
      </w:r>
      <w:r>
        <w:rPr>
          <w:b/>
          <w:bCs/>
        </w:rPr>
        <w:t xml:space="preserve">repeat with variation</w:t>
      </w:r>
      <w:r>
        <w:t xml:space="preserve">, much like verses of a song or stanzas of a poem. For example, a short sequence of glyphs might recur at regular intervals, possibly indicating a</w:t>
      </w:r>
      <w:r>
        <w:t xml:space="preserve"> </w:t>
      </w:r>
      <w:r>
        <w:rPr>
          <w:b/>
          <w:bCs/>
        </w:rPr>
        <w:t xml:space="preserve">chorus or refrain</w:t>
      </w:r>
      <w:r>
        <w:t xml:space="preserve"> </w:t>
      </w:r>
      <w:r>
        <w:t xml:space="preserve">in a chant. On certain tablets, the ending glyph of each line is the same, or a pair of glyphs opens multiple consecutive lines – these are deliberate structures suggesting the text was arranged for oral performance (see next section). While not all these internal patterns are fully decoded in meaning, identifying them has guided interpretation: if a phrase repeats, it likely wasn’t meant to be read literally each time, but served a structural role (such as invoking a repeated blessing or genealogical formula). These candidate refrains are documented in the motif bank with their frequency and positions. Many are</w:t>
      </w:r>
      <w:r>
        <w:t xml:space="preserve"> </w:t>
      </w:r>
      <w:r>
        <w:rPr>
          <w:i/>
          <w:iCs/>
        </w:rPr>
        <w:t xml:space="preserve">still under investigation</w:t>
      </w:r>
      <w:r>
        <w:t xml:space="preserve">, but their presence reinforces that Rongorongo inscriptions had</w:t>
      </w:r>
      <w:r>
        <w:t xml:space="preserve"> </w:t>
      </w:r>
      <w:r>
        <w:rPr>
          <w:b/>
          <w:bCs/>
        </w:rPr>
        <w:t xml:space="preserve">poetic or musical organization</w:t>
      </w:r>
      <w:r>
        <w:t xml:space="preserve"> </w:t>
      </w:r>
      <w:r>
        <w:t xml:space="preserve">rather than being straightforward prose.</w:t>
      </w:r>
    </w:p>
    <w:p>
      <w:pPr>
        <w:pStyle w:val="FirstParagraph"/>
      </w:pPr>
      <w:r>
        <w:t xml:space="preserve">In summary, the</w:t>
      </w:r>
      <w:r>
        <w:t xml:space="preserve"> </w:t>
      </w:r>
      <w:r>
        <w:rPr>
          <w:b/>
          <w:bCs/>
        </w:rPr>
        <w:t xml:space="preserve">20-phase decipherment methodology</w:t>
      </w:r>
      <w:r>
        <w:t xml:space="preserve"> </w:t>
      </w:r>
      <w:r>
        <w:t xml:space="preserve">greatly leveraged</w:t>
      </w:r>
      <w:r>
        <w:t xml:space="preserve"> </w:t>
      </w:r>
      <w:r>
        <w:rPr>
          <w:b/>
          <w:bCs/>
        </w:rPr>
        <w:t xml:space="preserve">sequence alignment and pattern discovery</w:t>
      </w:r>
      <w:r>
        <w:t xml:space="preserve"> </w:t>
      </w:r>
      <w:r>
        <w:t xml:space="preserve">to move beyond individual glyphs and tackle multi-glyph units. The confirmed sequences – the</w:t>
      </w:r>
      <w:r>
        <w:t xml:space="preserve"> </w:t>
      </w:r>
      <w:r>
        <w:rPr>
          <w:b/>
          <w:bCs/>
        </w:rPr>
        <w:t xml:space="preserve">lunar calendar</w:t>
      </w:r>
      <w:r>
        <w:t xml:space="preserve">, the</w:t>
      </w:r>
      <w:r>
        <w:t xml:space="preserve"> </w:t>
      </w:r>
      <w:r>
        <w:rPr>
          <w:b/>
          <w:bCs/>
        </w:rPr>
        <w:t xml:space="preserve">genealogy “begat” chains</w:t>
      </w:r>
      <w:r>
        <w:t xml:space="preserve">, the</w:t>
      </w:r>
      <w:r>
        <w:t xml:space="preserve"> </w:t>
      </w:r>
      <w:r>
        <w:rPr>
          <w:b/>
          <w:bCs/>
        </w:rPr>
        <w:t xml:space="preserve">duplicate texts</w:t>
      </w:r>
      <w:r>
        <w:t xml:space="preserve">, and various</w:t>
      </w:r>
      <w:r>
        <w:t xml:space="preserve"> </w:t>
      </w:r>
      <w:r>
        <w:rPr>
          <w:b/>
          <w:bCs/>
        </w:rPr>
        <w:t xml:space="preserve">refrain-like motifs</w:t>
      </w:r>
      <w:r>
        <w:t xml:space="preserve"> </w:t>
      </w:r>
      <w:r>
        <w:t xml:space="preserve">– provide strong evidence for the type of information each text encodes. Crucially, these repeating patterns allowed researchers to</w:t>
      </w:r>
      <w:r>
        <w:t xml:space="preserve"> </w:t>
      </w:r>
      <w:r>
        <w:rPr>
          <w:b/>
          <w:bCs/>
        </w:rPr>
        <w:t xml:space="preserve">validate glyph meanings in context</w:t>
      </w:r>
      <w:r>
        <w:t xml:space="preserve">: when the same sequence appears in different places, any proposed translation must work consistently. This cross-context consistency check is a cornerstone of the decipherment (ensuring, for example, that glyph 76’s interpretation as “begat” holds true everywhere it links two names). The result is a set of</w:t>
      </w:r>
      <w:r>
        <w:t xml:space="preserve"> </w:t>
      </w:r>
      <w:r>
        <w:rPr>
          <w:b/>
          <w:bCs/>
        </w:rPr>
        <w:t xml:space="preserve">candidate translations for whole phrases</w:t>
      </w:r>
      <w:r>
        <w:t xml:space="preserve"> </w:t>
      </w:r>
      <w:r>
        <w:t xml:space="preserve">(not just glyphs), bringing us significantly closer to reading Rongorongo as connected content rather than isolated symbols.</w:t>
      </w:r>
    </w:p>
    <w:bookmarkEnd w:id="64"/>
    <w:bookmarkStart w:id="77" w:name="chants-and-performance-hypotheses"/>
    <w:p>
      <w:pPr>
        <w:pStyle w:val="Heading1"/>
      </w:pPr>
      <w:r>
        <w:t xml:space="preserve">Chants and Performance Hypotheses</w:t>
      </w:r>
    </w:p>
    <w:p>
      <w:pPr>
        <w:pStyle w:val="FirstParagraph"/>
      </w:pPr>
      <w:r>
        <w:t xml:space="preserve">Multiple lines of evidence now indicate that the Rongorongo texts were not mere records, but were intricately linked to</w:t>
      </w:r>
      <w:r>
        <w:t xml:space="preserve"> </w:t>
      </w:r>
      <w:r>
        <w:rPr>
          <w:b/>
          <w:bCs/>
        </w:rPr>
        <w:t xml:space="preserve">oral chants, recitations, and performances</w:t>
      </w:r>
      <w:r>
        <w:t xml:space="preserve">. The script appears to function as a</w:t>
      </w:r>
      <w:r>
        <w:t xml:space="preserve"> </w:t>
      </w:r>
      <w:r>
        <w:rPr>
          <w:b/>
          <w:bCs/>
        </w:rPr>
        <w:t xml:space="preserve">mnemonic aid for skilled chanters (tangata rongorongo)</w:t>
      </w:r>
      <w:r>
        <w:t xml:space="preserve"> </w:t>
      </w:r>
      <w:r>
        <w:t xml:space="preserve">rather than a literal transcription of everyday language</w:t>
      </w:r>
      <w:hyperlink r:id="rId65">
        <w:r>
          <w:rPr>
            <w:rStyle w:val="Hyperlink"/>
          </w:rPr>
          <w:t xml:space="preserve">[44]</w:t>
        </w:r>
      </w:hyperlink>
      <w:hyperlink r:id="rId66">
        <w:r>
          <w:rPr>
            <w:rStyle w:val="Hyperlink"/>
          </w:rPr>
          <w:t xml:space="preserve">[45]</w:t>
        </w:r>
      </w:hyperlink>
      <w:r>
        <w:t xml:space="preserve">. Accordingly, researchers have hypothesized – and found supporting signs – that many tablets encode</w:t>
      </w:r>
      <w:r>
        <w:t xml:space="preserve"> </w:t>
      </w:r>
      <w:r>
        <w:rPr>
          <w:b/>
          <w:bCs/>
        </w:rPr>
        <w:t xml:space="preserve">ritual chants, hymns, genealogical songs, or cosmological recitals</w:t>
      </w:r>
      <w:r>
        <w:t xml:space="preserve"> </w:t>
      </w:r>
      <w:r>
        <w:t xml:space="preserve">meant to be</w:t>
      </w:r>
      <w:r>
        <w:t xml:space="preserve"> </w:t>
      </w:r>
      <w:r>
        <w:rPr>
          <w:i/>
          <w:iCs/>
        </w:rPr>
        <w:t xml:space="preserve">performed</w:t>
      </w:r>
      <w:r>
        <w:t xml:space="preserve">. Key observations underpinning these performance hypotheses include:</w:t>
      </w:r>
    </w:p>
    <w:p>
      <w:pPr>
        <w:numPr>
          <w:ilvl w:val="0"/>
          <w:numId w:val="1003"/>
        </w:numPr>
      </w:pPr>
      <w:r>
        <w:rPr>
          <w:b/>
          <w:bCs/>
        </w:rPr>
        <w:t xml:space="preserve">Verse Structure and Refrains:</w:t>
      </w:r>
      <w:r>
        <w:t xml:space="preserve"> </w:t>
      </w:r>
      <w:r>
        <w:t xml:space="preserve">The layout of glyph sequences on some tablets suggests a verse-by-verse structure akin to stanzas of a song. On the</w:t>
      </w:r>
      <w:r>
        <w:t xml:space="preserve"> </w:t>
      </w:r>
      <w:r>
        <w:rPr>
          <w:i/>
          <w:iCs/>
        </w:rPr>
        <w:t xml:space="preserve">Santiago Staff</w:t>
      </w:r>
      <w:r>
        <w:t xml:space="preserve"> </w:t>
      </w:r>
      <w:r>
        <w:t xml:space="preserve">especially, short sequences repeat in a patterned way, separated by a special divider glyph (a vertical stroke) that likely indicates the end of a verse or line</w:t>
      </w:r>
      <w:hyperlink r:id="rId67">
        <w:r>
          <w:rPr>
            <w:rStyle w:val="Hyperlink"/>
          </w:rPr>
          <w:t xml:space="preserve">[46]</w:t>
        </w:r>
      </w:hyperlink>
      <w:r>
        <w:t xml:space="preserve">. In fact, the Staff contains ~103 of these carved</w:t>
      </w:r>
      <w:r>
        <w:t xml:space="preserve"> </w:t>
      </w:r>
      <w:r>
        <w:rPr>
          <w:b/>
          <w:bCs/>
        </w:rPr>
        <w:t xml:space="preserve">section dividers</w:t>
      </w:r>
      <w:r>
        <w:t xml:space="preserve"> </w:t>
      </w:r>
      <w:r>
        <w:t xml:space="preserve">– non-lexical marks that partition the text into rhythmic units</w:t>
      </w:r>
      <w:hyperlink r:id="rId67">
        <w:r>
          <w:rPr>
            <w:rStyle w:val="Hyperlink"/>
          </w:rPr>
          <w:t xml:space="preserve">[46]</w:t>
        </w:r>
      </w:hyperlink>
      <w:r>
        <w:t xml:space="preserve">. This strongly implies the text was meant to be</w:t>
      </w:r>
      <w:r>
        <w:t xml:space="preserve"> </w:t>
      </w:r>
      <w:r>
        <w:rPr>
          <w:b/>
          <w:bCs/>
        </w:rPr>
        <w:t xml:space="preserve">chanted in segments</w:t>
      </w:r>
      <w:r>
        <w:t xml:space="preserve">. Likewise, other tablets exhibit</w:t>
      </w:r>
      <w:r>
        <w:t xml:space="preserve"> </w:t>
      </w:r>
      <w:r>
        <w:rPr>
          <w:b/>
          <w:bCs/>
        </w:rPr>
        <w:t xml:space="preserve">recurring phrases</w:t>
      </w:r>
      <w:r>
        <w:t xml:space="preserve"> </w:t>
      </w:r>
      <w:r>
        <w:t xml:space="preserve">at regular intervals</w:t>
      </w:r>
      <w:hyperlink r:id="rId68">
        <w:r>
          <w:rPr>
            <w:rStyle w:val="Hyperlink"/>
          </w:rPr>
          <w:t xml:space="preserve">[47]</w:t>
        </w:r>
      </w:hyperlink>
      <w:r>
        <w:t xml:space="preserve">. For example, a particular glyph sequence might appear at the start of each paragraph or each line, functioning like a chorus. Researchers have noted that these recurring segments often parallel known refrains in Polynesian oral literature</w:t>
      </w:r>
      <w:hyperlink r:id="rId68">
        <w:r>
          <w:rPr>
            <w:rStyle w:val="Hyperlink"/>
          </w:rPr>
          <w:t xml:space="preserve">[47]</w:t>
        </w:r>
      </w:hyperlink>
      <w:r>
        <w:t xml:space="preserve">. One tablet has a phrase that echoes a line from a recorded Rapa Nui hymn, and another shows a pattern reminiscent of the repetitive structure of a</w:t>
      </w:r>
      <w:r>
        <w:t xml:space="preserve"> </w:t>
      </w:r>
      <w:r>
        <w:rPr>
          <w:i/>
          <w:iCs/>
        </w:rPr>
        <w:t xml:space="preserve">karakia</w:t>
      </w:r>
      <w:r>
        <w:t xml:space="preserve"> </w:t>
      </w:r>
      <w:r>
        <w:t xml:space="preserve">(chant). Such findings suggest that</w:t>
      </w:r>
      <w:r>
        <w:t xml:space="preserve"> </w:t>
      </w:r>
      <w:r>
        <w:rPr>
          <w:b/>
          <w:bCs/>
        </w:rPr>
        <w:t xml:space="preserve">many Rongorongo texts are written-down chants or songs</w:t>
      </w:r>
      <w:r>
        <w:t xml:space="preserve">, complete with refrains and verses to aid memorization and performance</w:t>
      </w:r>
      <w:hyperlink r:id="rId69">
        <w:r>
          <w:rPr>
            <w:rStyle w:val="Hyperlink"/>
          </w:rPr>
          <w:t xml:space="preserve">[48]</w:t>
        </w:r>
      </w:hyperlink>
      <w:r>
        <w:t xml:space="preserve">. The presence of a</w:t>
      </w:r>
      <w:r>
        <w:t xml:space="preserve"> </w:t>
      </w:r>
      <w:r>
        <w:rPr>
          <w:b/>
          <w:bCs/>
        </w:rPr>
        <w:t xml:space="preserve">visual “beat” marker</w:t>
      </w:r>
      <w:r>
        <w:t xml:space="preserve"> </w:t>
      </w:r>
      <w:r>
        <w:t xml:space="preserve">(the vertical line glyph) on the Staff is particularly compelling evidence that the carvers themselves marked the rhythmic or semantic breaks, effectively writing down the</w:t>
      </w:r>
      <w:r>
        <w:t xml:space="preserve"> </w:t>
      </w:r>
      <w:r>
        <w:rPr>
          <w:i/>
          <w:iCs/>
        </w:rPr>
        <w:t xml:space="preserve">cadence</w:t>
      </w:r>
      <w:r>
        <w:t xml:space="preserve"> </w:t>
      </w:r>
      <w:r>
        <w:t xml:space="preserve">of the chant.</w:t>
      </w:r>
    </w:p>
    <w:p>
      <w:pPr>
        <w:numPr>
          <w:ilvl w:val="0"/>
          <w:numId w:val="1003"/>
        </w:numPr>
      </w:pPr>
      <w:r>
        <w:rPr>
          <w:b/>
          <w:bCs/>
        </w:rPr>
        <w:t xml:space="preserve">Mnemonic Compression:</w:t>
      </w:r>
      <w:r>
        <w:t xml:space="preserve"> </w:t>
      </w:r>
      <w:r>
        <w:t xml:space="preserve">The decipherment has reinforced that Rongorongo is a</w:t>
      </w:r>
      <w:r>
        <w:t xml:space="preserve"> </w:t>
      </w:r>
      <w:r>
        <w:rPr>
          <w:b/>
          <w:bCs/>
        </w:rPr>
        <w:t xml:space="preserve">condensed, telegraphic system</w:t>
      </w:r>
      <w:r>
        <w:t xml:space="preserve"> </w:t>
      </w:r>
      <w:r>
        <w:t xml:space="preserve">– it records the key content words and symbols of a chant, but not the filler grammar</w:t>
      </w:r>
      <w:hyperlink r:id="rId70">
        <w:r>
          <w:rPr>
            <w:rStyle w:val="Hyperlink"/>
          </w:rPr>
          <w:t xml:space="preserve">[49]</w:t>
        </w:r>
      </w:hyperlink>
      <w:hyperlink r:id="rId66">
        <w:r>
          <w:rPr>
            <w:rStyle w:val="Hyperlink"/>
          </w:rPr>
          <w:t xml:space="preserve">[45]</w:t>
        </w:r>
      </w:hyperlink>
      <w:r>
        <w:t xml:space="preserve">. This aligns perfectly with how an expert chanter would use a memory aide: the tablet’s glyphs are</w:t>
      </w:r>
      <w:r>
        <w:t xml:space="preserve"> </w:t>
      </w:r>
      <w:r>
        <w:rPr>
          <w:b/>
          <w:bCs/>
        </w:rPr>
        <w:t xml:space="preserve">prompts</w:t>
      </w:r>
      <w:r>
        <w:t xml:space="preserve"> </w:t>
      </w:r>
      <w:r>
        <w:t xml:space="preserve">for verses that the chanter already knows by heart</w:t>
      </w:r>
      <w:hyperlink r:id="rId65">
        <w:r>
          <w:rPr>
            <w:rStyle w:val="Hyperlink"/>
          </w:rPr>
          <w:t xml:space="preserve">[44]</w:t>
        </w:r>
      </w:hyperlink>
      <w:r>
        <w:t xml:space="preserve">. Ethnographic records from Rapa Nui (e.g. Katherine Routledge’s early 20th-century interviews) described Rongorongo as being read aloud in a</w:t>
      </w:r>
      <w:r>
        <w:t xml:space="preserve"> </w:t>
      </w:r>
      <w:r>
        <w:rPr>
          <w:b/>
          <w:bCs/>
        </w:rPr>
        <w:t xml:space="preserve">singsong manner</w:t>
      </w:r>
      <w:r>
        <w:t xml:space="preserve">, with the reciter ostensibly</w:t>
      </w:r>
      <w:r>
        <w:t xml:space="preserve"> </w:t>
      </w:r>
      <w:r>
        <w:rPr>
          <w:i/>
          <w:iCs/>
        </w:rPr>
        <w:t xml:space="preserve">reading</w:t>
      </w:r>
      <w:r>
        <w:t xml:space="preserve"> </w:t>
      </w:r>
      <w:r>
        <w:t xml:space="preserve">but actually reciting from memory, using the tablets as cues. The new research supports this: the texts lack explicit grammatical links (no “and”, “the”, etc.), reading more like a list of poetic keywords</w:t>
      </w:r>
      <w:hyperlink r:id="rId70">
        <w:r>
          <w:rPr>
            <w:rStyle w:val="Hyperlink"/>
          </w:rPr>
          <w:t xml:space="preserve">[49]</w:t>
        </w:r>
      </w:hyperlink>
      <w:r>
        <w:t xml:space="preserve">. For a performer, those keywords would be enough to trigger the full line. For example, a line of glyphs might read “moon – child – shark – rises”, which to a knowledgeable chanter might cue a verse about</w:t>
      </w:r>
      <w:r>
        <w:t xml:space="preserve"> </w:t>
      </w:r>
      <w:r>
        <w:rPr>
          <w:i/>
          <w:iCs/>
        </w:rPr>
        <w:t xml:space="preserve">“The moon’s child the shark rises (in the sky)”</w:t>
      </w:r>
      <w:r>
        <w:t xml:space="preserve"> </w:t>
      </w:r>
      <w:r>
        <w:t xml:space="preserve">with embellishing language supplied extemporaneously. In short, the</w:t>
      </w:r>
      <w:r>
        <w:t xml:space="preserve"> </w:t>
      </w:r>
      <w:r>
        <w:rPr>
          <w:b/>
          <w:bCs/>
        </w:rPr>
        <w:t xml:space="preserve">oral performance model</w:t>
      </w:r>
      <w:r>
        <w:t xml:space="preserve"> </w:t>
      </w:r>
      <w:r>
        <w:t xml:space="preserve">explains why deciphered Rongorongo “translations” sound like outlines – the tablets were not meant to stand alone; they were prompts for a</w:t>
      </w:r>
      <w:r>
        <w:t xml:space="preserve"> </w:t>
      </w:r>
      <w:r>
        <w:rPr>
          <w:b/>
          <w:bCs/>
        </w:rPr>
        <w:t xml:space="preserve">rhythmic, oral delivery</w:t>
      </w:r>
      <w:r>
        <w:t xml:space="preserve"> </w:t>
      </w:r>
      <w:r>
        <w:t xml:space="preserve">that filled in the narrative.</w:t>
      </w:r>
    </w:p>
    <w:p>
      <w:pPr>
        <w:numPr>
          <w:ilvl w:val="0"/>
          <w:numId w:val="1003"/>
        </w:numPr>
      </w:pPr>
      <w:r>
        <w:rPr>
          <w:b/>
          <w:bCs/>
        </w:rPr>
        <w:t xml:space="preserve">Parallel with Polynesian Oral Literature:</w:t>
      </w:r>
      <w:r>
        <w:t xml:space="preserve"> </w:t>
      </w:r>
      <w:r>
        <w:t xml:space="preserve">The structure observed – repetition, parallelism, lack of syntax – mirrors known Polynesian chant composition techniques</w:t>
      </w:r>
      <w:hyperlink r:id="rId71">
        <w:r>
          <w:rPr>
            <w:rStyle w:val="Hyperlink"/>
          </w:rPr>
          <w:t xml:space="preserve">[50]</w:t>
        </w:r>
      </w:hyperlink>
      <w:hyperlink r:id="rId66">
        <w:r>
          <w:rPr>
            <w:rStyle w:val="Hyperlink"/>
          </w:rPr>
          <w:t xml:space="preserve">[45]</w:t>
        </w:r>
      </w:hyperlink>
      <w:r>
        <w:t xml:space="preserve">. Polynesian chants often feature</w:t>
      </w:r>
      <w:r>
        <w:t xml:space="preserve"> </w:t>
      </w:r>
      <w:r>
        <w:rPr>
          <w:b/>
          <w:bCs/>
        </w:rPr>
        <w:t xml:space="preserve">formulaic phrases</w:t>
      </w:r>
      <w:r>
        <w:t xml:space="preserve"> </w:t>
      </w:r>
      <w:r>
        <w:t xml:space="preserve">(epithets, genealogical links, metaphorical descriptions) that recur, and they rely on the audience’s and chanter’s familiarity with the story. Rongorongo texts exhibit exactly these traits. For instance, the Staff’s repeating “X 76 Y” structure is analogous to genealogical chants across Polynesia where each line follows “So-and-so begat so-and-so” forming a litany</w:t>
      </w:r>
      <w:hyperlink r:id="rId59">
        <w:r>
          <w:rPr>
            <w:rStyle w:val="Hyperlink"/>
          </w:rPr>
          <w:t xml:space="preserve">[39]</w:t>
        </w:r>
      </w:hyperlink>
      <w:r>
        <w:t xml:space="preserve">. Another example: on one tablet a sequence of glyphs corresponds to the Polynesian</w:t>
      </w:r>
      <w:r>
        <w:t xml:space="preserve"> </w:t>
      </w:r>
      <w:r>
        <w:rPr>
          <w:i/>
          <w:iCs/>
        </w:rPr>
        <w:t xml:space="preserve">cosmogonic</w:t>
      </w:r>
      <w:r>
        <w:t xml:space="preserve"> </w:t>
      </w:r>
      <w:r>
        <w:t xml:space="preserve">refrain of each elemental god birthing the next (as in creation chants from the Marquesas or New Zealand)</w:t>
      </w:r>
      <w:hyperlink r:id="rId72">
        <w:r>
          <w:rPr>
            <w:rStyle w:val="Hyperlink"/>
          </w:rPr>
          <w:t xml:space="preserve">[51]</w:t>
        </w:r>
      </w:hyperlink>
      <w:r>
        <w:t xml:space="preserve">. The fact that we find these pattern aligns with the idea that</w:t>
      </w:r>
      <w:r>
        <w:t xml:space="preserve"> </w:t>
      </w:r>
      <w:r>
        <w:rPr>
          <w:b/>
          <w:bCs/>
        </w:rPr>
        <w:t xml:space="preserve">Rongorongo captured the</w:t>
      </w:r>
      <w:r>
        <w:rPr>
          <w:b/>
          <w:bCs/>
        </w:rPr>
        <w:t xml:space="preserve"> </w:t>
      </w:r>
      <w:r>
        <w:rPr>
          <w:b/>
          <w:bCs/>
          <w:i/>
          <w:iCs/>
        </w:rPr>
        <w:t xml:space="preserve">style</w:t>
      </w:r>
      <w:r>
        <w:rPr>
          <w:b/>
          <w:bCs/>
        </w:rPr>
        <w:t xml:space="preserve"> </w:t>
      </w:r>
      <w:r>
        <w:rPr>
          <w:b/>
          <w:bCs/>
        </w:rPr>
        <w:t xml:space="preserve">of Polynesian oral texts on wood</w:t>
      </w:r>
      <w:r>
        <w:t xml:space="preserve">, not a new literary style. As one study put it, the script</w:t>
      </w:r>
      <w:r>
        <w:t xml:space="preserve"> </w:t>
      </w:r>
      <w:r>
        <w:rPr>
          <w:i/>
          <w:iCs/>
        </w:rPr>
        <w:t xml:space="preserve">“mirrors how Polynesian oral literature is structured (with repeated formulaic phrases, names of ancestors, etc., rather than explicit syntax)”</w:t>
      </w:r>
      <w:hyperlink r:id="rId73">
        <w:r>
          <w:rPr>
            <w:rStyle w:val="Hyperlink"/>
          </w:rPr>
          <w:t xml:space="preserve">[52]</w:t>
        </w:r>
      </w:hyperlink>
      <w:r>
        <w:t xml:space="preserve">. This convergence of evidence strengthens the case that</w:t>
      </w:r>
      <w:r>
        <w:t xml:space="preserve"> </w:t>
      </w:r>
      <w:r>
        <w:rPr>
          <w:b/>
          <w:bCs/>
        </w:rPr>
        <w:t xml:space="preserve">performance context is key</w:t>
      </w:r>
      <w:r>
        <w:t xml:space="preserve">: one must imagine these glyph sequences being sung or chanted in ritual, not read silently like a letter.</w:t>
      </w:r>
    </w:p>
    <w:p>
      <w:pPr>
        <w:numPr>
          <w:ilvl w:val="0"/>
          <w:numId w:val="1003"/>
        </w:numPr>
      </w:pPr>
      <w:r>
        <w:rPr>
          <w:b/>
          <w:bCs/>
        </w:rPr>
        <w:t xml:space="preserve">Role of the</w:t>
      </w:r>
      <w:r>
        <w:rPr>
          <w:b/>
          <w:bCs/>
        </w:rPr>
        <w:t xml:space="preserve"> </w:t>
      </w:r>
      <w:r>
        <w:rPr>
          <w:b/>
          <w:bCs/>
          <w:i/>
          <w:iCs/>
        </w:rPr>
        <w:t xml:space="preserve">Tangata Rongorongo</w:t>
      </w:r>
      <w:r>
        <w:rPr>
          <w:b/>
          <w:bCs/>
        </w:rPr>
        <w:t xml:space="preserve"> </w:t>
      </w:r>
      <w:r>
        <w:rPr>
          <w:b/>
          <w:bCs/>
        </w:rPr>
        <w:t xml:space="preserve">(Reciter):</w:t>
      </w:r>
      <w:r>
        <w:t xml:space="preserve"> </w:t>
      </w:r>
      <w:r>
        <w:t xml:space="preserve">In the cultural context of 19th-century Rapa Nui, it’s known that only a select few individuals could “read” the tablets – these were likely trained chanters who memorized vast texts. The decipherers have embraced this concept: they propose that each tablet was essentially a</w:t>
      </w:r>
      <w:r>
        <w:t xml:space="preserve"> </w:t>
      </w:r>
      <w:r>
        <w:rPr>
          <w:b/>
          <w:bCs/>
        </w:rPr>
        <w:t xml:space="preserve">personal script for a specialist</w:t>
      </w:r>
      <w:r>
        <w:t xml:space="preserve">, who would perform the content on ceremonial occasions</w:t>
      </w:r>
      <w:hyperlink r:id="rId74">
        <w:r>
          <w:rPr>
            <w:rStyle w:val="Hyperlink"/>
          </w:rPr>
          <w:t xml:space="preserve">[53]</w:t>
        </w:r>
      </w:hyperlink>
      <w:hyperlink r:id="rId75">
        <w:r>
          <w:rPr>
            <w:rStyle w:val="Hyperlink"/>
          </w:rPr>
          <w:t xml:space="preserve">[54]</w:t>
        </w:r>
      </w:hyperlink>
      <w:r>
        <w:t xml:space="preserve">. The frequent use of</w:t>
      </w:r>
      <w:r>
        <w:t xml:space="preserve"> </w:t>
      </w:r>
      <w:r>
        <w:rPr>
          <w:b/>
          <w:bCs/>
        </w:rPr>
        <w:t xml:space="preserve">mnemonic symbols and puns</w:t>
      </w:r>
      <w:r>
        <w:t xml:space="preserve"> </w:t>
      </w:r>
      <w:r>
        <w:t xml:space="preserve">(like the fish = victim glyph) is typical of how oral lore is encoded for memory aids</w:t>
      </w:r>
      <w:hyperlink r:id="rId65">
        <w:r>
          <w:rPr>
            <w:rStyle w:val="Hyperlink"/>
          </w:rPr>
          <w:t xml:space="preserve">[44]</w:t>
        </w:r>
      </w:hyperlink>
      <w:hyperlink r:id="rId70">
        <w:r>
          <w:rPr>
            <w:rStyle w:val="Hyperlink"/>
          </w:rPr>
          <w:t xml:space="preserve">[49]</w:t>
        </w:r>
      </w:hyperlink>
      <w:r>
        <w:t xml:space="preserve">. It suggests the rongorongo expert would see a glyph and recall not only its direct meaning but a network of associated ideas, allowing them to reconstruct the story in full. Modern experiments in the project have attempted to</w:t>
      </w:r>
      <w:r>
        <w:t xml:space="preserve"> </w:t>
      </w:r>
      <w:r>
        <w:rPr>
          <w:i/>
          <w:iCs/>
        </w:rPr>
        <w:t xml:space="preserve">“gloss”</w:t>
      </w:r>
      <w:r>
        <w:t xml:space="preserve"> </w:t>
      </w:r>
      <w:r>
        <w:t xml:space="preserve">entire lines with likely meanings, and they read like librettos or chant scripts – skeletal texts that become coherent only when fleshed out with oral tradition</w:t>
      </w:r>
      <w:hyperlink r:id="rId76">
        <w:r>
          <w:rPr>
            <w:rStyle w:val="Hyperlink"/>
          </w:rPr>
          <w:t xml:space="preserve">[55]</w:t>
        </w:r>
      </w:hyperlink>
      <w:r>
        <w:t xml:space="preserve">. This concept fundamentally guided how researchers approached decipherment: instead of expecting verbatim sentences, they looked for</w:t>
      </w:r>
      <w:r>
        <w:t xml:space="preserve"> </w:t>
      </w:r>
      <w:r>
        <w:rPr>
          <w:b/>
          <w:bCs/>
        </w:rPr>
        <w:t xml:space="preserve">patterns consistent with ritual recitation</w:t>
      </w:r>
      <w:r>
        <w:t xml:space="preserve">. The success of that approach (in explaining the script’s peculiar features) is a strong validation of the performance hypothesis.</w:t>
      </w:r>
    </w:p>
    <w:p>
      <w:pPr>
        <w:numPr>
          <w:ilvl w:val="0"/>
          <w:numId w:val="1003"/>
        </w:numPr>
      </w:pPr>
      <w:r>
        <w:rPr>
          <w:b/>
          <w:bCs/>
        </w:rPr>
        <w:t xml:space="preserve">Chant Notation Hypotheses:</w:t>
      </w:r>
      <w:r>
        <w:t xml:space="preserve"> </w:t>
      </w:r>
      <w:r>
        <w:t xml:space="preserve">There is ongoing exploration into whether certain glyphs might encode</w:t>
      </w:r>
      <w:r>
        <w:t xml:space="preserve"> </w:t>
      </w:r>
      <w:r>
        <w:rPr>
          <w:b/>
          <w:bCs/>
        </w:rPr>
        <w:t xml:space="preserve">musical or rhythmic elements</w:t>
      </w:r>
      <w:r>
        <w:t xml:space="preserve"> </w:t>
      </w:r>
      <w:r>
        <w:t xml:space="preserve">of the chants, beyond just semantic content. For example, some have wondered if glyphs that repeat in a pattern (like three birds in a row) might signal a particular intonation or a drawn-out syllable, analogous to musical notation. While no firm evidence of explicit musical notation has been found (Rongorongo seems semantic rather than musical in its symbols), the clear marking of verse breaks and the presence of refrains serve a similar purpose of guiding performance. The tablets may thus be seen as a</w:t>
      </w:r>
      <w:r>
        <w:t xml:space="preserve"> </w:t>
      </w:r>
      <w:r>
        <w:rPr>
          <w:i/>
          <w:iCs/>
        </w:rPr>
        <w:t xml:space="preserve">score</w:t>
      </w:r>
      <w:r>
        <w:t xml:space="preserve"> </w:t>
      </w:r>
      <w:r>
        <w:t xml:space="preserve">of a sort – not in musical notes, but in structured units of content that correlate with spoken (or sung) lines. If future analysis finds a glyph that consistently appears at the start of chants (perhaps an</w:t>
      </w:r>
      <w:r>
        <w:t xml:space="preserve"> </w:t>
      </w:r>
      <w:r>
        <w:rPr>
          <w:b/>
          <w:bCs/>
        </w:rPr>
        <w:t xml:space="preserve">invocatory glyph</w:t>
      </w:r>
      <w:r>
        <w:t xml:space="preserve"> </w:t>
      </w:r>
      <w:r>
        <w:t xml:space="preserve">like a call to attention), that could be interpreted as a performance cue. Right now, though, the consensus is that</w:t>
      </w:r>
      <w:r>
        <w:t xml:space="preserve"> </w:t>
      </w:r>
      <w:r>
        <w:rPr>
          <w:b/>
          <w:bCs/>
        </w:rPr>
        <w:t xml:space="preserve">Rongorongo recorded lyrics, not melody</w:t>
      </w:r>
      <w:r>
        <w:t xml:space="preserve"> </w:t>
      </w:r>
      <w:r>
        <w:t xml:space="preserve">– any melody or rhythm was part of the oral tradition, with the tablets ensuring the words and order were preserved.</w:t>
      </w:r>
    </w:p>
    <w:p>
      <w:pPr>
        <w:pStyle w:val="FirstParagraph"/>
      </w:pPr>
      <w:r>
        <w:t xml:space="preserve">In summary, the decipherment work has transformed our view of Rongorongo from a static text to a</w:t>
      </w:r>
      <w:r>
        <w:t xml:space="preserve"> </w:t>
      </w:r>
      <w:r>
        <w:rPr>
          <w:b/>
          <w:bCs/>
        </w:rPr>
        <w:t xml:space="preserve">dynamic script deeply embedded in oral performance</w:t>
      </w:r>
      <w:r>
        <w:t xml:space="preserve">. The tablets are now understood as transcriptions of chants and lists meant to be voiced. This perspective not only makes sense of the script’s form (repetitive, lacking grammar, heavy on mnemonic devices)</w:t>
      </w:r>
      <w:hyperlink r:id="rId70">
        <w:r>
          <w:rPr>
            <w:rStyle w:val="Hyperlink"/>
          </w:rPr>
          <w:t xml:space="preserve">[49]</w:t>
        </w:r>
      </w:hyperlink>
      <w:hyperlink r:id="rId66">
        <w:r>
          <w:rPr>
            <w:rStyle w:val="Hyperlink"/>
          </w:rPr>
          <w:t xml:space="preserve">[45]</w:t>
        </w:r>
      </w:hyperlink>
      <w:r>
        <w:t xml:space="preserve">, but it also resonates with the known cultural context of Rapa Nui’s oral society. The Rongorongo inscriptions, in effect,</w:t>
      </w:r>
      <w:r>
        <w:t xml:space="preserve"> </w:t>
      </w:r>
      <w:r>
        <w:rPr>
          <w:b/>
          <w:bCs/>
        </w:rPr>
        <w:t xml:space="preserve">sing</w:t>
      </w:r>
      <w:r>
        <w:t xml:space="preserve"> </w:t>
      </w:r>
      <w:r>
        <w:t xml:space="preserve">– and it is only by reconstructing their chants that we truly give voice to the texts carved in wood.</w:t>
      </w:r>
    </w:p>
    <w:bookmarkEnd w:id="77"/>
    <w:bookmarkStart w:id="95" w:name="X770c8aaacaeb243256a5940149a2897d8ce31f4"/>
    <w:p>
      <w:pPr>
        <w:pStyle w:val="Heading1"/>
      </w:pPr>
      <w:r>
        <w:t xml:space="preserve">Mythological and Historical Narrative Reconstructions</w:t>
      </w:r>
    </w:p>
    <w:p>
      <w:pPr>
        <w:pStyle w:val="FirstParagraph"/>
      </w:pPr>
      <w:r>
        <w:t xml:space="preserve">With ~85% of glyphs now deciphered to some degree, scholars can begin to sketch the</w:t>
      </w:r>
      <w:r>
        <w:t xml:space="preserve"> </w:t>
      </w:r>
      <w:r>
        <w:rPr>
          <w:b/>
          <w:bCs/>
        </w:rPr>
        <w:t xml:space="preserve">narratives and knowledge recorded</w:t>
      </w:r>
      <w:r>
        <w:t xml:space="preserve"> </w:t>
      </w:r>
      <w:r>
        <w:t xml:space="preserve">on the Rongorongo tablets</w:t>
      </w:r>
      <w:hyperlink r:id="rId78">
        <w:r>
          <w:rPr>
            <w:rStyle w:val="Hyperlink"/>
          </w:rPr>
          <w:t xml:space="preserve">[56]</w:t>
        </w:r>
      </w:hyperlink>
      <w:r>
        <w:t xml:space="preserve">. The emerging picture is that Rongorongo served as a repository of Rapa Nui’s most important cultural knowledge:</w:t>
      </w:r>
      <w:r>
        <w:t xml:space="preserve"> </w:t>
      </w:r>
      <w:r>
        <w:rPr>
          <w:b/>
          <w:bCs/>
        </w:rPr>
        <w:t xml:space="preserve">creation myths, genealogies of gods and kings, calendrical lore, migrations and historical events, and ritual observances</w:t>
      </w:r>
      <w:hyperlink r:id="rId78">
        <w:r>
          <w:rPr>
            <w:rStyle w:val="Hyperlink"/>
          </w:rPr>
          <w:t xml:space="preserve">[56]</w:t>
        </w:r>
      </w:hyperlink>
      <w:r>
        <w:t xml:space="preserve">. In broad strokes, we can outline several categories of content and even tie certain tablets to specific legends or historical narratives:</w:t>
      </w:r>
    </w:p>
    <w:p>
      <w:pPr>
        <w:pStyle w:val="BodyText"/>
      </w:pPr>
      <w:r>
        <w:rPr>
          <w:b/>
          <w:bCs/>
        </w:rPr>
        <w:t xml:space="preserve">Cosmogonies and Divine Genealogies:</w:t>
      </w:r>
      <w:r>
        <w:t xml:space="preserve"> </w:t>
      </w:r>
      <w:r>
        <w:t xml:space="preserve">The</w:t>
      </w:r>
      <w:r>
        <w:t xml:space="preserve"> </w:t>
      </w:r>
      <w:r>
        <w:rPr>
          <w:i/>
          <w:iCs/>
        </w:rPr>
        <w:t xml:space="preserve">Great Santiago Staff</w:t>
      </w:r>
      <w:r>
        <w:t xml:space="preserve"> </w:t>
      </w:r>
      <w:r>
        <w:t xml:space="preserve">(Tablet D) is a prime example of a text with</w:t>
      </w:r>
      <w:r>
        <w:t xml:space="preserve"> </w:t>
      </w:r>
      <w:r>
        <w:rPr>
          <w:b/>
          <w:bCs/>
        </w:rPr>
        <w:t xml:space="preserve">mythological content</w:t>
      </w:r>
      <w:r>
        <w:t xml:space="preserve">. Many researchers (starting with S. Fischer) interpret the Staff as a</w:t>
      </w:r>
      <w:r>
        <w:t xml:space="preserve"> </w:t>
      </w:r>
      <w:r>
        <w:rPr>
          <w:b/>
          <w:bCs/>
        </w:rPr>
        <w:t xml:space="preserve">cosmogonic creation chant</w:t>
      </w:r>
      <w:r>
        <w:t xml:space="preserve">, essentially a Polynesian genesis recorded in glyphs</w:t>
      </w:r>
      <w:hyperlink r:id="rId79">
        <w:r>
          <w:rPr>
            <w:rStyle w:val="Hyperlink"/>
          </w:rPr>
          <w:t xml:space="preserve">[57]</w:t>
        </w:r>
      </w:hyperlink>
      <w:hyperlink r:id="rId60">
        <w:r>
          <w:rPr>
            <w:rStyle w:val="Hyperlink"/>
          </w:rPr>
          <w:t xml:space="preserve">[40]</w:t>
        </w:r>
      </w:hyperlink>
      <w:r>
        <w:t xml:space="preserve">. Each verse on the Staff appears to describe a primordial being or element producing the next – for instance,</w:t>
      </w:r>
      <w:r>
        <w:t xml:space="preserve"> </w:t>
      </w:r>
      <w:r>
        <w:rPr>
          <w:i/>
          <w:iCs/>
        </w:rPr>
        <w:t xml:space="preserve">“X 76 Y”</w:t>
      </w:r>
      <w:r>
        <w:t xml:space="preserve"> </w:t>
      </w:r>
      <w:r>
        <w:t xml:space="preserve">meaning</w:t>
      </w:r>
      <w:r>
        <w:t xml:space="preserve"> </w:t>
      </w:r>
      <w:r>
        <w:rPr>
          <w:i/>
          <w:iCs/>
        </w:rPr>
        <w:t xml:space="preserve">“X begat Y”</w:t>
      </w:r>
      <w:r>
        <w:t xml:space="preserve"> </w:t>
      </w:r>
      <w:r>
        <w:t xml:space="preserve">over and over</w:t>
      </w:r>
      <w:hyperlink r:id="rId59">
        <w:r>
          <w:rPr>
            <w:rStyle w:val="Hyperlink"/>
          </w:rPr>
          <w:t xml:space="preserve">[39]</w:t>
        </w:r>
      </w:hyperlink>
      <w:r>
        <w:t xml:space="preserve">. This is strikingly similar to known Polynesian creation sequences such as the</w:t>
      </w:r>
      <w:r>
        <w:t xml:space="preserve"> </w:t>
      </w:r>
      <w:r>
        <w:rPr>
          <w:i/>
          <w:iCs/>
        </w:rPr>
        <w:t xml:space="preserve">Atua Matariri</w:t>
      </w:r>
      <w:r>
        <w:t xml:space="preserve"> </w:t>
      </w:r>
      <w:r>
        <w:t xml:space="preserve">chant</w:t>
      </w:r>
      <w:hyperlink r:id="rId80">
        <w:r>
          <w:rPr>
            <w:rStyle w:val="Hyperlink"/>
          </w:rPr>
          <w:t xml:space="preserve">[58]</w:t>
        </w:r>
      </w:hyperlink>
      <w:r>
        <w:t xml:space="preserve">, where each stanza a god or ancestral pair gives rise to something new. Indeed, specific glyph combinations on the Staff map to Rapa Nui mythic figures: one section shows a</w:t>
      </w:r>
      <w:r>
        <w:t xml:space="preserve"> </w:t>
      </w:r>
      <w:r>
        <w:rPr>
          <w:b/>
          <w:bCs/>
        </w:rPr>
        <w:t xml:space="preserve">bird glyph followed by glyph 76 then a fish glyph</w:t>
      </w:r>
      <w:r>
        <w:t xml:space="preserve">, which has been read as a symbolic portrayal of</w:t>
      </w:r>
      <w:r>
        <w:t xml:space="preserve"> </w:t>
      </w:r>
      <w:r>
        <w:rPr>
          <w:i/>
          <w:iCs/>
        </w:rPr>
        <w:t xml:space="preserve">Sky-Father and Earth-Mother</w:t>
      </w:r>
      <w:r>
        <w:t xml:space="preserve"> </w:t>
      </w:r>
      <w:r>
        <w:t xml:space="preserve">(or alternately the union of a “bird-man” spirit and a “fish-woman” spirit) creating offspring</w:t>
      </w:r>
      <w:hyperlink r:id="rId72">
        <w:r>
          <w:rPr>
            <w:rStyle w:val="Hyperlink"/>
          </w:rPr>
          <w:t xml:space="preserve">[51]</w:t>
        </w:r>
      </w:hyperlink>
      <w:r>
        <w:t xml:space="preserve">. In Polynesian lore, sky/earth unions or bird/sea creature pairs often signify the marriage of sky and sea giving birth to land or life. The Staff likely encodes such</w:t>
      </w:r>
      <w:r>
        <w:t xml:space="preserve"> </w:t>
      </w:r>
      <w:r>
        <w:rPr>
          <w:b/>
          <w:bCs/>
        </w:rPr>
        <w:t xml:space="preserve">metaphorical episodes</w:t>
      </w:r>
      <w:r>
        <w:t xml:space="preserve"> </w:t>
      </w:r>
      <w:r>
        <w:t xml:space="preserve">of creation. If Fischer’s reading holds, it enumerates a sequence of divine couples or acts of creation, akin to genealogies of gods. However, as noted earlier, others see the same structure as possibly a</w:t>
      </w:r>
      <w:r>
        <w:t xml:space="preserve"> </w:t>
      </w:r>
      <w:r>
        <w:rPr>
          <w:b/>
          <w:bCs/>
        </w:rPr>
        <w:t xml:space="preserve">royal genealogy</w:t>
      </w:r>
      <w:r>
        <w:t xml:space="preserve"> </w:t>
      </w:r>
      <w:r>
        <w:t xml:space="preserve">(mythical kings rather than gods)</w:t>
      </w:r>
      <w:hyperlink r:id="rId81">
        <w:r>
          <w:rPr>
            <w:rStyle w:val="Hyperlink"/>
          </w:rPr>
          <w:t xml:space="preserve">[59]</w:t>
        </w:r>
      </w:hyperlink>
      <w:r>
        <w:t xml:space="preserve">. Either way, it’s clear the content is</w:t>
      </w:r>
      <w:r>
        <w:t xml:space="preserve"> </w:t>
      </w:r>
      <w:r>
        <w:rPr>
          <w:i/>
          <w:iCs/>
        </w:rPr>
        <w:t xml:space="preserve">mythic or legendary lineage</w:t>
      </w:r>
      <w:r>
        <w:t xml:space="preserve"> </w:t>
      </w:r>
      <w:r>
        <w:t xml:space="preserve">on a grand scale. The presence of words like</w:t>
      </w:r>
      <w:r>
        <w:t xml:space="preserve"> </w:t>
      </w:r>
      <w:r>
        <w:rPr>
          <w:i/>
          <w:iCs/>
        </w:rPr>
        <w:t xml:space="preserve">ariki</w:t>
      </w:r>
      <w:r>
        <w:t xml:space="preserve"> </w:t>
      </w:r>
      <w:r>
        <w:t xml:space="preserve">(chief) titles</w:t>
      </w:r>
      <w:hyperlink r:id="rId43">
        <w:r>
          <w:rPr>
            <w:rStyle w:val="Hyperlink"/>
          </w:rPr>
          <w:t xml:space="preserve">[24]</w:t>
        </w:r>
      </w:hyperlink>
      <w:r>
        <w:t xml:space="preserve"> </w:t>
      </w:r>
      <w:r>
        <w:t xml:space="preserve">alongside generative markers suggests an intertwining of myth and monarchy – not unusual in Polynesia, where chiefs often trace lineage to gods. In summary, the Staff likely</w:t>
      </w:r>
      <w:r>
        <w:t xml:space="preserve"> </w:t>
      </w:r>
      <w:r>
        <w:rPr>
          <w:b/>
          <w:bCs/>
        </w:rPr>
        <w:t xml:space="preserve">recounts a creation narrative and/or the descent of kings from divine ancestors</w:t>
      </w:r>
      <w:r>
        <w:t xml:space="preserve">, essentially writing Rapa Nui’s</w:t>
      </w:r>
      <w:r>
        <w:t xml:space="preserve"> </w:t>
      </w:r>
      <w:r>
        <w:rPr>
          <w:b/>
          <w:bCs/>
        </w:rPr>
        <w:t xml:space="preserve">“Book of Genesis”</w:t>
      </w:r>
      <w:r>
        <w:t xml:space="preserve"> </w:t>
      </w:r>
      <w:r>
        <w:t xml:space="preserve">in glyph form. It has yet to be decided by scholars if specific known myth names (like Sky Father</w:t>
      </w:r>
      <w:r>
        <w:t xml:space="preserve"> </w:t>
      </w:r>
      <w:r>
        <w:rPr>
          <w:i/>
          <w:iCs/>
        </w:rPr>
        <w:t xml:space="preserve">Rangi</w:t>
      </w:r>
      <w:r>
        <w:t xml:space="preserve"> </w:t>
      </w:r>
      <w:r>
        <w:t xml:space="preserve">or Earth Mother</w:t>
      </w:r>
      <w:r>
        <w:t xml:space="preserve"> </w:t>
      </w:r>
      <w:r>
        <w:rPr>
          <w:i/>
          <w:iCs/>
        </w:rPr>
        <w:t xml:space="preserve">Papa</w:t>
      </w:r>
      <w:r>
        <w:t xml:space="preserve"> </w:t>
      </w:r>
      <w:r>
        <w:t xml:space="preserve">equivalents in Rapa Nui) can be pinned to particular glyphs – ongoing comparisons with oral traditions are attempting to firm that up</w:t>
      </w:r>
      <w:hyperlink r:id="rId82">
        <w:r>
          <w:rPr>
            <w:rStyle w:val="Hyperlink"/>
          </w:rPr>
          <w:t xml:space="preserve">[60]</w:t>
        </w:r>
      </w:hyperlink>
      <w:r>
        <w:t xml:space="preserve">.</w:t>
      </w:r>
    </w:p>
    <w:p>
      <w:pPr>
        <w:pStyle w:val="BodyText"/>
      </w:pPr>
      <w:r>
        <w:rPr>
          <w:b/>
          <w:bCs/>
        </w:rPr>
        <w:t xml:space="preserve">Genealogies and King Lists:</w:t>
      </w:r>
      <w:r>
        <w:t xml:space="preserve"> </w:t>
      </w:r>
      <w:r>
        <w:t xml:space="preserve">Several tablets appear to preserve</w:t>
      </w:r>
      <w:r>
        <w:t xml:space="preserve"> </w:t>
      </w:r>
      <w:r>
        <w:rPr>
          <w:b/>
          <w:bCs/>
        </w:rPr>
        <w:t xml:space="preserve">human genealogies</w:t>
      </w:r>
      <w:r>
        <w:t xml:space="preserve">, some possibly corresponding to the historical king lists of Rapa Nui. Tablet G (Small Santiago) and its abridged version Tablet K are genealogical in nature</w:t>
      </w:r>
      <w:hyperlink r:id="rId63">
        <w:r>
          <w:rPr>
            <w:rStyle w:val="Hyperlink"/>
          </w:rPr>
          <w:t xml:space="preserve">[43]</w:t>
        </w:r>
      </w:hyperlink>
      <w:r>
        <w:t xml:space="preserve"> </w:t>
      </w:r>
      <w:r>
        <w:t xml:space="preserve">– they show long chains of personal name glyphs linked by glyph 76 (“begat”). The structure is linear and could represent a</w:t>
      </w:r>
      <w:r>
        <w:t xml:space="preserve"> </w:t>
      </w:r>
      <w:r>
        <w:rPr>
          <w:b/>
          <w:bCs/>
        </w:rPr>
        <w:t xml:space="preserve">king list or clan lineage</w:t>
      </w:r>
      <w:r>
        <w:t xml:space="preserve"> </w:t>
      </w:r>
      <w:r>
        <w:t xml:space="preserve">from the island’s legendary founding ancestor down through generations. Researchers have tried to match sequences from these tablets to known Rapa Nui king names (like</w:t>
      </w:r>
      <w:r>
        <w:t xml:space="preserve"> </w:t>
      </w:r>
      <w:r>
        <w:rPr>
          <w:i/>
          <w:iCs/>
        </w:rPr>
        <w:t xml:space="preserve">Hotu Matu‘a</w:t>
      </w:r>
      <w:r>
        <w:t xml:space="preserve">, the legendary first king, or his descendants) but definitive matches remain tentative</w:t>
      </w:r>
      <w:hyperlink r:id="rId82">
        <w:r>
          <w:rPr>
            <w:rStyle w:val="Hyperlink"/>
          </w:rPr>
          <w:t xml:space="preserve">[60]</w:t>
        </w:r>
      </w:hyperlink>
      <w:r>
        <w:t xml:space="preserve">. One complicating factor is that</w:t>
      </w:r>
      <w:r>
        <w:t xml:space="preserve"> </w:t>
      </w:r>
      <w:r>
        <w:rPr>
          <w:b/>
          <w:bCs/>
        </w:rPr>
        <w:t xml:space="preserve">Rapa Nui personal names from the 1800s may not directly appear</w:t>
      </w:r>
      <w:r>
        <w:t xml:space="preserve"> </w:t>
      </w:r>
      <w:r>
        <w:t xml:space="preserve">– the glyphs likely encode archaic or semi-mythical names that don’t have obvious modern equivalents. However, a clue comes from Tablet B (Aruku Kurenga): part of its text appears to describe the</w:t>
      </w:r>
      <w:r>
        <w:t xml:space="preserve"> </w:t>
      </w:r>
      <w:r>
        <w:rPr>
          <w:b/>
          <w:bCs/>
        </w:rPr>
        <w:t xml:space="preserve">“young scouts”</w:t>
      </w:r>
      <w:r>
        <w:t xml:space="preserve"> </w:t>
      </w:r>
      <w:r>
        <w:t xml:space="preserve">sent ahead in the migration legend (see below), and it begins with a glyph that Metoro (an informant in the 19th century) read as</w:t>
      </w:r>
      <w:r>
        <w:t xml:space="preserve"> </w:t>
      </w:r>
      <w:r>
        <w:rPr>
          <w:i/>
          <w:iCs/>
        </w:rPr>
        <w:t xml:space="preserve">poki</w:t>
      </w:r>
      <w:r>
        <w:t xml:space="preserve"> </w:t>
      </w:r>
      <w:r>
        <w:t xml:space="preserve">(“child”)</w:t>
      </w:r>
      <w:hyperlink r:id="rId83">
        <w:r>
          <w:rPr>
            <w:rStyle w:val="Hyperlink"/>
          </w:rPr>
          <w:t xml:space="preserve">[61]</w:t>
        </w:r>
      </w:hyperlink>
      <w:r>
        <w:t xml:space="preserve">. This glyph 7 (“child/descendant”) starts a sequence, possibly listing the</w:t>
      </w:r>
      <w:r>
        <w:t xml:space="preserve"> </w:t>
      </w:r>
      <w:r>
        <w:rPr>
          <w:b/>
          <w:bCs/>
        </w:rPr>
        <w:t xml:space="preserve">names of the seven youth explorers</w:t>
      </w:r>
      <w:r>
        <w:t xml:space="preserve"> </w:t>
      </w:r>
      <w:r>
        <w:t xml:space="preserve">in the island’s foundation story. If that’s correct, then following that sequence might reveal those legendary names (which in oral tradition were Tuu-ko-ihu and his companions). It’s tantalizing that the lexicon notes glyph 7’s appearance “starts sequence of young scouts on Tablet B”</w:t>
      </w:r>
      <w:hyperlink r:id="rId84">
        <w:r>
          <w:rPr>
            <w:rStyle w:val="Hyperlink"/>
          </w:rPr>
          <w:t xml:space="preserve">[62]</w:t>
        </w:r>
      </w:hyperlink>
      <w:r>
        <w:t xml:space="preserve"> </w:t>
      </w:r>
      <w:r>
        <w:t xml:space="preserve">– an indication that researchers indeed see the migration tale in progress. In general,</w:t>
      </w:r>
      <w:r>
        <w:t xml:space="preserve"> </w:t>
      </w:r>
      <w:r>
        <w:rPr>
          <w:b/>
          <w:bCs/>
        </w:rPr>
        <w:t xml:space="preserve">genealogical tablets likely served to legitimize ruling clans</w:t>
      </w:r>
      <w:r>
        <w:t xml:space="preserve"> </w:t>
      </w:r>
      <w:r>
        <w:t xml:space="preserve">by showing their ancestry. They are heavy on terms like</w:t>
      </w:r>
      <w:r>
        <w:t xml:space="preserve"> </w:t>
      </w:r>
      <w:r>
        <w:rPr>
          <w:i/>
          <w:iCs/>
        </w:rPr>
        <w:t xml:space="preserve">ariki</w:t>
      </w:r>
      <w:r>
        <w:t xml:space="preserve"> </w:t>
      </w:r>
      <w:r>
        <w:t xml:space="preserve">(“chief”)</w:t>
      </w:r>
      <w:hyperlink r:id="rId43">
        <w:r>
          <w:rPr>
            <w:rStyle w:val="Hyperlink"/>
          </w:rPr>
          <w:t xml:space="preserve">[24]</w:t>
        </w:r>
      </w:hyperlink>
      <w:r>
        <w:t xml:space="preserve"> </w:t>
      </w:r>
      <w:r>
        <w:t xml:space="preserve">and</w:t>
      </w:r>
      <w:r>
        <w:t xml:space="preserve"> </w:t>
      </w:r>
      <w:r>
        <w:rPr>
          <w:i/>
          <w:iCs/>
        </w:rPr>
        <w:t xml:space="preserve">tangata</w:t>
      </w:r>
      <w:r>
        <w:t xml:space="preserve"> </w:t>
      </w:r>
      <w:r>
        <w:t xml:space="preserve">(“man/person”), and often end in a special terminal glyph (perhaps indicating the end of the list). These king-list texts would be analogous to the Biblical genealogies or Hawaiian</w:t>
      </w:r>
      <w:r>
        <w:t xml:space="preserve"> </w:t>
      </w:r>
      <w:r>
        <w:rPr>
          <w:i/>
          <w:iCs/>
        </w:rPr>
        <w:t xml:space="preserve">kumulipo</w:t>
      </w:r>
      <w:r>
        <w:t xml:space="preserve">, anchoring the society’s history. While we cannot yet assign every name, the structure and several repeated name glyphs (some names occur more than once, suggesting common ancestors) are clear enough to say</w:t>
      </w:r>
      <w:r>
        <w:t xml:space="preserve"> </w:t>
      </w:r>
      <w:r>
        <w:rPr>
          <w:b/>
          <w:bCs/>
        </w:rPr>
        <w:t xml:space="preserve">Rongorongo recorded actual lineage history</w:t>
      </w:r>
      <w:r>
        <w:t xml:space="preserve">, not just mythical pedigrees. As verification, these lists are being cross-checked with historical data; any alignment (even partial) with known 18th-19th century king lists of Rapa Nui would be a huge corroboration.</w:t>
      </w:r>
    </w:p>
    <w:p>
      <w:pPr>
        <w:pStyle w:val="BodyText"/>
      </w:pPr>
      <w:r>
        <w:rPr>
          <w:b/>
          <w:bCs/>
        </w:rPr>
        <w:t xml:space="preserve">Migration and Voyaging Legends:</w:t>
      </w:r>
      <w:r>
        <w:t xml:space="preserve"> </w:t>
      </w:r>
      <w:r>
        <w:t xml:space="preserve">One of Rapa Nui’s central oral histories is the</w:t>
      </w:r>
      <w:r>
        <w:t xml:space="preserve"> </w:t>
      </w:r>
      <w:r>
        <w:rPr>
          <w:b/>
          <w:bCs/>
        </w:rPr>
        <w:t xml:space="preserve">arrival of the first settlers</w:t>
      </w:r>
      <w:r>
        <w:t xml:space="preserve"> </w:t>
      </w:r>
      <w:r>
        <w:t xml:space="preserve">led by Chief Hotu Matu‘a. The decipherment has provided clues that at least one text – likely Tablet B (Aruku Kurenga, one of the larger tablets) – encodes the</w:t>
      </w:r>
      <w:r>
        <w:t xml:space="preserve"> </w:t>
      </w:r>
      <w:r>
        <w:rPr>
          <w:b/>
          <w:bCs/>
        </w:rPr>
        <w:t xml:space="preserve">voyage and colonization narrative</w:t>
      </w:r>
      <w:r>
        <w:t xml:space="preserve">. The presence of specific glyphs related to navigation and travel supports this:</w:t>
      </w:r>
      <w:r>
        <w:t xml:space="preserve"> </w:t>
      </w:r>
      <w:r>
        <w:rPr>
          <w:b/>
          <w:bCs/>
        </w:rPr>
        <w:t xml:space="preserve">glyph 15</w:t>
      </w:r>
      <w:r>
        <w:t xml:space="preserve">, interpreted as a</w:t>
      </w:r>
      <w:r>
        <w:t xml:space="preserve"> </w:t>
      </w:r>
      <w:r>
        <w:rPr>
          <w:i/>
          <w:iCs/>
        </w:rPr>
        <w:t xml:space="preserve">“canoe” (vaka)</w:t>
      </w:r>
      <w:r>
        <w:t xml:space="preserve">, is noted to appear in contexts that look like voyage accounts</w:t>
      </w:r>
      <w:hyperlink r:id="rId85">
        <w:r>
          <w:rPr>
            <w:rStyle w:val="Hyperlink"/>
          </w:rPr>
          <w:t xml:space="preserve">[63]</w:t>
        </w:r>
      </w:hyperlink>
      <w:r>
        <w:t xml:space="preserve">. The lexicon explicitly says glyph 15 is a boat-shaped sign likely used in “voyage narratives on Aruku Kurenga”</w:t>
      </w:r>
      <w:hyperlink r:id="rId85">
        <w:r>
          <w:rPr>
            <w:rStyle w:val="Hyperlink"/>
          </w:rPr>
          <w:t xml:space="preserve">[63]</w:t>
        </w:r>
      </w:hyperlink>
      <w:r>
        <w:t xml:space="preserve">. This glyph’s shape and meaning were cross-validated by its similarity to canoe petroglyphs on the island and its isolation in sequences (it’s a rare sign, suggesting a special topic like a journey). Furthermore, as mentioned, the</w:t>
      </w:r>
      <w:r>
        <w:t xml:space="preserve"> </w:t>
      </w:r>
      <w:r>
        <w:rPr>
          <w:b/>
          <w:bCs/>
        </w:rPr>
        <w:t xml:space="preserve">sequence of “child” glyphs on Tablet B</w:t>
      </w:r>
      <w:r>
        <w:t xml:space="preserve"> </w:t>
      </w:r>
      <w:r>
        <w:t xml:space="preserve">hints at the story of Hotu Matu‘a sending out scouts to find new land</w:t>
      </w:r>
      <w:hyperlink r:id="rId83">
        <w:r>
          <w:rPr>
            <w:rStyle w:val="Hyperlink"/>
          </w:rPr>
          <w:t xml:space="preserve">[61]</w:t>
        </w:r>
      </w:hyperlink>
      <w:r>
        <w:t xml:space="preserve">. In oral tradition, seven youths were sent out and discovered Rapa Nui. Tablet B’s content could be narrating this: perhaps listing the scouts (each introduced by the child glyph) and describing what they found. There are also glyphs that might denote</w:t>
      </w:r>
      <w:r>
        <w:t xml:space="preserve"> </w:t>
      </w:r>
      <w:r>
        <w:rPr>
          <w:i/>
          <w:iCs/>
        </w:rPr>
        <w:t xml:space="preserve">land</w:t>
      </w:r>
      <w:r>
        <w:t xml:space="preserve"> </w:t>
      </w:r>
      <w:r>
        <w:t xml:space="preserve">or</w:t>
      </w:r>
      <w:r>
        <w:t xml:space="preserve"> </w:t>
      </w:r>
      <w:r>
        <w:rPr>
          <w:i/>
          <w:iCs/>
        </w:rPr>
        <w:t xml:space="preserve">arrival</w:t>
      </w:r>
      <w:r>
        <w:t xml:space="preserve"> </w:t>
      </w:r>
      <w:r>
        <w:t xml:space="preserve">– for example, a plant sprout glyph (possibly</w:t>
      </w:r>
      <w:r>
        <w:t xml:space="preserve"> </w:t>
      </w:r>
      <w:r>
        <w:rPr>
          <w:i/>
          <w:iCs/>
        </w:rPr>
        <w:t xml:space="preserve">hotu</w:t>
      </w:r>
      <w:r>
        <w:t xml:space="preserve">, meaning “to sprout” but also punning the name Hotu Matu‘a) appears near a section that could correlate with landfall</w:t>
      </w:r>
      <w:hyperlink r:id="rId86">
        <w:r>
          <w:rPr>
            <w:rStyle w:val="Hyperlink"/>
          </w:rPr>
          <w:t xml:space="preserve">[64]</w:t>
        </w:r>
      </w:hyperlink>
      <w:r>
        <w:t xml:space="preserve">. If so, we are essentially reading the</w:t>
      </w:r>
      <w:r>
        <w:t xml:space="preserve"> </w:t>
      </w:r>
      <w:r>
        <w:rPr>
          <w:b/>
          <w:bCs/>
        </w:rPr>
        <w:t xml:space="preserve">Rapa Nui migration epic</w:t>
      </w:r>
      <w:r>
        <w:t xml:space="preserve"> </w:t>
      </w:r>
      <w:r>
        <w:t xml:space="preserve">in these lines. Another tablet (Barthel’s text M) might contain a</w:t>
      </w:r>
      <w:r>
        <w:t xml:space="preserve"> </w:t>
      </w:r>
      <w:r>
        <w:rPr>
          <w:b/>
          <w:bCs/>
        </w:rPr>
        <w:t xml:space="preserve">voyage saga</w:t>
      </w:r>
      <w:r>
        <w:t xml:space="preserve"> </w:t>
      </w:r>
      <w:r>
        <w:t xml:space="preserve">as well, given it has repeated canoe and star glyphs (stars for navigation). Although full translation is pending, scholars have managed to identify narrative segments like “voyage departs – voyage arrives” by patterns and context. These finds demonstrate that</w:t>
      </w:r>
      <w:r>
        <w:t xml:space="preserve"> </w:t>
      </w:r>
      <w:r>
        <w:rPr>
          <w:b/>
          <w:bCs/>
        </w:rPr>
        <w:t xml:space="preserve">historical memories and legendary journeys were recorded</w:t>
      </w:r>
      <w:r>
        <w:t xml:space="preserve"> </w:t>
      </w:r>
      <w:r>
        <w:t xml:space="preserve">in Rongorongo, not just abstract calendrics or genealogies. They turn the tablets into a kind of logbook of the founding of the culture.</w:t>
      </w:r>
    </w:p>
    <w:p>
      <w:pPr>
        <w:pStyle w:val="BodyText"/>
      </w:pPr>
      <w:r>
        <w:rPr>
          <w:b/>
          <w:bCs/>
        </w:rPr>
        <w:t xml:space="preserve">Lunar Calendars and Time Cycles:</w:t>
      </w:r>
      <w:r>
        <w:t xml:space="preserve"> </w:t>
      </w:r>
      <w:r>
        <w:t xml:space="preserve">As noted earlier, the</w:t>
      </w:r>
      <w:r>
        <w:t xml:space="preserve"> </w:t>
      </w:r>
      <w:r>
        <w:rPr>
          <w:b/>
          <w:bCs/>
        </w:rPr>
        <w:t xml:space="preserve">Mamari tablet’s lunar calendar</w:t>
      </w:r>
      <w:r>
        <w:t xml:space="preserve"> </w:t>
      </w:r>
      <w:r>
        <w:t xml:space="preserve">is the one fully understood portion of Rongorongo pre-breakthrough</w:t>
      </w:r>
      <w:hyperlink r:id="rId54">
        <w:r>
          <w:rPr>
            <w:rStyle w:val="Hyperlink"/>
          </w:rPr>
          <w:t xml:space="preserve">[34]</w:t>
        </w:r>
      </w:hyperlink>
      <w:r>
        <w:t xml:space="preserve">. Integrating that knowledge, decipherers have expanded the calendar interpretation. Mamari’s glyph sequence for the 30 nights of the month is now mapped glyph-by-glyph to Rapa Nui night names (many of which are shared across East Polynesia). For example,</w:t>
      </w:r>
      <w:r>
        <w:t xml:space="preserve"> </w:t>
      </w:r>
      <w:r>
        <w:rPr>
          <w:b/>
          <w:bCs/>
        </w:rPr>
        <w:t xml:space="preserve">glyph 25</w:t>
      </w:r>
      <w:r>
        <w:t xml:space="preserve"> </w:t>
      </w:r>
      <w:r>
        <w:t xml:space="preserve">corresponds to</w:t>
      </w:r>
      <w:r>
        <w:t xml:space="preserve"> </w:t>
      </w:r>
      <w:r>
        <w:rPr>
          <w:i/>
          <w:iCs/>
        </w:rPr>
        <w:t xml:space="preserve">Hiro</w:t>
      </w:r>
      <w:r>
        <w:t xml:space="preserve"> </w:t>
      </w:r>
      <w:r>
        <w:t xml:space="preserve">(often night 1 of the lunar month in Tahitian/Rapa Nui calendars), glyph 35 to</w:t>
      </w:r>
      <w:r>
        <w:t xml:space="preserve"> </w:t>
      </w:r>
      <w:r>
        <w:rPr>
          <w:i/>
          <w:iCs/>
        </w:rPr>
        <w:t xml:space="preserve">Kore</w:t>
      </w:r>
      <w:r>
        <w:t xml:space="preserve"> </w:t>
      </w:r>
      <w:r>
        <w:t xml:space="preserve">(new moon), glyph 152 to</w:t>
      </w:r>
      <w:r>
        <w:t xml:space="preserve"> </w:t>
      </w:r>
      <w:r>
        <w:rPr>
          <w:i/>
          <w:iCs/>
        </w:rPr>
        <w:t xml:space="preserve">Omotohi</w:t>
      </w:r>
      <w:r>
        <w:t xml:space="preserve"> </w:t>
      </w:r>
      <w:r>
        <w:t xml:space="preserve">(full moon)</w:t>
      </w:r>
      <w:hyperlink r:id="rId38">
        <w:r>
          <w:rPr>
            <w:rStyle w:val="Hyperlink"/>
          </w:rPr>
          <w:t xml:space="preserve">[19]</w:t>
        </w:r>
      </w:hyperlink>
      <w:r>
        <w:t xml:space="preserve">, glyph 78 to</w:t>
      </w:r>
      <w:r>
        <w:t xml:space="preserve"> </w:t>
      </w:r>
      <w:r>
        <w:rPr>
          <w:i/>
          <w:iCs/>
        </w:rPr>
        <w:t xml:space="preserve">Maure</w:t>
      </w:r>
      <w:r>
        <w:t xml:space="preserve"> </w:t>
      </w:r>
      <w:r>
        <w:t xml:space="preserve">(a waning moon night)</w:t>
      </w:r>
      <w:hyperlink r:id="rId55">
        <w:r>
          <w:rPr>
            <w:rStyle w:val="Hyperlink"/>
          </w:rPr>
          <w:t xml:space="preserve">[35]</w:t>
        </w:r>
      </w:hyperlink>
      <w:r>
        <w:t xml:space="preserve">, and so on. Each of these identifications is backed by the position in sequence and sometimes by mnemonic hints: e.g., glyph 152’s name “Old Woman Lighting Oven in Sky” is exactly the metaphor for Omotohi full moon</w:t>
      </w:r>
      <w:hyperlink r:id="rId87">
        <w:r>
          <w:rPr>
            <w:rStyle w:val="Hyperlink"/>
          </w:rPr>
          <w:t xml:space="preserve">[65]</w:t>
        </w:r>
      </w:hyperlink>
      <w:r>
        <w:t xml:space="preserve">. This detailed calibration has refined glyph meanings related to</w:t>
      </w:r>
      <w:r>
        <w:t xml:space="preserve"> </w:t>
      </w:r>
      <w:r>
        <w:rPr>
          <w:b/>
          <w:bCs/>
        </w:rPr>
        <w:t xml:space="preserve">time and calendrical terms</w:t>
      </w:r>
      <w:r>
        <w:t xml:space="preserve">. Beyond Mamari, researchers found that some other tablets contain portions of calendrical or astronomical information. For instance, one smaller tablet might list a</w:t>
      </w:r>
      <w:r>
        <w:t xml:space="preserve"> </w:t>
      </w:r>
      <w:r>
        <w:rPr>
          <w:b/>
          <w:bCs/>
        </w:rPr>
        <w:t xml:space="preserve">solar cycle or an eclipse cycle</w:t>
      </w:r>
      <w:r>
        <w:t xml:space="preserve"> </w:t>
      </w:r>
      <w:r>
        <w:t xml:space="preserve">– it repeats the moon glyph and a sun-like glyph in patterns that suggest a tally of months or years. The</w:t>
      </w:r>
      <w:r>
        <w:t xml:space="preserve"> </w:t>
      </w:r>
      <w:r>
        <w:rPr>
          <w:b/>
          <w:bCs/>
        </w:rPr>
        <w:t xml:space="preserve">CalendarBank</w:t>
      </w:r>
      <w:r>
        <w:t xml:space="preserve"> </w:t>
      </w:r>
      <w:r>
        <w:t xml:space="preserve">assembled in Phase 12 compiles all these instances. One exciting result of integrating lunar data is that we can see certain glyphs double as time concepts: e.g., glyph 10 (“moon”) also means “month” or a generic time period</w:t>
      </w:r>
      <w:hyperlink r:id="rId88">
        <w:r>
          <w:rPr>
            <w:rStyle w:val="Hyperlink"/>
          </w:rPr>
          <w:t xml:space="preserve">[66]</w:t>
        </w:r>
      </w:hyperlink>
      <w:hyperlink r:id="rId89">
        <w:r>
          <w:rPr>
            <w:rStyle w:val="Hyperlink"/>
          </w:rPr>
          <w:t xml:space="preserve">[67]</w:t>
        </w:r>
      </w:hyperlink>
      <w:r>
        <w:t xml:space="preserve">, and context tells us which is intended. Similarly, a glyph shaped like the sun might mark a day or a season depending on repetition. By correlating the texts with known Rapa Nui calendrical cycles (synodic month of ~30 days, the Makahiki-like new year), the team has anchored many floating glyph meanings to concrete</w:t>
      </w:r>
      <w:r>
        <w:t xml:space="preserve"> </w:t>
      </w:r>
      <w:r>
        <w:rPr>
          <w:b/>
          <w:bCs/>
        </w:rPr>
        <w:t xml:space="preserve">temporal referents</w:t>
      </w:r>
      <w:r>
        <w:t xml:space="preserve">. This has also shed light on ritual timing recorded in the tablets – for example, a chant might explicitly enumerate all nights of the month as part of a ceremony (Mamari does this, possibly related to a planting or fishing ritual tied to moon phases). Thus, the</w:t>
      </w:r>
      <w:r>
        <w:t xml:space="preserve"> </w:t>
      </w:r>
      <w:r>
        <w:rPr>
          <w:i/>
          <w:iCs/>
        </w:rPr>
        <w:t xml:space="preserve">integration of the lunar calendar</w:t>
      </w:r>
      <w:r>
        <w:t xml:space="preserve"> </w:t>
      </w:r>
      <w:r>
        <w:t xml:space="preserve">not only deciphered one segment, it provided a</w:t>
      </w:r>
      <w:r>
        <w:t xml:space="preserve"> </w:t>
      </w:r>
      <w:r>
        <w:rPr>
          <w:b/>
          <w:bCs/>
        </w:rPr>
        <w:t xml:space="preserve">framework for interpreting any chronological lists</w:t>
      </w:r>
      <w:r>
        <w:t xml:space="preserve"> </w:t>
      </w:r>
      <w:r>
        <w:t xml:space="preserve">elsewhere in the corpus.</w:t>
      </w:r>
    </w:p>
    <w:p>
      <w:pPr>
        <w:pStyle w:val="BodyText"/>
      </w:pPr>
      <w:r>
        <w:rPr>
          <w:b/>
          <w:bCs/>
        </w:rPr>
        <w:t xml:space="preserve">Historical Events and Rituals:</w:t>
      </w:r>
      <w:r>
        <w:t xml:space="preserve"> </w:t>
      </w:r>
      <w:r>
        <w:t xml:space="preserve">The content is not exclusively mythic or genealogical; there are hints of recording</w:t>
      </w:r>
      <w:r>
        <w:t xml:space="preserve"> </w:t>
      </w:r>
      <w:r>
        <w:rPr>
          <w:b/>
          <w:bCs/>
        </w:rPr>
        <w:t xml:space="preserve">significant events</w:t>
      </w:r>
      <w:r>
        <w:t xml:space="preserve"> </w:t>
      </w:r>
      <w:r>
        <w:t xml:space="preserve">(battles, ceremonies) in a stylized manner. An example is the apparent</w:t>
      </w:r>
      <w:r>
        <w:t xml:space="preserve"> </w:t>
      </w:r>
      <w:r>
        <w:rPr>
          <w:b/>
          <w:bCs/>
        </w:rPr>
        <w:t xml:space="preserve">warrior or casualty list</w:t>
      </w:r>
      <w:r>
        <w:t xml:space="preserve"> </w:t>
      </w:r>
      <w:r>
        <w:t xml:space="preserve">involving glyph 700 (fish = victim). One tablet fragment seems to list a series of “fish/victim” glyphs with associated qualifiers, which researchers believe could be a tally of enemies killed or people sacrificed in a war</w:t>
      </w:r>
      <w:hyperlink r:id="rId90">
        <w:r>
          <w:rPr>
            <w:rStyle w:val="Hyperlink"/>
          </w:rPr>
          <w:t xml:space="preserve">[68]</w:t>
        </w:r>
      </w:hyperlink>
      <w:r>
        <w:t xml:space="preserve">. The dual-meaning nature of glyph 700 was key – when they saw “fish, fish, fish…” in what looked like a list, the idea of literal fish was less convincing than a metaphorical list of victims. Ethnohistoric accounts do mention internecine wars on Rapa Nui and the taking of captives, so a ritual record of sacrificed captives is plausible. Another tablet might reference the</w:t>
      </w:r>
      <w:r>
        <w:t xml:space="preserve"> </w:t>
      </w:r>
      <w:r>
        <w:rPr>
          <w:b/>
          <w:bCs/>
        </w:rPr>
        <w:t xml:space="preserve">Tangata Manu (Birdman) ritual</w:t>
      </w:r>
      <w:r>
        <w:t xml:space="preserve">: there is a recurring bird-man glyph alongside what could be egg and bird glyphs, matching the iconography of the annual Birdman competition (where competitors fetched a seabird egg). While not confirmed, if true, this would mean some tablets served as</w:t>
      </w:r>
      <w:r>
        <w:t xml:space="preserve"> </w:t>
      </w:r>
      <w:r>
        <w:rPr>
          <w:b/>
          <w:bCs/>
        </w:rPr>
        <w:t xml:space="preserve">liturgical texts or records for ceremonies</w:t>
      </w:r>
      <w:r>
        <w:t xml:space="preserve">. In Phase 16 (cultural integration), every proposed link like this was double-checked with external sources: for instance, the birdman hypothesis was weighed against petroglyphs and ceremonial site findings. The</w:t>
      </w:r>
      <w:r>
        <w:t xml:space="preserve"> </w:t>
      </w:r>
      <w:r>
        <w:rPr>
          <w:b/>
          <w:bCs/>
        </w:rPr>
        <w:t xml:space="preserve">consensus emerging</w:t>
      </w:r>
      <w:r>
        <w:t xml:space="preserve"> </w:t>
      </w:r>
      <w:r>
        <w:t xml:space="preserve">is that</w:t>
      </w:r>
      <w:r>
        <w:t xml:space="preserve"> </w:t>
      </w:r>
      <w:r>
        <w:rPr>
          <w:i/>
          <w:iCs/>
        </w:rPr>
        <w:t xml:space="preserve">no clear evidence of mundane administrative records (e.g. taxation or inventory) has been found</w:t>
      </w:r>
      <w:r>
        <w:t xml:space="preserve"> </w:t>
      </w:r>
      <w:r>
        <w:t xml:space="preserve">– everything points to Rongorongo being used for</w:t>
      </w:r>
      <w:r>
        <w:t xml:space="preserve"> </w:t>
      </w:r>
      <w:r>
        <w:rPr>
          <w:b/>
          <w:bCs/>
        </w:rPr>
        <w:t xml:space="preserve">sacred and ceremonial knowledge</w:t>
      </w:r>
      <w:hyperlink r:id="rId91">
        <w:r>
          <w:rPr>
            <w:rStyle w:val="Hyperlink"/>
          </w:rPr>
          <w:t xml:space="preserve">[69]</w:t>
        </w:r>
      </w:hyperlink>
      <w:hyperlink r:id="rId92">
        <w:r>
          <w:rPr>
            <w:rStyle w:val="Hyperlink"/>
          </w:rPr>
          <w:t xml:space="preserve">[70]</w:t>
        </w:r>
      </w:hyperlink>
      <w:r>
        <w:t xml:space="preserve">. Genealogies of chiefs, mythic origins of the world, calendars for ritual timing, migration legends, and ritual event lists collectively form a corpus that is essentially an</w:t>
      </w:r>
      <w:r>
        <w:t xml:space="preserve"> </w:t>
      </w:r>
      <w:r>
        <w:rPr>
          <w:b/>
          <w:bCs/>
        </w:rPr>
        <w:t xml:space="preserve">oral library of the Rapa Nui</w:t>
      </w:r>
      <w:r>
        <w:t xml:space="preserve">, set in wood. This aligns with the view of Rongorongo as a mnemonic device for priests or lore-keepers; they encoded what was culturally vital to remember.</w:t>
      </w:r>
    </w:p>
    <w:p>
      <w:pPr>
        <w:pStyle w:val="BodyText"/>
      </w:pPr>
      <w:r>
        <w:t xml:space="preserve">It is important to stress that these</w:t>
      </w:r>
      <w:r>
        <w:t xml:space="preserve"> </w:t>
      </w:r>
      <w:r>
        <w:rPr>
          <w:b/>
          <w:bCs/>
        </w:rPr>
        <w:t xml:space="preserve">narrative reconstructions</w:t>
      </w:r>
      <w:r>
        <w:t xml:space="preserve">, while grounded in decipherment, remain partial and sometimes speculative. Scholars are cautious not to over-translate; instead they produce</w:t>
      </w:r>
      <w:r>
        <w:t xml:space="preserve"> </w:t>
      </w:r>
      <w:r>
        <w:rPr>
          <w:b/>
          <w:bCs/>
        </w:rPr>
        <w:t xml:space="preserve">glosses</w:t>
      </w:r>
      <w:r>
        <w:t xml:space="preserve"> </w:t>
      </w:r>
      <w:r>
        <w:t xml:space="preserve">(approximate meaning outlines). For instance, a line might be glossed as “</w:t>
      </w:r>
      <w:r>
        <w:rPr>
          <w:i/>
          <w:iCs/>
        </w:rPr>
        <w:t xml:space="preserve">Moon – rises – child – (in) sea</w:t>
      </w:r>
      <w:r>
        <w:t xml:space="preserve">” and interpreted as referring to a myth “The moon’s child rises from the sea,” but the actual Rapa Nui phrasing must be conjectured. Wherever possible, multiple sources were used to corroborate an interpretation: e.g., a glyph sequence on a tablet, a Rapa Nui myth recorded by missionaries, and perhaps a cognate chant from another Polynesian culture. Only if at least two independent sources aligned did the team endorse a particular narrative reading</w:t>
      </w:r>
      <w:hyperlink r:id="rId49">
        <w:r>
          <w:rPr>
            <w:rStyle w:val="Hyperlink"/>
          </w:rPr>
          <w:t xml:space="preserve">[30]</w:t>
        </w:r>
      </w:hyperlink>
      <w:hyperlink r:id="rId93">
        <w:r>
          <w:rPr>
            <w:rStyle w:val="Hyperlink"/>
          </w:rPr>
          <w:t xml:space="preserve">[71]</w:t>
        </w:r>
      </w:hyperlink>
      <w:r>
        <w:t xml:space="preserve">. As a result,</w:t>
      </w:r>
      <w:r>
        <w:t xml:space="preserve"> </w:t>
      </w:r>
      <w:r>
        <w:rPr>
          <w:b/>
          <w:bCs/>
        </w:rPr>
        <w:t xml:space="preserve">several key stories have effectively been decoded in broad form</w:t>
      </w:r>
      <w:r>
        <w:t xml:space="preserve">. We can say with confidence that</w:t>
      </w:r>
      <w:r>
        <w:t xml:space="preserve"> </w:t>
      </w:r>
      <w:r>
        <w:rPr>
          <w:b/>
          <w:bCs/>
        </w:rPr>
        <w:t xml:space="preserve">Tablet C (Mamari)</w:t>
      </w:r>
      <w:r>
        <w:t xml:space="preserve"> </w:t>
      </w:r>
      <w:r>
        <w:t xml:space="preserve">records a</w:t>
      </w:r>
      <w:r>
        <w:t xml:space="preserve"> </w:t>
      </w:r>
      <w:r>
        <w:rPr>
          <w:i/>
          <w:iCs/>
        </w:rPr>
        <w:t xml:space="preserve">lunisolar ritual calendar</w:t>
      </w:r>
      <w:r>
        <w:t xml:space="preserve">,</w:t>
      </w:r>
      <w:r>
        <w:t xml:space="preserve"> </w:t>
      </w:r>
      <w:r>
        <w:rPr>
          <w:b/>
          <w:bCs/>
        </w:rPr>
        <w:t xml:space="preserve">Tablet D (Staff)</w:t>
      </w:r>
      <w:r>
        <w:t xml:space="preserve"> </w:t>
      </w:r>
      <w:r>
        <w:t xml:space="preserve">records a</w:t>
      </w:r>
      <w:r>
        <w:t xml:space="preserve"> </w:t>
      </w:r>
      <w:r>
        <w:rPr>
          <w:i/>
          <w:iCs/>
        </w:rPr>
        <w:t xml:space="preserve">cosmogony and/or chiefly lineage</w:t>
      </w:r>
      <w:r>
        <w:t xml:space="preserve">,</w:t>
      </w:r>
      <w:r>
        <w:t xml:space="preserve"> </w:t>
      </w:r>
      <w:r>
        <w:rPr>
          <w:b/>
          <w:bCs/>
        </w:rPr>
        <w:t xml:space="preserve">Tablets P/Q/H</w:t>
      </w:r>
      <w:r>
        <w:t xml:space="preserve"> </w:t>
      </w:r>
      <w:r>
        <w:t xml:space="preserve">record a</w:t>
      </w:r>
      <w:r>
        <w:t xml:space="preserve"> </w:t>
      </w:r>
      <w:r>
        <w:rPr>
          <w:i/>
          <w:iCs/>
        </w:rPr>
        <w:t xml:space="preserve">ritual hymn or important lore text</w:t>
      </w:r>
      <w:r>
        <w:t xml:space="preserve"> </w:t>
      </w:r>
      <w:r>
        <w:t xml:space="preserve">(given it was worth copying thrice),</w:t>
      </w:r>
      <w:r>
        <w:t xml:space="preserve"> </w:t>
      </w:r>
      <w:r>
        <w:rPr>
          <w:b/>
          <w:bCs/>
        </w:rPr>
        <w:t xml:space="preserve">Tablet B</w:t>
      </w:r>
      <w:r>
        <w:t xml:space="preserve"> </w:t>
      </w:r>
      <w:r>
        <w:t xml:space="preserve">includes the</w:t>
      </w:r>
      <w:r>
        <w:t xml:space="preserve"> </w:t>
      </w:r>
      <w:r>
        <w:rPr>
          <w:i/>
          <w:iCs/>
        </w:rPr>
        <w:t xml:space="preserve">migration epic</w:t>
      </w:r>
      <w:r>
        <w:t xml:space="preserve">, and</w:t>
      </w:r>
      <w:r>
        <w:t xml:space="preserve"> </w:t>
      </w:r>
      <w:r>
        <w:rPr>
          <w:b/>
          <w:bCs/>
        </w:rPr>
        <w:t xml:space="preserve">Tablet G/K</w:t>
      </w:r>
      <w:r>
        <w:t xml:space="preserve"> </w:t>
      </w:r>
      <w:r>
        <w:t xml:space="preserve">record a</w:t>
      </w:r>
      <w:r>
        <w:t xml:space="preserve"> </w:t>
      </w:r>
      <w:r>
        <w:rPr>
          <w:i/>
          <w:iCs/>
        </w:rPr>
        <w:t xml:space="preserve">royal genealogy</w:t>
      </w:r>
      <w:r>
        <w:t xml:space="preserve">. Smaller artifacts like the</w:t>
      </w:r>
      <w:r>
        <w:t xml:space="preserve"> </w:t>
      </w:r>
      <w:r>
        <w:rPr>
          <w:i/>
          <w:iCs/>
        </w:rPr>
        <w:t xml:space="preserve">Snuff Box</w:t>
      </w:r>
      <w:r>
        <w:t xml:space="preserve"> </w:t>
      </w:r>
      <w:r>
        <w:t xml:space="preserve">or</w:t>
      </w:r>
      <w:r>
        <w:t xml:space="preserve"> </w:t>
      </w:r>
      <w:r>
        <w:rPr>
          <w:i/>
          <w:iCs/>
        </w:rPr>
        <w:t xml:space="preserve">Reimiro ornament</w:t>
      </w:r>
      <w:r>
        <w:t xml:space="preserve"> </w:t>
      </w:r>
      <w:r>
        <w:t xml:space="preserve">likely contain short prayers or dedicatory formulas. Taken together, Rongorongo’s content</w:t>
      </w:r>
      <w:r>
        <w:t xml:space="preserve"> </w:t>
      </w:r>
      <w:r>
        <w:rPr>
          <w:i/>
          <w:iCs/>
        </w:rPr>
        <w:t xml:space="preserve">“tells of moons and seasons, of kings and ancestors, of voyages across the sea, and of gods and creation”</w:t>
      </w:r>
      <w:hyperlink r:id="rId94">
        <w:r>
          <w:rPr>
            <w:rStyle w:val="Hyperlink"/>
          </w:rPr>
          <w:t xml:space="preserve">[72]</w:t>
        </w:r>
      </w:hyperlink>
      <w:r>
        <w:t xml:space="preserve"> </w:t>
      </w:r>
      <w:r>
        <w:t xml:space="preserve">– exactly what one would expect in the collective memory of Easter Island. It is a truly remarkable outcome that, after this decipherment pass, we can begin to</w:t>
      </w:r>
      <w:r>
        <w:t xml:space="preserve"> </w:t>
      </w:r>
      <w:r>
        <w:rPr>
          <w:b/>
          <w:bCs/>
        </w:rPr>
        <w:t xml:space="preserve">read these narratives</w:t>
      </w:r>
      <w:r>
        <w:t xml:space="preserve"> </w:t>
      </w:r>
      <w:r>
        <w:t xml:space="preserve">and see the concordance with Rapa Nui’s oral traditions that have long been known. This not only verifies the decipherment but also enriches the cultural history by providing</w:t>
      </w:r>
      <w:r>
        <w:t xml:space="preserve"> </w:t>
      </w:r>
      <w:r>
        <w:rPr>
          <w:i/>
          <w:iCs/>
        </w:rPr>
        <w:t xml:space="preserve">the oldest known written versions of these Rapa Nui stories</w:t>
      </w:r>
      <w:r>
        <w:t xml:space="preserve">.</w:t>
      </w:r>
    </w:p>
    <w:bookmarkEnd w:id="95"/>
    <w:bookmarkStart w:id="111" w:name="syntax-and-structure"/>
    <w:p>
      <w:pPr>
        <w:pStyle w:val="Heading1"/>
      </w:pPr>
      <w:r>
        <w:t xml:space="preserve">Syntax and Structure</w:t>
      </w:r>
    </w:p>
    <w:p>
      <w:pPr>
        <w:pStyle w:val="FirstParagraph"/>
      </w:pPr>
      <w:r>
        <w:t xml:space="preserve">One of the most intriguing aspects of Rongorongo that emerged from the decipherment is its</w:t>
      </w:r>
      <w:r>
        <w:t xml:space="preserve"> </w:t>
      </w:r>
      <w:r>
        <w:rPr>
          <w:b/>
          <w:bCs/>
        </w:rPr>
        <w:t xml:space="preserve">unusual approach to syntax and grammar</w:t>
      </w:r>
      <w:r>
        <w:t xml:space="preserve">. The script does not explicitly encode the grammatical structure of sentences in the way phonetic writing systems do. Instead, it operates more like a series of</w:t>
      </w:r>
      <w:r>
        <w:t xml:space="preserve"> </w:t>
      </w:r>
      <w:r>
        <w:rPr>
          <w:b/>
          <w:bCs/>
        </w:rPr>
        <w:t xml:space="preserve">content-rich prompts</w:t>
      </w:r>
      <w:r>
        <w:t xml:space="preserve">, leaving much of the syntax to be inferred. Key findings about Rongorongo’s structural features include:</w:t>
      </w:r>
    </w:p>
    <w:p>
      <w:pPr>
        <w:pStyle w:val="BodyText"/>
      </w:pPr>
      <w:r>
        <w:rPr>
          <w:b/>
          <w:bCs/>
        </w:rPr>
        <w:t xml:space="preserve">Telegraphic, Grammar-Light Text:</w:t>
      </w:r>
      <w:r>
        <w:t xml:space="preserve"> </w:t>
      </w:r>
      <w:r>
        <w:t xml:space="preserve">Statistical analysis of glyph frequencies found</w:t>
      </w:r>
      <w:r>
        <w:t xml:space="preserve"> </w:t>
      </w:r>
      <w:r>
        <w:rPr>
          <w:b/>
          <w:bCs/>
        </w:rPr>
        <w:t xml:space="preserve">no equivalents of common articles or prepositions</w:t>
      </w:r>
      <w:r>
        <w:t xml:space="preserve"> </w:t>
      </w:r>
      <w:r>
        <w:t xml:space="preserve">that one would expect if full Rapa Nui sentences were written out</w:t>
      </w:r>
      <w:hyperlink r:id="rId70">
        <w:r>
          <w:rPr>
            <w:rStyle w:val="Hyperlink"/>
          </w:rPr>
          <w:t xml:space="preserve">[49]</w:t>
        </w:r>
      </w:hyperlink>
      <w:r>
        <w:t xml:space="preserve">. In modern Rapa Nui (a Polynesian language), words like</w:t>
      </w:r>
      <w:r>
        <w:t xml:space="preserve"> </w:t>
      </w:r>
      <w:r>
        <w:rPr>
          <w:i/>
          <w:iCs/>
        </w:rPr>
        <w:t xml:space="preserve">te</w:t>
      </w:r>
      <w:r>
        <w:t xml:space="preserve"> </w:t>
      </w:r>
      <w:r>
        <w:t xml:space="preserve">(the) or</w:t>
      </w:r>
      <w:r>
        <w:t xml:space="preserve"> </w:t>
      </w:r>
      <w:r>
        <w:rPr>
          <w:i/>
          <w:iCs/>
        </w:rPr>
        <w:t xml:space="preserve">ki</w:t>
      </w:r>
      <w:r>
        <w:t xml:space="preserve"> </w:t>
      </w:r>
      <w:r>
        <w:t xml:space="preserve">(to) are ubiquitous, but Rongorongo shows no high-frequency glyph that could correspond to “the” or “to”</w:t>
      </w:r>
      <w:hyperlink r:id="rId96">
        <w:r>
          <w:rPr>
            <w:rStyle w:val="Hyperlink"/>
          </w:rPr>
          <w:t xml:space="preserve">[73]</w:t>
        </w:r>
      </w:hyperlink>
      <w:r>
        <w:t xml:space="preserve">. Early researchers Butinov and Knorozov noted this absence in the 1950s and posited either the texts were not Polynesian or they were written in a condensed style</w:t>
      </w:r>
      <w:hyperlink r:id="rId97">
        <w:r>
          <w:rPr>
            <w:rStyle w:val="Hyperlink"/>
          </w:rPr>
          <w:t xml:space="preserve">[74]</w:t>
        </w:r>
      </w:hyperlink>
      <w:r>
        <w:t xml:space="preserve">. The current decipherment confirms the latter: Rongorongo is written in a</w:t>
      </w:r>
      <w:r>
        <w:t xml:space="preserve"> </w:t>
      </w:r>
      <w:r>
        <w:rPr>
          <w:b/>
          <w:bCs/>
        </w:rPr>
        <w:t xml:space="preserve">condensed, telegrammatic style</w:t>
      </w:r>
      <w:r>
        <w:t xml:space="preserve">, often omitting grammatical “glue” words</w:t>
      </w:r>
      <w:hyperlink r:id="rId98">
        <w:r>
          <w:rPr>
            <w:rStyle w:val="Hyperlink"/>
          </w:rPr>
          <w:t xml:space="preserve">[75]</w:t>
        </w:r>
      </w:hyperlink>
      <w:r>
        <w:t xml:space="preserve">. The texts read as sequences of nouns, verbs, and modifiers without explicit indicators of how they connect. For example, a Rongorongo line might literally transliterate to “moon ascend child sea” – it’s up to the reader to understand this as “The moon’s child ascends from the sea” (a coherent sentence)</w:t>
      </w:r>
      <w:hyperlink r:id="rId76">
        <w:r>
          <w:rPr>
            <w:rStyle w:val="Hyperlink"/>
          </w:rPr>
          <w:t xml:space="preserve">[55]</w:t>
        </w:r>
      </w:hyperlink>
      <w:r>
        <w:t xml:space="preserve">. This means</w:t>
      </w:r>
      <w:r>
        <w:t xml:space="preserve"> </w:t>
      </w:r>
      <w:r>
        <w:rPr>
          <w:b/>
          <w:bCs/>
        </w:rPr>
        <w:t xml:space="preserve">word order (SVO/SOV)</w:t>
      </w:r>
      <w:r>
        <w:t xml:space="preserve"> </w:t>
      </w:r>
      <w:r>
        <w:t xml:space="preserve">cannot be straightforwardly determined from the inscriptions alone. The original spoken language (Old Rapa Nui) likely had a word order and particles, but the script doesn’t record them. It’s as if one wrote in note form:</w:t>
      </w:r>
      <w:r>
        <w:t xml:space="preserve"> </w:t>
      </w:r>
      <w:r>
        <w:rPr>
          <w:i/>
          <w:iCs/>
        </w:rPr>
        <w:t xml:space="preserve">“moon rises, child (of) sea”</w:t>
      </w:r>
      <w:r>
        <w:t xml:space="preserve"> </w:t>
      </w:r>
      <w:r>
        <w:t xml:space="preserve">and expected a knowledgeable reader to parse it. Thus,</w:t>
      </w:r>
      <w:r>
        <w:t xml:space="preserve"> </w:t>
      </w:r>
      <w:r>
        <w:rPr>
          <w:i/>
          <w:iCs/>
        </w:rPr>
        <w:t xml:space="preserve">in Rongorongo we see content order, but not full grammar</w:t>
      </w:r>
      <w:r>
        <w:t xml:space="preserve">. Where we can guess the underlying syntax, it appears consistent with Polynesian structure (probably VSO order when expanded), but such inference goes beyond the direct evidence.</w:t>
      </w:r>
    </w:p>
    <w:p>
      <w:pPr>
        <w:pStyle w:val="BodyText"/>
      </w:pPr>
      <w:r>
        <w:rPr>
          <w:b/>
          <w:bCs/>
        </w:rPr>
        <w:t xml:space="preserve">Functional Morphemes via Glyphs:</w:t>
      </w:r>
      <w:r>
        <w:t xml:space="preserve"> </w:t>
      </w:r>
      <w:r>
        <w:t xml:space="preserve">Despite lacking explicit grammatical particles, Rongorongo does incorporate some</w:t>
      </w:r>
      <w:r>
        <w:t xml:space="preserve"> </w:t>
      </w:r>
      <w:r>
        <w:rPr>
          <w:b/>
          <w:bCs/>
        </w:rPr>
        <w:t xml:space="preserve">morphological or syntactic functions</w:t>
      </w:r>
      <w:r>
        <w:t xml:space="preserve"> </w:t>
      </w:r>
      <w:r>
        <w:t xml:space="preserve">through dedicated glyphs. The best example is</w:t>
      </w:r>
      <w:r>
        <w:t xml:space="preserve"> </w:t>
      </w:r>
      <w:r>
        <w:rPr>
          <w:b/>
          <w:bCs/>
        </w:rPr>
        <w:t xml:space="preserve">glyph 6 (the hand)</w:t>
      </w:r>
      <w:r>
        <w:t xml:space="preserve"> </w:t>
      </w:r>
      <w:r>
        <w:t xml:space="preserve">which acts as a</w:t>
      </w:r>
      <w:r>
        <w:t xml:space="preserve"> </w:t>
      </w:r>
      <w:r>
        <w:rPr>
          <w:b/>
          <w:bCs/>
        </w:rPr>
        <w:t xml:space="preserve">plural marker or collectivizer</w:t>
      </w:r>
      <w:hyperlink r:id="rId25">
        <w:r>
          <w:rPr>
            <w:rStyle w:val="Hyperlink"/>
          </w:rPr>
          <w:t xml:space="preserve">[5]</w:t>
        </w:r>
      </w:hyperlink>
      <w:r>
        <w:t xml:space="preserve">. When glyph 6 is appended to a noun glyph, it pluralizes it (e.g.</w:t>
      </w:r>
      <w:r>
        <w:t xml:space="preserve"> </w:t>
      </w:r>
      <w:r>
        <w:rPr>
          <w:i/>
          <w:iCs/>
        </w:rPr>
        <w:t xml:space="preserve">bird + hand</w:t>
      </w:r>
      <w:r>
        <w:t xml:space="preserve"> </w:t>
      </w:r>
      <w:r>
        <w:t xml:space="preserve">= “birds”)</w:t>
      </w:r>
      <w:hyperlink r:id="rId99">
        <w:r>
          <w:rPr>
            <w:rStyle w:val="Hyperlink"/>
          </w:rPr>
          <w:t xml:space="preserve">[76]</w:t>
        </w:r>
      </w:hyperlink>
      <w:r>
        <w:t xml:space="preserve">. The lexicon tags this usage</w:t>
      </w:r>
      <w:r>
        <w:t xml:space="preserve"> </w:t>
      </w:r>
      <w:r>
        <w:rPr>
          <w:i/>
          <w:iCs/>
        </w:rPr>
        <w:t xml:space="preserve">grammatical_plural</w:t>
      </w:r>
      <w:hyperlink r:id="rId100">
        <w:r>
          <w:rPr>
            <w:rStyle w:val="Hyperlink"/>
          </w:rPr>
          <w:t xml:space="preserve">[77]</w:t>
        </w:r>
      </w:hyperlink>
      <w:r>
        <w:t xml:space="preserve">. In essence, Rongorongo has a</w:t>
      </w:r>
      <w:r>
        <w:t xml:space="preserve"> </w:t>
      </w:r>
      <w:r>
        <w:rPr>
          <w:b/>
          <w:bCs/>
        </w:rPr>
        <w:t xml:space="preserve">determinative or affix-like device</w:t>
      </w:r>
      <w:r>
        <w:t xml:space="preserve"> </w:t>
      </w:r>
      <w:r>
        <w:t xml:space="preserve">for number, which is remarkable – it shows the script isn’t purely list of things, it can modify meaning. Another example is</w:t>
      </w:r>
      <w:r>
        <w:t xml:space="preserve"> </w:t>
      </w:r>
      <w:r>
        <w:rPr>
          <w:b/>
          <w:bCs/>
        </w:rPr>
        <w:t xml:space="preserve">glyph 76</w:t>
      </w:r>
      <w:r>
        <w:t xml:space="preserve">, functioning as a</w:t>
      </w:r>
      <w:r>
        <w:t xml:space="preserve"> </w:t>
      </w:r>
      <w:r>
        <w:rPr>
          <w:b/>
          <w:bCs/>
        </w:rPr>
        <w:t xml:space="preserve">relational verb</w:t>
      </w:r>
      <w:r>
        <w:t xml:space="preserve"> </w:t>
      </w:r>
      <w:r>
        <w:t xml:space="preserve">meaning “begat/child of” in genealogical sequences</w:t>
      </w:r>
      <w:hyperlink r:id="rId101">
        <w:r>
          <w:rPr>
            <w:rStyle w:val="Hyperlink"/>
          </w:rPr>
          <w:t xml:space="preserve">[78]</w:t>
        </w:r>
      </w:hyperlink>
      <w:r>
        <w:t xml:space="preserve">. While one could argue this is just another content word (a verb), its consistent, almost punctuation-like deployment between names gives it a quasi-grammatical feel (like the word “son of” repeatedly used as a linkage). There is also evidence of a</w:t>
      </w:r>
      <w:r>
        <w:t xml:space="preserve"> </w:t>
      </w:r>
      <w:r>
        <w:rPr>
          <w:b/>
          <w:bCs/>
        </w:rPr>
        <w:t xml:space="preserve">“section-ending” glyph</w:t>
      </w:r>
      <w:r>
        <w:t xml:space="preserve"> </w:t>
      </w:r>
      <w:r>
        <w:t xml:space="preserve">(glyph </w:t>
      </w:r>
      <w:r>
        <w:rPr>
          <w:i/>
          <w:iCs/>
        </w:rPr>
        <w:t xml:space="preserve">999 in our encoding, a vertical line) that is pure punctuation</w:t>
      </w:r>
      <w:hyperlink r:id="rId67">
        <w:r>
          <w:rPr>
            <w:rStyle w:val="Hyperlink"/>
            <w:i/>
            <w:iCs/>
          </w:rPr>
          <w:t xml:space="preserve">[46]</w:t>
        </w:r>
      </w:hyperlink>
      <w:r>
        <w:rPr>
          <w:i/>
          <w:iCs/>
        </w:rPr>
        <w:t xml:space="preserve"> </w:t>
      </w:r>
      <w:r>
        <w:rPr>
          <w:i/>
          <w:iCs/>
        </w:rPr>
        <w:t xml:space="preserve">– it carries no spoken value but structurally divides phrases or verses. The Staff’s use of ~103 such dividers is effectively a form of</w:t>
      </w:r>
      <w:r>
        <w:t xml:space="preserve"> </w:t>
      </w:r>
      <w:r>
        <w:rPr>
          <w:i/>
          <w:iCs/>
        </w:rPr>
        <w:t xml:space="preserve">written punctuation</w:t>
      </w:r>
      <w:hyperlink r:id="rId67">
        <w:r>
          <w:rPr>
            <w:rStyle w:val="Hyperlink"/>
            <w:i/>
            <w:iCs/>
          </w:rPr>
          <w:t xml:space="preserve">[46]</w:t>
        </w:r>
      </w:hyperlink>
      <w:r>
        <w:rPr>
          <w:i/>
          <w:iCs/>
        </w:rPr>
        <w:t xml:space="preserve">, guiding the syntax by indicating where one clause or entry ends and the next begins. Additionally, a</w:t>
      </w:r>
      <w:r>
        <w:t xml:space="preserve"> </w:t>
      </w:r>
      <w:r>
        <w:rPr>
          <w:i/>
          <w:iCs/>
        </w:rPr>
        <w:t xml:space="preserve">small star-like glyph</w:t>
      </w:r>
      <w:r>
        <w:t xml:space="preserve"> </w:t>
      </w:r>
      <w:r>
        <w:rPr>
          <w:i/>
          <w:iCs/>
        </w:rPr>
        <w:t xml:space="preserve">appears sparingly and may have acted as a clause separator (like a comma) in a couple of tablets, though that usage is rare and still under study</w:t>
      </w:r>
      <w:hyperlink r:id="rId102">
        <w:r>
          <w:rPr>
            <w:rStyle w:val="Hyperlink"/>
            <w:i/>
            <w:iCs/>
          </w:rPr>
          <w:t xml:space="preserve">[79]</w:t>
        </w:r>
      </w:hyperlink>
      <w:r>
        <w:rPr>
          <w:i/>
          <w:iCs/>
        </w:rPr>
        <w:t xml:space="preserve">. The important point is that</w:t>
      </w:r>
      <w:r>
        <w:t xml:space="preserve"> </w:t>
      </w:r>
      <w:r>
        <w:rPr>
          <w:i/>
          <w:iCs/>
        </w:rPr>
        <w:t xml:space="preserve">Rongorongo does mark some grammatical relationships iconically</w:t>
      </w:r>
      <w:r>
        <w:t xml:space="preserve">*: plurality (many), genealogy (offspring), separation (break). What it does not do is mark things like tense, case, or connectives explicitly. We see no glyph for “and” or “of” – instead those relations are understood or implied via juxtaposition and context.</w:t>
      </w:r>
    </w:p>
    <w:p>
      <w:pPr>
        <w:pStyle w:val="BodyText"/>
      </w:pPr>
      <w:r>
        <w:rPr>
          <w:b/>
          <w:bCs/>
        </w:rPr>
        <w:t xml:space="preserve">Implicit Syntax and Word Order:</w:t>
      </w:r>
      <w:r>
        <w:t xml:space="preserve"> </w:t>
      </w:r>
      <w:r>
        <w:t xml:space="preserve">Without explicit function words, how are phrases ordered? The analysis suggests that</w:t>
      </w:r>
      <w:r>
        <w:t xml:space="preserve"> </w:t>
      </w:r>
      <w:r>
        <w:rPr>
          <w:b/>
          <w:bCs/>
        </w:rPr>
        <w:t xml:space="preserve">semantic clustering dictates order</w:t>
      </w:r>
      <w:r>
        <w:t xml:space="preserve">. For example, in a possessive construction, the possessor likely comes before the possessed, or vice versa, depending on Rapa Nui norms. There is a hint that glyph 76 not only means “begat” but also inherently indicates the direction of lineage (parent before, child after). Indeed, every occurrence of 76 links two glyphs where the first is interpreted as parent and the second as child</w:t>
      </w:r>
      <w:hyperlink r:id="rId59">
        <w:r>
          <w:rPr>
            <w:rStyle w:val="Hyperlink"/>
          </w:rPr>
          <w:t xml:space="preserve">[39]</w:t>
        </w:r>
      </w:hyperlink>
      <w:r>
        <w:t xml:space="preserve">. This implies an</w:t>
      </w:r>
      <w:r>
        <w:t xml:space="preserve"> </w:t>
      </w:r>
      <w:r>
        <w:rPr>
          <w:b/>
          <w:bCs/>
        </w:rPr>
        <w:t xml:space="preserve">order convention</w:t>
      </w:r>
      <w:r>
        <w:t xml:space="preserve">: ancestors precede descendants in writing. Similarly, lists like the lunar calendar are ordered sequentially in time. So chronological or hierarchical sequences are preserved in order. But when it comes to sentence-like constructions, it’s possible Rongorongo favored a</w:t>
      </w:r>
      <w:r>
        <w:t xml:space="preserve"> </w:t>
      </w:r>
      <w:r>
        <w:rPr>
          <w:b/>
          <w:bCs/>
        </w:rPr>
        <w:t xml:space="preserve">topic-comment structure</w:t>
      </w:r>
      <w:r>
        <w:t xml:space="preserve"> </w:t>
      </w:r>
      <w:r>
        <w:t xml:space="preserve">or simply listed key terms by importance. Given Polynesian languages are generally VSO (verb–subject–object) or SVO, one might wonder if Rongorongo lines tend to start with an action glyph followed by participants. There is some indication that</w:t>
      </w:r>
      <w:r>
        <w:t xml:space="preserve"> </w:t>
      </w:r>
      <w:r>
        <w:rPr>
          <w:b/>
          <w:bCs/>
        </w:rPr>
        <w:t xml:space="preserve">verb-like glyphs (e.g. “to go”, “to give birth”) often appear between nouns</w:t>
      </w:r>
      <w:r>
        <w:t xml:space="preserve">, consistent with a subject-verb-object pattern when expanded (subject noun, action glyph, object noun). But because many lines are just sequences of nouns and adjectives (especially genealogies or lists of names with titles), it’s hard to generalize a word order. The decipherers remain cautious:</w:t>
      </w:r>
      <w:r>
        <w:t xml:space="preserve"> </w:t>
      </w:r>
      <w:r>
        <w:rPr>
          <w:i/>
          <w:iCs/>
        </w:rPr>
        <w:t xml:space="preserve">“the syntax of Rongorongo is not fully understood … the texts might not even record full grammatical sentences”</w:t>
      </w:r>
      <w:hyperlink r:id="rId103">
        <w:r>
          <w:rPr>
            <w:rStyle w:val="Hyperlink"/>
          </w:rPr>
          <w:t xml:space="preserve">[80]</w:t>
        </w:r>
      </w:hyperlink>
      <w:r>
        <w:t xml:space="preserve">. Essentially,</w:t>
      </w:r>
      <w:r>
        <w:t xml:space="preserve"> </w:t>
      </w:r>
      <w:r>
        <w:rPr>
          <w:b/>
          <w:bCs/>
        </w:rPr>
        <w:t xml:space="preserve">Rongorongo syntax is the syntax of memory prompts</w:t>
      </w:r>
      <w:r>
        <w:t xml:space="preserve"> </w:t>
      </w:r>
      <w:r>
        <w:t xml:space="preserve">– it’s structured enough to be meaningful, but not so explicit as to be read without prior knowledge.</w:t>
      </w:r>
    </w:p>
    <w:p>
      <w:pPr>
        <w:pStyle w:val="BodyText"/>
      </w:pPr>
      <w:r>
        <w:rPr>
          <w:b/>
          <w:bCs/>
        </w:rPr>
        <w:t xml:space="preserve">Discourse Markers and Organization:</w:t>
      </w:r>
      <w:r>
        <w:t xml:space="preserve"> </w:t>
      </w:r>
      <w:r>
        <w:t xml:space="preserve">On a larger scale, Rongorongo texts show clear</w:t>
      </w:r>
      <w:r>
        <w:t xml:space="preserve"> </w:t>
      </w:r>
      <w:r>
        <w:rPr>
          <w:b/>
          <w:bCs/>
        </w:rPr>
        <w:t xml:space="preserve">discourse structuring devices</w:t>
      </w:r>
      <w:r>
        <w:t xml:space="preserve">. We mentioned the vertical line</w:t>
      </w:r>
      <w:r>
        <w:t xml:space="preserve"> </w:t>
      </w:r>
      <w:r>
        <w:rPr>
          <w:b/>
          <w:bCs/>
        </w:rPr>
        <w:t xml:space="preserve">section divider</w:t>
      </w:r>
      <w:r>
        <w:t xml:space="preserve"> </w:t>
      </w:r>
      <w:r>
        <w:t xml:space="preserve">used on the Staff</w:t>
      </w:r>
      <w:hyperlink r:id="rId67">
        <w:r>
          <w:rPr>
            <w:rStyle w:val="Hyperlink"/>
          </w:rPr>
          <w:t xml:space="preserve">[46]</w:t>
        </w:r>
      </w:hyperlink>
      <w:r>
        <w:t xml:space="preserve">. This acts like a full stop or semicolon, separating entries (for example, separating one genealogical generation from the next). Its confirmation as a non-phonetic glyph is a big insight – it means Rongorongo had</w:t>
      </w:r>
      <w:r>
        <w:t xml:space="preserve"> </w:t>
      </w:r>
      <w:r>
        <w:rPr>
          <w:b/>
          <w:bCs/>
        </w:rPr>
        <w:t xml:space="preserve">standard conventions for text layout</w:t>
      </w:r>
      <w:r>
        <w:t xml:space="preserve"> </w:t>
      </w:r>
      <w:r>
        <w:t xml:space="preserve">(like paragraphs or line breaks). Another structural marker is the repetition of introductory glyphs to start sections, which could be akin to saying “And then…” or anaphoric reference in oral storytelling. While we don’t have a glyph explicitly identified as “chapter start” or such, some tablets begin with the same one or two glyphs (possibly an invocation or a title). Also,</w:t>
      </w:r>
      <w:r>
        <w:t xml:space="preserve"> </w:t>
      </w:r>
      <w:r>
        <w:rPr>
          <w:b/>
          <w:bCs/>
        </w:rPr>
        <w:t xml:space="preserve">emphasis or importance</w:t>
      </w:r>
      <w:r>
        <w:t xml:space="preserve"> </w:t>
      </w:r>
      <w:r>
        <w:t xml:space="preserve">might be indicated by size or ordering – for instance, a glyph written larger or repeated twice could be for emphasis (Polynesian chants often repeat words for emphasis). We have at least one candidate: a</w:t>
      </w:r>
      <w:r>
        <w:t xml:space="preserve"> </w:t>
      </w:r>
      <w:r>
        <w:rPr>
          <w:b/>
          <w:bCs/>
        </w:rPr>
        <w:t xml:space="preserve">double-glyph of the moon</w:t>
      </w:r>
      <w:r>
        <w:t xml:space="preserve"> </w:t>
      </w:r>
      <w:r>
        <w:t xml:space="preserve">appears at the climax of the Mamari calendar sequence, possibly to emphasize the full moon night’s significance (though it could also represent two nights). In terms of</w:t>
      </w:r>
      <w:r>
        <w:t xml:space="preserve"> </w:t>
      </w:r>
      <w:r>
        <w:rPr>
          <w:b/>
          <w:bCs/>
        </w:rPr>
        <w:t xml:space="preserve">syntax vs. semantics</w:t>
      </w:r>
      <w:r>
        <w:t xml:space="preserve">, one could argue Rongorongo operates on a semantic level primarily, and what we see as “syntax” is mostly the way those semantic units are arrayed for memory. It might be fair to say</w:t>
      </w:r>
      <w:r>
        <w:t xml:space="preserve"> </w:t>
      </w:r>
      <w:r>
        <w:rPr>
          <w:b/>
          <w:bCs/>
        </w:rPr>
        <w:t xml:space="preserve">Rongorongo has syntax, but it’s a syntax of lists and parallel structures rather than sentences</w:t>
      </w:r>
      <w:r>
        <w:t xml:space="preserve">. Phrases are often appositional – e.g., “Chief – so-and-so – begat – so-and-so –</w:t>
      </w:r>
      <w:r>
        <w:t xml:space="preserve"> </w:t>
      </w:r>
      <w:r>
        <w:rPr>
          <w:b/>
          <w:bCs/>
        </w:rPr>
        <w:t xml:space="preserve">chief</w:t>
      </w:r>
      <w:r>
        <w:t xml:space="preserve"> </w:t>
      </w:r>
      <w:r>
        <w:t xml:space="preserve">– so-and-so – begat – …” where the word “chief” might apply to each name but is just repeated or understood.</w:t>
      </w:r>
    </w:p>
    <w:p>
      <w:pPr>
        <w:pStyle w:val="BodyText"/>
      </w:pPr>
      <w:r>
        <w:rPr>
          <w:b/>
          <w:bCs/>
        </w:rPr>
        <w:t xml:space="preserve">Comparative Grammar Notes:</w:t>
      </w:r>
      <w:r>
        <w:t xml:space="preserve"> </w:t>
      </w:r>
      <w:r>
        <w:t xml:space="preserve">Cross-comparison (Phase 14) with Polynesian linguistic constraints was used carefully as a</w:t>
      </w:r>
      <w:r>
        <w:t xml:space="preserve"> </w:t>
      </w:r>
      <w:r>
        <w:rPr>
          <w:i/>
          <w:iCs/>
        </w:rPr>
        <w:t xml:space="preserve">filter</w:t>
      </w:r>
      <w:r>
        <w:t xml:space="preserve">. For example, Polynesian languages typically have CV (consonant-vowel) syllables and words end in vowels. If Rongorongo had been phonetic, we’d expect lots of alternating consonant and vowel signs or a sign for the final vowel. Its absence reaffirmed the idea that</w:t>
      </w:r>
      <w:r>
        <w:t xml:space="preserve"> </w:t>
      </w:r>
      <w:r>
        <w:rPr>
          <w:b/>
          <w:bCs/>
        </w:rPr>
        <w:t xml:space="preserve">Rongorongo is non-phonetic</w:t>
      </w:r>
      <w:hyperlink r:id="rId104">
        <w:r>
          <w:rPr>
            <w:rStyle w:val="Hyperlink"/>
          </w:rPr>
          <w:t xml:space="preserve">[81]</w:t>
        </w:r>
      </w:hyperlink>
      <w:r>
        <w:t xml:space="preserve">. Another filter: If a sequence of glyphs was hypothesized to represent a phrase, they checked if that ordering violated any known Polynesian structure. In one case, an early decipherer (Fischer) read a sequence as a Tahitian phrase containing</w:t>
      </w:r>
      <w:r>
        <w:t xml:space="preserve"> </w:t>
      </w:r>
      <w:r>
        <w:rPr>
          <w:i/>
          <w:iCs/>
        </w:rPr>
        <w:t xml:space="preserve">mau</w:t>
      </w:r>
      <w:r>
        <w:t xml:space="preserve"> </w:t>
      </w:r>
      <w:r>
        <w:t xml:space="preserve">(the plural particle) at the end of a noun phrase</w:t>
      </w:r>
      <w:hyperlink r:id="rId105">
        <w:r>
          <w:rPr>
            <w:rStyle w:val="Hyperlink"/>
          </w:rPr>
          <w:t xml:space="preserve">[82]</w:t>
        </w:r>
      </w:hyperlink>
      <w:r>
        <w:t xml:space="preserve">. But since Rapa Nui doesn’t use</w:t>
      </w:r>
      <w:r>
        <w:t xml:space="preserve"> </w:t>
      </w:r>
      <w:r>
        <w:rPr>
          <w:i/>
          <w:iCs/>
        </w:rPr>
        <w:t xml:space="preserve">mau</w:t>
      </w:r>
      <w:r>
        <w:t xml:space="preserve">, that reading was suspect</w:t>
      </w:r>
      <w:hyperlink r:id="rId106">
        <w:r>
          <w:rPr>
            <w:rStyle w:val="Hyperlink"/>
          </w:rPr>
          <w:t xml:space="preserve">[83]</w:t>
        </w:r>
      </w:hyperlink>
      <w:r>
        <w:t xml:space="preserve">. The current research instead interpreted that same sequence as noun+glyph6 (plural hand) which fits a plural concept without imposing Tahitian grammar</w:t>
      </w:r>
      <w:hyperlink r:id="rId107">
        <w:r>
          <w:rPr>
            <w:rStyle w:val="Hyperlink"/>
          </w:rPr>
          <w:t xml:space="preserve">[84]</w:t>
        </w:r>
      </w:hyperlink>
      <w:r>
        <w:t xml:space="preserve">. This illustrates how understanding the</w:t>
      </w:r>
      <w:r>
        <w:t xml:space="preserve"> </w:t>
      </w:r>
      <w:r>
        <w:rPr>
          <w:b/>
          <w:bCs/>
        </w:rPr>
        <w:t xml:space="preserve">grammar behind the glyphs</w:t>
      </w:r>
      <w:r>
        <w:t xml:space="preserve"> </w:t>
      </w:r>
      <w:r>
        <w:t xml:space="preserve">(even if not directly written) guided correct interpretation. Essentially, the team used linguistic knowledge as a sanity check: the content must align with plausible Rapa Nui syntax when expanded. Whenever an interpretation seemed to force an unnatural word order, it was reconsidered.</w:t>
      </w:r>
    </w:p>
    <w:p>
      <w:pPr>
        <w:pStyle w:val="BodyText"/>
      </w:pPr>
      <w:r>
        <w:t xml:space="preserve">In conclusion,</w:t>
      </w:r>
      <w:r>
        <w:t xml:space="preserve"> </w:t>
      </w:r>
      <w:r>
        <w:rPr>
          <w:b/>
          <w:bCs/>
        </w:rPr>
        <w:t xml:space="preserve">Rongorongo’s “grammar” is minimalistic and mostly implicit</w:t>
      </w:r>
      <w:r>
        <w:t xml:space="preserve">. It confirms the long-held suspicion that the tablets were a</w:t>
      </w:r>
      <w:r>
        <w:t xml:space="preserve"> </w:t>
      </w:r>
      <w:r>
        <w:rPr>
          <w:b/>
          <w:bCs/>
        </w:rPr>
        <w:t xml:space="preserve">mnemonic script, not a fully developed written language</w:t>
      </w:r>
      <w:hyperlink r:id="rId108">
        <w:r>
          <w:rPr>
            <w:rStyle w:val="Hyperlink"/>
          </w:rPr>
          <w:t xml:space="preserve">[85]</w:t>
        </w:r>
      </w:hyperlink>
      <w:hyperlink r:id="rId92">
        <w:r>
          <w:rPr>
            <w:rStyle w:val="Hyperlink"/>
          </w:rPr>
          <w:t xml:space="preserve">[70]</w:t>
        </w:r>
      </w:hyperlink>
      <w:r>
        <w:t xml:space="preserve">. The decipherment has identified a few genuine grammatical elements (plural marker, genealogical link, punctuation), but for the most part, reading Rongorongo involves supplying the grammar mentally. As one report summarized,</w:t>
      </w:r>
      <w:r>
        <w:t xml:space="preserve"> </w:t>
      </w:r>
      <w:r>
        <w:rPr>
          <w:i/>
          <w:iCs/>
        </w:rPr>
        <w:t xml:space="preserve">“the script’s structure – lacking small grammatical words but rich in content words and repeated motifs – suggests a Polynesian oral-text hybrid”</w:t>
      </w:r>
      <w:hyperlink r:id="rId109">
        <w:r>
          <w:rPr>
            <w:rStyle w:val="Hyperlink"/>
          </w:rPr>
          <w:t xml:space="preserve">[86]</w:t>
        </w:r>
      </w:hyperlink>
      <w:r>
        <w:t xml:space="preserve">. The practical implication is that even with most glyphs deciphered for meaning,</w:t>
      </w:r>
      <w:r>
        <w:t xml:space="preserve"> </w:t>
      </w:r>
      <w:r>
        <w:rPr>
          <w:b/>
          <w:bCs/>
        </w:rPr>
        <w:t xml:space="preserve">translating Rongorongo into flowing sentences is challenging</w:t>
      </w:r>
      <w:hyperlink r:id="rId103">
        <w:r>
          <w:rPr>
            <w:rStyle w:val="Hyperlink"/>
          </w:rPr>
          <w:t xml:space="preserve">[80]</w:t>
        </w:r>
      </w:hyperlink>
      <w:hyperlink r:id="rId76">
        <w:r>
          <w:rPr>
            <w:rStyle w:val="Hyperlink"/>
          </w:rPr>
          <w:t xml:space="preserve">[55]</w:t>
        </w:r>
      </w:hyperlink>
      <w:r>
        <w:t xml:space="preserve">. We can extract the key nouns and verbs of a passage (who did what, to whom, in what context), but we often have to guess at the connecting words. This is why, although we can now</w:t>
      </w:r>
      <w:r>
        <w:t xml:space="preserve"> </w:t>
      </w:r>
      <w:r>
        <w:rPr>
          <w:b/>
          <w:bCs/>
        </w:rPr>
        <w:t xml:space="preserve">understand the gist of Rongorongo texts</w:t>
      </w:r>
      <w:r>
        <w:t xml:space="preserve">, producing a verbatim translation remains elusive. The texts function more like</w:t>
      </w:r>
      <w:r>
        <w:t xml:space="preserve"> </w:t>
      </w:r>
      <w:r>
        <w:rPr>
          <w:b/>
          <w:bCs/>
        </w:rPr>
        <w:t xml:space="preserve">structured lists or outlines</w:t>
      </w:r>
      <w:r>
        <w:t xml:space="preserve"> </w:t>
      </w:r>
      <w:r>
        <w:t xml:space="preserve">than narrative prose. Continuing work in Phase 17 (sense-glossing) is providing line-by-line glosses that attempt to bridge this gap by inserting probable grammatical connections in brackets or as alternate readings</w:t>
      </w:r>
      <w:hyperlink r:id="rId110">
        <w:r>
          <w:rPr>
            <w:rStyle w:val="Hyperlink"/>
          </w:rPr>
          <w:t xml:space="preserve">[87]</w:t>
        </w:r>
      </w:hyperlink>
      <w:r>
        <w:t xml:space="preserve">. These glosses, however, remain informed conjecture – the underlying carved text is succinct to the point of sometimes being ambiguous without context. It’s a reminder that Rongorongo was deeply embedded in a living oral culture:</w:t>
      </w:r>
      <w:r>
        <w:t xml:space="preserve"> </w:t>
      </w:r>
      <w:r>
        <w:rPr>
          <w:i/>
          <w:iCs/>
        </w:rPr>
        <w:t xml:space="preserve">the full story lived in the chanter’s mind; the tablets were a scaffold</w:t>
      </w:r>
      <w:r>
        <w:t xml:space="preserve">. Now that we have the scaffold decoded, the next frontier will be to reconstruct the full sentences and stories, a task akin to translating shorthand notes into a complete narrative.</w:t>
      </w:r>
    </w:p>
    <w:bookmarkEnd w:id="111"/>
    <w:bookmarkStart w:id="121" w:name="remaining-undeciphered-glyphs"/>
    <w:p>
      <w:pPr>
        <w:pStyle w:val="Heading1"/>
      </w:pPr>
      <w:r>
        <w:t xml:space="preserve">Remaining Undeciphered Glyphs</w:t>
      </w:r>
    </w:p>
    <w:p>
      <w:pPr>
        <w:pStyle w:val="FirstParagraph"/>
      </w:pPr>
      <w:r>
        <w:t xml:space="preserve">Despite the significant progress of this decipherment pass,</w:t>
      </w:r>
      <w:r>
        <w:t xml:space="preserve"> </w:t>
      </w:r>
      <w:r>
        <w:rPr>
          <w:b/>
          <w:bCs/>
        </w:rPr>
        <w:t xml:space="preserve">a portion of the Rongorongo script remains undeciphered or only partially understood</w:t>
      </w:r>
      <w:r>
        <w:t xml:space="preserve">. By current estimates, roughly</w:t>
      </w:r>
      <w:r>
        <w:t xml:space="preserve"> </w:t>
      </w:r>
      <w:r>
        <w:rPr>
          <w:i/>
          <w:iCs/>
        </w:rPr>
        <w:t xml:space="preserve">10–15%</w:t>
      </w:r>
      <w:r>
        <w:t xml:space="preserve"> </w:t>
      </w:r>
      <w:r>
        <w:t xml:space="preserve">of the distinct glyph types have not been assigned a confident meaning</w:t>
      </w:r>
      <w:hyperlink r:id="rId50">
        <w:r>
          <w:rPr>
            <w:rStyle w:val="Hyperlink"/>
          </w:rPr>
          <w:t xml:space="preserve">[31]</w:t>
        </w:r>
      </w:hyperlink>
      <w:hyperlink r:id="rId112">
        <w:r>
          <w:rPr>
            <w:rStyle w:val="Hyperlink"/>
          </w:rPr>
          <w:t xml:space="preserve">[88]</w:t>
        </w:r>
      </w:hyperlink>
      <w:r>
        <w:t xml:space="preserve">. These tend to fall into a few categories:</w:t>
      </w:r>
    </w:p>
    <w:p>
      <w:pPr>
        <w:pStyle w:val="BodyText"/>
      </w:pPr>
      <w:r>
        <w:rPr>
          <w:b/>
          <w:bCs/>
        </w:rPr>
        <w:t xml:space="preserve">Rare Glyphs with Low Occurrence:</w:t>
      </w:r>
      <w:r>
        <w:t xml:space="preserve"> </w:t>
      </w:r>
      <w:r>
        <w:t xml:space="preserve">Many of the as-yet undeciphered signs are those that appear only a handful of times (sometimes only once) in the entire corpus. For example, higher-numbered Barthel glyphs like 201, 202, 703, etc., are so scarce that there isn’t enough context to infer their meaning</w:t>
      </w:r>
      <w:hyperlink r:id="rId89">
        <w:r>
          <w:rPr>
            <w:rStyle w:val="Hyperlink"/>
          </w:rPr>
          <w:t xml:space="preserve">[89]</w:t>
        </w:r>
      </w:hyperlink>
      <w:hyperlink r:id="rId89">
        <w:r>
          <w:rPr>
            <w:rStyle w:val="Hyperlink"/>
          </w:rPr>
          <w:t xml:space="preserve">[90]</w:t>
        </w:r>
      </w:hyperlink>
      <w:r>
        <w:t xml:space="preserve">. The master lexicon explicitly lists these with placeholders like</w:t>
      </w:r>
      <w:r>
        <w:t xml:space="preserve"> </w:t>
      </w:r>
      <w:r>
        <w:rPr>
          <w:i/>
          <w:iCs/>
        </w:rPr>
        <w:t xml:space="preserve">“Glyph XXX – awaiting decipherment”</w:t>
      </w:r>
      <w:hyperlink r:id="rId89">
        <w:r>
          <w:rPr>
            <w:rStyle w:val="Hyperlink"/>
          </w:rPr>
          <w:t xml:space="preserve">[89]</w:t>
        </w:r>
      </w:hyperlink>
      <w:r>
        <w:t xml:space="preserve">. With no repetition or clear pattern, it’s extremely difficult to determine what they stand for. They could be very specific terms (like a rare place name, a hapax legomenon in a single chant, or even an error/variant by the carver). Until new evidence arises – for instance, if one of these glyphs is found in a newly discovered tablet, or if some clever statistical guess can be made – these will remain blanks in our understanding. The team has essentially</w:t>
      </w:r>
      <w:r>
        <w:t xml:space="preserve"> </w:t>
      </w:r>
      <w:r>
        <w:rPr>
          <w:i/>
          <w:iCs/>
        </w:rPr>
        <w:t xml:space="preserve">quarantined</w:t>
      </w:r>
      <w:r>
        <w:t xml:space="preserve"> </w:t>
      </w:r>
      <w:r>
        <w:t xml:space="preserve">these rare glyphs, documenting their occurrences and hoping future context might shed light</w:t>
      </w:r>
      <w:hyperlink r:id="rId49">
        <w:r>
          <w:rPr>
            <w:rStyle w:val="Hyperlink"/>
          </w:rPr>
          <w:t xml:space="preserve">[30]</w:t>
        </w:r>
      </w:hyperlink>
      <w:hyperlink r:id="rId113">
        <w:r>
          <w:rPr>
            <w:rStyle w:val="Hyperlink"/>
          </w:rPr>
          <w:t xml:space="preserve">[91]</w:t>
        </w:r>
      </w:hyperlink>
      <w:r>
        <w:t xml:space="preserve">. Some of them might turn out to be</w:t>
      </w:r>
      <w:r>
        <w:t xml:space="preserve"> </w:t>
      </w:r>
      <w:r>
        <w:rPr>
          <w:b/>
          <w:bCs/>
        </w:rPr>
        <w:t xml:space="preserve">variant forms</w:t>
      </w:r>
      <w:r>
        <w:t xml:space="preserve"> </w:t>
      </w:r>
      <w:r>
        <w:t xml:space="preserve">of known glyphs (mis-drawn or stylized), which is another area of active research (Phase 2 variant analysis). If a rare form can be linked to a more common glyph, it can be deciphered by proxy.</w:t>
      </w:r>
    </w:p>
    <w:p>
      <w:pPr>
        <w:pStyle w:val="BodyText"/>
      </w:pPr>
      <w:r>
        <w:rPr>
          <w:b/>
          <w:bCs/>
        </w:rPr>
        <w:t xml:space="preserve">Ambiguous Glyphs and Multiple Hypotheses:</w:t>
      </w:r>
      <w:r>
        <w:t xml:space="preserve"> </w:t>
      </w:r>
      <w:r>
        <w:t xml:space="preserve">A number of glyphs have</w:t>
      </w:r>
      <w:r>
        <w:t xml:space="preserve"> </w:t>
      </w:r>
      <w:r>
        <w:rPr>
          <w:i/>
          <w:iCs/>
        </w:rPr>
        <w:t xml:space="preserve">tentative</w:t>
      </w:r>
      <w:r>
        <w:t xml:space="preserve"> </w:t>
      </w:r>
      <w:r>
        <w:t xml:space="preserve">readings that are not fully confirmed – they carry a meaning in certain contexts but behave unexpectedly in others, leading to multiple hypotheses. For instance,</w:t>
      </w:r>
      <w:r>
        <w:t xml:space="preserve"> </w:t>
      </w:r>
      <w:r>
        <w:rPr>
          <w:b/>
          <w:bCs/>
        </w:rPr>
        <w:t xml:space="preserve">glyph 76</w:t>
      </w:r>
      <w:r>
        <w:t xml:space="preserve">, while largely agreed to mean “begat/offspring link,” sparked debate on its precise nature: is it literally the verb “to have offspring” (implying maybe it could appear in non-genealogical contexts of creation) or is it a grammatical connector like a genitive marker?</w:t>
      </w:r>
      <w:hyperlink r:id="rId114">
        <w:r>
          <w:rPr>
            <w:rStyle w:val="Hyperlink"/>
          </w:rPr>
          <w:t xml:space="preserve">[92]</w:t>
        </w:r>
      </w:hyperlink>
      <w:r>
        <w:t xml:space="preserve">. Scholars argue over nuances: some read it as</w:t>
      </w:r>
      <w:r>
        <w:t xml:space="preserve"> </w:t>
      </w:r>
      <w:r>
        <w:rPr>
          <w:i/>
          <w:iCs/>
        </w:rPr>
        <w:t xml:space="preserve">‘ai</w:t>
      </w:r>
      <w:r>
        <w:t xml:space="preserve"> </w:t>
      </w:r>
      <w:r>
        <w:t xml:space="preserve">(“copulate”) and thus a concrete verb, others as an abstract relational sign meaning “of” or “child of.” Functionally it’s the same link, but such debates highlight the interpretive gray areas. Another example is</w:t>
      </w:r>
      <w:r>
        <w:t xml:space="preserve"> </w:t>
      </w:r>
      <w:r>
        <w:rPr>
          <w:b/>
          <w:bCs/>
        </w:rPr>
        <w:t xml:space="preserve">glyph 62</w:t>
      </w:r>
      <w:r>
        <w:t xml:space="preserve"> </w:t>
      </w:r>
      <w:r>
        <w:t xml:space="preserve">(hypothetical example): say it appears in agricultural lists and could mean either “yam” or “sweet potato.” Without a decisive clue, it might carry a “proposed” status for both. The master lexicon often marks these entries as</w:t>
      </w:r>
      <w:r>
        <w:t xml:space="preserve"> </w:t>
      </w:r>
      <w:r>
        <w:rPr>
          <w:i/>
          <w:iCs/>
        </w:rPr>
        <w:t xml:space="preserve">“ambiguous/polysemic”</w:t>
      </w:r>
      <w:r>
        <w:t xml:space="preserve"> </w:t>
      </w:r>
      <w:r>
        <w:t xml:space="preserve">or</w:t>
      </w:r>
      <w:r>
        <w:t xml:space="preserve"> </w:t>
      </w:r>
      <w:r>
        <w:rPr>
          <w:i/>
          <w:iCs/>
        </w:rPr>
        <w:t xml:space="preserve">“status: proposed”</w:t>
      </w:r>
      <w:hyperlink r:id="rId115">
        <w:r>
          <w:rPr>
            <w:rStyle w:val="Hyperlink"/>
          </w:rPr>
          <w:t xml:space="preserve">[93]</w:t>
        </w:r>
      </w:hyperlink>
      <w:hyperlink r:id="rId116">
        <w:r>
          <w:rPr>
            <w:rStyle w:val="Hyperlink"/>
          </w:rPr>
          <w:t xml:space="preserve">[94]</w:t>
        </w:r>
      </w:hyperlink>
      <w:r>
        <w:t xml:space="preserve">. They have meanings assigned but with lower confidence. It will likely take further cross-validation or perhaps an “aha” moment from external data to resolve these. Such glyphs are effectively</w:t>
      </w:r>
      <w:r>
        <w:t xml:space="preserve"> </w:t>
      </w:r>
      <w:r>
        <w:rPr>
          <w:b/>
          <w:bCs/>
        </w:rPr>
        <w:t xml:space="preserve">partially deciphered</w:t>
      </w:r>
      <w:r>
        <w:t xml:space="preserve"> </w:t>
      </w:r>
      <w:r>
        <w:t xml:space="preserve">– we know the broad semantic field (e.g. glyph X is some kind of plant), but not the exact referent (which plant). The team adheres to an evidence-first doctrine, so they refrain from picking one interpretation until it can be proven</w:t>
      </w:r>
      <w:hyperlink r:id="rId49">
        <w:r>
          <w:rPr>
            <w:rStyle w:val="Hyperlink"/>
          </w:rPr>
          <w:t xml:space="preserve">[30]</w:t>
        </w:r>
      </w:hyperlink>
      <w:r>
        <w:t xml:space="preserve">. Consequently, these glyphs remain on the “undeciphered” list in the sense that their reading isn’t fixed. We might call them</w:t>
      </w:r>
      <w:r>
        <w:t xml:space="preserve"> </w:t>
      </w:r>
      <w:r>
        <w:rPr>
          <w:b/>
          <w:bCs/>
        </w:rPr>
        <w:t xml:space="preserve">open readings</w:t>
      </w:r>
      <w:r>
        <w:t xml:space="preserve"> </w:t>
      </w:r>
      <w:r>
        <w:t xml:space="preserve">awaiting confirmation.</w:t>
      </w:r>
    </w:p>
    <w:p>
      <w:pPr>
        <w:pStyle w:val="BodyText"/>
      </w:pPr>
      <w:r>
        <w:rPr>
          <w:b/>
          <w:bCs/>
        </w:rPr>
        <w:t xml:space="preserve">Unresolved Names and Toponyms:</w:t>
      </w:r>
      <w:r>
        <w:t xml:space="preserve"> </w:t>
      </w:r>
      <w:r>
        <w:t xml:space="preserve">While much of the corpus is now understood in terms of</w:t>
      </w:r>
      <w:r>
        <w:t xml:space="preserve"> </w:t>
      </w:r>
      <w:r>
        <w:rPr>
          <w:i/>
          <w:iCs/>
        </w:rPr>
        <w:t xml:space="preserve">what kind of text</w:t>
      </w:r>
      <w:r>
        <w:t xml:space="preserve"> </w:t>
      </w:r>
      <w:r>
        <w:t xml:space="preserve">it is (genealogy, myth, etc.), the</w:t>
      </w:r>
      <w:r>
        <w:t xml:space="preserve"> </w:t>
      </w:r>
      <w:r>
        <w:rPr>
          <w:b/>
          <w:bCs/>
        </w:rPr>
        <w:t xml:space="preserve">specific proper names</w:t>
      </w:r>
      <w:r>
        <w:t xml:space="preserve"> </w:t>
      </w:r>
      <w:r>
        <w:t xml:space="preserve">within those texts are often still unclear. We know glyph 200 is a title “chief”</w:t>
      </w:r>
      <w:hyperlink r:id="rId43">
        <w:r>
          <w:rPr>
            <w:rStyle w:val="Hyperlink"/>
          </w:rPr>
          <w:t xml:space="preserve">[24]</w:t>
        </w:r>
      </w:hyperlink>
      <w:r>
        <w:t xml:space="preserve">, and glyph 76 links names, but the actual</w:t>
      </w:r>
      <w:r>
        <w:t xml:space="preserve"> </w:t>
      </w:r>
      <w:r>
        <w:rPr>
          <w:b/>
          <w:bCs/>
        </w:rPr>
        <w:t xml:space="preserve">names of persons or places</w:t>
      </w:r>
      <w:r>
        <w:t xml:space="preserve"> </w:t>
      </w:r>
      <w:r>
        <w:t xml:space="preserve">encoded by sequences of glyphs are often not yet identified. For instance, a genealogy might read “Chief So-and-so begat So-and-so” but we cannot confidently sound out “So-and-so.” Without a phonetic component, matching glyph clusters to known names (like</w:t>
      </w:r>
      <w:r>
        <w:t xml:space="preserve"> </w:t>
      </w:r>
      <w:r>
        <w:rPr>
          <w:i/>
          <w:iCs/>
        </w:rPr>
        <w:t xml:space="preserve">Hotu Matu‘a</w:t>
      </w:r>
      <w:r>
        <w:t xml:space="preserve">) is challenging. Researchers attempted a Phase 11</w:t>
      </w:r>
      <w:r>
        <w:t xml:space="preserve"> </w:t>
      </w:r>
      <w:r>
        <w:rPr>
          <w:i/>
          <w:iCs/>
        </w:rPr>
        <w:t xml:space="preserve">Namebank</w:t>
      </w:r>
      <w:r>
        <w:t xml:space="preserve">, scouring repeated name clusters and seeing if any might correspond to lists of Rapa Nui kings or mythic figures. So far, no incontrovertible matches have emerged. There are promising leads – e.g., one name appears at the start of multiple king lists in tablets and might correspond to the primordial chief (</w:t>
      </w:r>
      <w:r>
        <w:rPr>
          <w:i/>
          <w:iCs/>
        </w:rPr>
        <w:t xml:space="preserve">Hotu</w:t>
      </w:r>
      <w:r>
        <w:t xml:space="preserve"> </w:t>
      </w:r>
      <w:r>
        <w:t xml:space="preserve">or</w:t>
      </w:r>
      <w:r>
        <w:t xml:space="preserve"> </w:t>
      </w:r>
      <w:r>
        <w:rPr>
          <w:i/>
          <w:iCs/>
        </w:rPr>
        <w:t xml:space="preserve">Matua</w:t>
      </w:r>
      <w:r>
        <w:t xml:space="preserve">), given its prominence, but this is speculative. The difficulty is that many Rapa Nui personal names have no obvious pictorial glyph that would match (names can be arbitrary). Unless a bilingual clue is found (say, a short text that includes a known name alongside an epithet), personal names might remain the</w:t>
      </w:r>
      <w:r>
        <w:t xml:space="preserve"> </w:t>
      </w:r>
      <w:r>
        <w:rPr>
          <w:b/>
          <w:bCs/>
        </w:rPr>
        <w:t xml:space="preserve">final mystery</w:t>
      </w:r>
      <w:r>
        <w:t xml:space="preserve"> </w:t>
      </w:r>
      <w:r>
        <w:t xml:space="preserve">of Rongorongo. In the meantime, decipherers label recurring unidentified name sequences generically (Name A, Name B) and focus on their roles. It’s possible that with deeper cultural integration (Phase 16), some legendary names can be inferred – for example, if a sequence translates to “Great King Shark” and there’s a legend of a king nicknamed Shark, that could clinch it. But those are circumstantial.</w:t>
      </w:r>
      <w:r>
        <w:t xml:space="preserve"> </w:t>
      </w:r>
      <w:r>
        <w:rPr>
          <w:b/>
          <w:bCs/>
        </w:rPr>
        <w:t xml:space="preserve">No direct “Rosetta” for names has been found</w:t>
      </w:r>
      <w:r>
        <w:t xml:space="preserve">, leaving many name glyphs effectively undeciphered.</w:t>
      </w:r>
    </w:p>
    <w:p>
      <w:pPr>
        <w:pStyle w:val="BodyText"/>
      </w:pPr>
      <w:r>
        <w:rPr>
          <w:b/>
          <w:bCs/>
        </w:rPr>
        <w:t xml:space="preserve">Graphically Complex or Combined Glyphs:</w:t>
      </w:r>
      <w:r>
        <w:t xml:space="preserve"> </w:t>
      </w:r>
      <w:r>
        <w:t xml:space="preserve">Some signs are</w:t>
      </w:r>
      <w:r>
        <w:t xml:space="preserve"> </w:t>
      </w:r>
      <w:r>
        <w:rPr>
          <w:b/>
          <w:bCs/>
        </w:rPr>
        <w:t xml:space="preserve">compound glyphs</w:t>
      </w:r>
      <w:r>
        <w:t xml:space="preserve"> </w:t>
      </w:r>
      <w:r>
        <w:t xml:space="preserve">(ligatures) or very complex in form, which has made decipherment harder. If a glyph is a fusion of two or more others, one needs to split it correctly to read it. The methodology forbids silent collapsing of ligatures</w:t>
      </w:r>
      <w:hyperlink r:id="rId117">
        <w:r>
          <w:rPr>
            <w:rStyle w:val="Hyperlink"/>
          </w:rPr>
          <w:t xml:space="preserve">[95]</w:t>
        </w:r>
      </w:hyperlink>
      <w:r>
        <w:t xml:space="preserve">, but identifying the components is sometimes tricky. A few such compound signs still defy complete analysis – we see the elements but aren’t sure how the meaning combines. For instance, a glyph might have a bird head and a fish body (hypothetically). Does it mean a specific creature (like a mythical hybrid) or is it conveying two concepts at once (bird</w:t>
      </w:r>
      <w:r>
        <w:t xml:space="preserve"> </w:t>
      </w:r>
      <w:r>
        <w:rPr>
          <w:i/>
          <w:iCs/>
        </w:rPr>
        <w:t xml:space="preserve">and</w:t>
      </w:r>
      <w:r>
        <w:t xml:space="preserve"> </w:t>
      </w:r>
      <w:r>
        <w:t xml:space="preserve">fish, perhaps “sky and sea” metaphor)? Until we get a handle on how these composites were used in context, they remain partially read. The lexicon often lists the parts in notes but with a question mark on meaning.</w:t>
      </w:r>
      <w:r>
        <w:t xml:space="preserve"> </w:t>
      </w:r>
      <w:r>
        <w:rPr>
          <w:b/>
          <w:bCs/>
        </w:rPr>
        <w:t xml:space="preserve">Phase 2 (ligature discipline)</w:t>
      </w:r>
      <w:r>
        <w:t xml:space="preserve"> </w:t>
      </w:r>
      <w:r>
        <w:t xml:space="preserve">documented all these, so at least we know which glyphs are composite. Deciphering them might require understanding Rapa Nui metaphors more deeply – maybe a bird-fish composite is a known motif for a god or a concept (just an illustrative guess). These complex glyphs are a small fraction, but they stand out in the texts and beg for explanation.</w:t>
      </w:r>
    </w:p>
    <w:p>
      <w:pPr>
        <w:pStyle w:val="BodyText"/>
      </w:pPr>
      <w:r>
        <w:rPr>
          <w:b/>
          <w:bCs/>
        </w:rPr>
        <w:t xml:space="preserve">Contested Readings and Scholarly Debate:</w:t>
      </w:r>
      <w:r>
        <w:t xml:space="preserve"> </w:t>
      </w:r>
      <w:r>
        <w:t xml:space="preserve">The Rongorongo community of researchers is still debating a few high-profile glyphs and sections. For example, the proper interpretation of the sequence at the end of the Mamari calendar (does it shift to a</w:t>
      </w:r>
      <w:r>
        <w:t xml:space="preserve"> </w:t>
      </w:r>
      <w:r>
        <w:rPr>
          <w:b/>
          <w:bCs/>
        </w:rPr>
        <w:t xml:space="preserve">solar</w:t>
      </w:r>
      <w:r>
        <w:t xml:space="preserve"> </w:t>
      </w:r>
      <w:r>
        <w:t xml:space="preserve">calendar or list something else after the nights?). Some say the last few glyphs on Mamari might enumerate the months or a ritual schedule, but it’s not settled. Similarly, as mentioned, the</w:t>
      </w:r>
      <w:r>
        <w:t xml:space="preserve"> </w:t>
      </w:r>
      <w:r>
        <w:rPr>
          <w:i/>
          <w:iCs/>
        </w:rPr>
        <w:t xml:space="preserve">Santiago Staff</w:t>
      </w:r>
      <w:r>
        <w:t xml:space="preserve"> </w:t>
      </w:r>
      <w:r>
        <w:t xml:space="preserve">content – myth vs. genealogy – is an ongoing debate</w:t>
      </w:r>
      <w:hyperlink r:id="rId81">
        <w:r>
          <w:rPr>
            <w:rStyle w:val="Hyperlink"/>
          </w:rPr>
          <w:t xml:space="preserve">[59]</w:t>
        </w:r>
      </w:hyperlink>
      <w:r>
        <w:t xml:space="preserve">. The text is deciphered in the sense that we can read the glyphs, but</w:t>
      </w:r>
      <w:r>
        <w:t xml:space="preserve"> </w:t>
      </w:r>
      <w:r>
        <w:rPr>
          <w:i/>
          <w:iCs/>
        </w:rPr>
        <w:t xml:space="preserve">what exactly it refers to</w:t>
      </w:r>
      <w:r>
        <w:t xml:space="preserve"> </w:t>
      </w:r>
      <w:r>
        <w:t xml:space="preserve">(divine beings or human kings) is not 100% agreed. That means some glyphs in that text could be re-interpreted if one theory wins out (for instance, a glyph thought to be a god’s name might actually be a place name, etc.). These debates highlight that decipherment is sometimes an iterative process; initial conclusions can be revised.</w:t>
      </w:r>
      <w:r>
        <w:t xml:space="preserve"> </w:t>
      </w:r>
      <w:r>
        <w:rPr>
          <w:b/>
          <w:bCs/>
        </w:rPr>
        <w:t xml:space="preserve">Independent verification</w:t>
      </w:r>
      <w:r>
        <w:t xml:space="preserve"> </w:t>
      </w:r>
      <w:r>
        <w:t xml:space="preserve">by other scholars is underway</w:t>
      </w:r>
      <w:hyperlink r:id="rId118">
        <w:r>
          <w:rPr>
            <w:rStyle w:val="Hyperlink"/>
          </w:rPr>
          <w:t xml:space="preserve">[96]</w:t>
        </w:r>
      </w:hyperlink>
      <w:r>
        <w:t xml:space="preserve">, and it’s expected that a few readings might be challenged and changed. Until consensus stabilizes, one could consider those particular sections as not fully “solved.” The original team acknowledges this:</w:t>
      </w:r>
      <w:r>
        <w:t xml:space="preserve"> </w:t>
      </w:r>
      <w:r>
        <w:rPr>
          <w:i/>
          <w:iCs/>
        </w:rPr>
        <w:t xml:space="preserve">“while the script is largely understood in content, there remain significant gaps and debates… only mostly deciphered, not yet fully solved”</w:t>
      </w:r>
      <w:hyperlink r:id="rId112">
        <w:r>
          <w:rPr>
            <w:rStyle w:val="Hyperlink"/>
          </w:rPr>
          <w:t xml:space="preserve">[88]</w:t>
        </w:r>
      </w:hyperlink>
      <w:r>
        <w:t xml:space="preserve">. They have open-sourced the data to invite fresh eyes, which might crack some of the remaining puzzles.</w:t>
      </w:r>
    </w:p>
    <w:p>
      <w:pPr>
        <w:pStyle w:val="BodyText"/>
      </w:pPr>
      <w:r>
        <w:t xml:space="preserve">In sum,</w:t>
      </w:r>
      <w:r>
        <w:t xml:space="preserve"> </w:t>
      </w:r>
      <w:r>
        <w:rPr>
          <w:b/>
          <w:bCs/>
        </w:rPr>
        <w:t xml:space="preserve">what remains undeciphered in Rongorongo are the tail ends and finer details</w:t>
      </w:r>
      <w:r>
        <w:t xml:space="preserve"> </w:t>
      </w:r>
      <w:r>
        <w:t xml:space="preserve">– the bulk (the major symbols and repeating structures) have yielded to analysis, but those final pieces (rare glyphs, exact proper names, precise grammatical nuance) are still elusive. This situation is not uncommon in script decipherment; for example, even Linear B had a few signs of unknown value for years after the main breakthrough, and Mayan hieroglyphs still have unsolved glyphs despite being generally readable. The good news is that the unknown portion does</w:t>
      </w:r>
      <w:r>
        <w:t xml:space="preserve"> </w:t>
      </w:r>
      <w:r>
        <w:rPr>
          <w:i/>
          <w:iCs/>
        </w:rPr>
        <w:t xml:space="preserve">not</w:t>
      </w:r>
      <w:r>
        <w:t xml:space="preserve"> </w:t>
      </w:r>
      <w:r>
        <w:t xml:space="preserve">appear to hide any entirely new category of information – rather, it’s filling in blanks in an already sketched picture. Every undeciphered glyph is being tracked and studied. As new techniques (perhaps AI pattern recognition or further linguistic insight) are applied, we expect this percentage to shrink. The roadmap to a full translation (Phase 20) includes targeting these stubborn glyphs one by one. If, for instance, a particular undeciphered glyph appears only once in a genealogy, we might never know its exact meaning (maybe a forgotten name). But if it appears in a myth context, comparative mythology might eventually suggest a candidate (perhaps a deity’s name). The</w:t>
      </w:r>
      <w:r>
        <w:t xml:space="preserve"> </w:t>
      </w:r>
      <w:r>
        <w:rPr>
          <w:b/>
          <w:bCs/>
        </w:rPr>
        <w:t xml:space="preserve">collaborative effort</w:t>
      </w:r>
      <w:r>
        <w:t xml:space="preserve"> </w:t>
      </w:r>
      <w:r>
        <w:t xml:space="preserve">is ongoing – conferences and publications are already focusing on the unsolved 15%. Given the momentum of the 2025 breakthrough, many are optimistic that even these remaining enigmas could be resolved in time, bringing Rongorongo from “mostly deciphered” to</w:t>
      </w:r>
      <w:r>
        <w:t xml:space="preserve"> </w:t>
      </w:r>
      <w:r>
        <w:rPr>
          <w:b/>
          <w:bCs/>
        </w:rPr>
        <w:t xml:space="preserve">fully deciphered</w:t>
      </w:r>
      <w:r>
        <w:t xml:space="preserve">. Until then, the research community remains cautious: any reading that isn’t firmly backed by evidence is labeled as unproven, and the mystery of Rongorongo lives on in those final pieces waiting to be understood</w:t>
      </w:r>
      <w:hyperlink r:id="rId119">
        <w:r>
          <w:rPr>
            <w:rStyle w:val="Hyperlink"/>
          </w:rPr>
          <w:t xml:space="preserve">[97]</w:t>
        </w:r>
      </w:hyperlink>
      <w:hyperlink r:id="rId120">
        <w:r>
          <w:rPr>
            <w:rStyle w:val="Hyperlink"/>
          </w:rPr>
          <w:t xml:space="preserve">[98]</w:t>
        </w:r>
      </w:hyperlink>
      <w:r>
        <w:t xml:space="preserve">.</w:t>
      </w:r>
    </w:p>
    <w:bookmarkEnd w:id="121"/>
    <w:bookmarkEnd w:id="122"/>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5">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hyperlink r:id="rId67">
        <w:r>
          <w:rPr>
            <w:rStyle w:val="Hyperlink"/>
          </w:rPr>
          <w:t xml:space="preserve">[46]</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89">
        <w:r>
          <w:rPr>
            <w:rStyle w:val="Hyperlink"/>
          </w:rPr>
          <w:t xml:space="preserve">[89]</w:t>
        </w:r>
      </w:hyperlink>
      <w:r>
        <w:t xml:space="preserve"> </w:t>
      </w:r>
      <w:hyperlink r:id="rId89">
        <w:r>
          <w:rPr>
            <w:rStyle w:val="Hyperlink"/>
          </w:rPr>
          <w:t xml:space="preserve">[90]</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r>
        <w:t xml:space="preserve">rongorongo_lexicon_MASTER_2025-09-25.json</w:t>
      </w:r>
    </w:p>
    <w:p>
      <w:pPr>
        <w:pStyle w:val="BodyText"/>
      </w:pPr>
      <w:hyperlink r:id="rId123">
        <w:r>
          <w:rPr>
            <w:rStyle w:val="Hyperlink"/>
          </w:rPr>
          <w:t xml:space="preserve">file://file-EKFBHRihh6xQJcexArYFzA</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r>
        <w:t xml:space="preserve">Cross-Correlation of Rongorongo Data_ Polynesian Roots vs. Other Influences.pdf</w:t>
      </w:r>
    </w:p>
    <w:p>
      <w:pPr>
        <w:pStyle w:val="BodyText"/>
      </w:pPr>
      <w:hyperlink r:id="rId124">
        <w:r>
          <w:rPr>
            <w:rStyle w:val="Hyperlink"/>
          </w:rPr>
          <w:t xml:space="preserve">file://file-GxE3J2TpELmWvfEKfpgZNb</w:t>
        </w:r>
      </w:hyperlink>
    </w:p>
    <w:p>
      <w:pPr>
        <w:pStyle w:val="BodyText"/>
      </w:pPr>
      <w:hyperlink r:id="rId39">
        <w:r>
          <w:rPr>
            <w:rStyle w:val="Hyperlink"/>
          </w:rPr>
          <w:t xml:space="preserve">[20]</w:t>
        </w:r>
      </w:hyperlink>
      <w:r>
        <w:t xml:space="preserve"> </w:t>
      </w:r>
      <w:hyperlink r:id="rId42">
        <w:r>
          <w:rPr>
            <w:rStyle w:val="Hyperlink"/>
          </w:rPr>
          <w:t xml:space="preserve">[23]</w:t>
        </w:r>
      </w:hyperlink>
      <w:r>
        <w:t xml:space="preserve"> </w:t>
      </w:r>
      <w:hyperlink r:id="rId50">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7">
        <w:r>
          <w:rPr>
            <w:rStyle w:val="Hyperlink"/>
          </w:rPr>
          <w:t xml:space="preserve">[37]</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2">
        <w:r>
          <w:rPr>
            <w:rStyle w:val="Hyperlink"/>
          </w:rPr>
          <w:t xml:space="preserve">[51]</w:t>
        </w:r>
      </w:hyperlink>
      <w:r>
        <w:t xml:space="preserve"> </w:t>
      </w:r>
      <w:hyperlink r:id="rId76">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94">
        <w:r>
          <w:rPr>
            <w:rStyle w:val="Hyperlink"/>
          </w:rPr>
          <w:t xml:space="preserve">[72]</w:t>
        </w:r>
      </w:hyperlink>
      <w:r>
        <w:t xml:space="preserve"> </w:t>
      </w:r>
      <w:hyperlink r:id="rId103">
        <w:r>
          <w:rPr>
            <w:rStyle w:val="Hyperlink"/>
          </w:rPr>
          <w:t xml:space="preserve">[80]</w:t>
        </w:r>
      </w:hyperlink>
      <w:r>
        <w:t xml:space="preserve"> </w:t>
      </w:r>
      <w:hyperlink r:id="rId112">
        <w:r>
          <w:rPr>
            <w:rStyle w:val="Hyperlink"/>
          </w:rPr>
          <w:t xml:space="preserve">[88]</w:t>
        </w:r>
      </w:hyperlink>
      <w:r>
        <w:t xml:space="preserve"> </w:t>
      </w:r>
      <w:hyperlink r:id="rId114">
        <w:r>
          <w:rPr>
            <w:rStyle w:val="Hyperlink"/>
          </w:rPr>
          <w:t xml:space="preserve">[92]</w:t>
        </w:r>
      </w:hyperlink>
      <w:r>
        <w:t xml:space="preserve"> </w:t>
      </w:r>
      <w:hyperlink r:id="rId118">
        <w:r>
          <w:rPr>
            <w:rStyle w:val="Hyperlink"/>
          </w:rPr>
          <w:t xml:space="preserve">[96]</w:t>
        </w:r>
      </w:hyperlink>
      <w:r>
        <w:t xml:space="preserve"> </w:t>
      </w:r>
      <w:hyperlink r:id="rId119">
        <w:r>
          <w:rPr>
            <w:rStyle w:val="Hyperlink"/>
          </w:rPr>
          <w:t xml:space="preserve">[97]</w:t>
        </w:r>
      </w:hyperlink>
      <w:r>
        <w:t xml:space="preserve"> </w:t>
      </w:r>
      <w:hyperlink r:id="rId120">
        <w:r>
          <w:rPr>
            <w:rStyle w:val="Hyperlink"/>
          </w:rPr>
          <w:t xml:space="preserve">[98]</w:t>
        </w:r>
      </w:hyperlink>
      <w:r>
        <w:t xml:space="preserve"> </w:t>
      </w:r>
      <w:r>
        <w:t xml:space="preserve">Rongorongo Script Decipherment Breakthrough (2025)-1.pdf</w:t>
      </w:r>
    </w:p>
    <w:p>
      <w:pPr>
        <w:pStyle w:val="BodyText"/>
      </w:pPr>
      <w:hyperlink r:id="rId125">
        <w:r>
          <w:rPr>
            <w:rStyle w:val="Hyperlink"/>
          </w:rPr>
          <w:t xml:space="preserve">file://file-73NS7DbrjTTD6Rrwzgh3in</w:t>
        </w:r>
      </w:hyperlink>
    </w:p>
    <w:p>
      <w:pPr>
        <w:pStyle w:val="BodyText"/>
      </w:pPr>
      <w:hyperlink r:id="rId49">
        <w:r>
          <w:rPr>
            <w:rStyle w:val="Hyperlink"/>
          </w:rPr>
          <w:t xml:space="preserve">[30]</w:t>
        </w:r>
      </w:hyperlink>
      <w:r>
        <w:t xml:space="preserve"> </w:t>
      </w:r>
      <w:hyperlink r:id="rId93">
        <w:r>
          <w:rPr>
            <w:rStyle w:val="Hyperlink"/>
          </w:rPr>
          <w:t xml:space="preserve">[71]</w:t>
        </w:r>
      </w:hyperlink>
      <w:r>
        <w:t xml:space="preserve"> </w:t>
      </w:r>
      <w:hyperlink r:id="rId110">
        <w:r>
          <w:rPr>
            <w:rStyle w:val="Hyperlink"/>
          </w:rPr>
          <w:t xml:space="preserve">[87]</w:t>
        </w:r>
      </w:hyperlink>
      <w:r>
        <w:t xml:space="preserve"> </w:t>
      </w:r>
      <w:hyperlink r:id="rId113">
        <w:r>
          <w:rPr>
            <w:rStyle w:val="Hyperlink"/>
          </w:rPr>
          <w:t xml:space="preserve">[91]</w:t>
        </w:r>
      </w:hyperlink>
      <w:r>
        <w:t xml:space="preserve"> </w:t>
      </w:r>
      <w:hyperlink r:id="rId117">
        <w:r>
          <w:rPr>
            <w:rStyle w:val="Hyperlink"/>
          </w:rPr>
          <w:t xml:space="preserve">[95]</w:t>
        </w:r>
      </w:hyperlink>
      <w:r>
        <w:t xml:space="preserve"> </w:t>
      </w:r>
      <w:r>
        <w:t xml:space="preserve">methodology_rongorongo_next_pass.md</w:t>
      </w:r>
    </w:p>
    <w:p>
      <w:pPr>
        <w:pStyle w:val="BodyText"/>
      </w:pPr>
      <w:hyperlink r:id="rId126">
        <w:r>
          <w:rPr>
            <w:rStyle w:val="Hyperlink"/>
          </w:rPr>
          <w:t xml:space="preserve">file://file-12sLBPcf7n9FqBUnQaCY3Y</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file://file-12sLBPcf7n9FqBUnQaCY3Y" TargetMode="External" /><Relationship Type="http://schemas.openxmlformats.org/officeDocument/2006/relationships/hyperlink" Id="rId117" Target="file://file-12sLBPcf7n9FqBUnQaCY3Y#:~:text=%28%60run.json%60%29.%20,cues%20are%20constraints%2Ffilters%2C%20not%20targets" TargetMode="External" /><Relationship Type="http://schemas.openxmlformats.org/officeDocument/2006/relationships/hyperlink" Id="rId49" Target="file://file-12sLBPcf7n9FqBUnQaCY3Y#:~:text=%2A%2ACore%20doctrine%3A%2A%2A%20evidence,culture%2Fhistory%2FPolynesian%20influence%20resolve%20the%20rest" TargetMode="External" /><Relationship Type="http://schemas.openxmlformats.org/officeDocument/2006/relationships/hyperlink" Id="rId113" Target="file://file-12sLBPcf7n9FqBUnQaCY3Y#:~:text=,linguistic%20cues%20are%20constraints%2Ffilters%2C%20not" TargetMode="External" /><Relationship Type="http://schemas.openxmlformats.org/officeDocument/2006/relationships/hyperlink" Id="rId110" Target="file://file-12sLBPcf7n9FqBUnQaCY3Y#:~:text=Phase%2017%20%E2%80%94%20Synthesis%20%26,not%20full%20translations" TargetMode="External" /><Relationship Type="http://schemas.openxmlformats.org/officeDocument/2006/relationships/hyperlink" Id="rId93" Target="file://file-12sLBPcf7n9FqBUnQaCY3Y#:~:text=context" TargetMode="External" /><Relationship Type="http://schemas.openxmlformats.org/officeDocument/2006/relationships/hyperlink" Id="rId125" Target="file://file-73NS7DbrjTTD6Rrwzgh3in" TargetMode="External" /><Relationship Type="http://schemas.openxmlformats.org/officeDocument/2006/relationships/hyperlink" Id="rId114" Target="file://file-73NS7DbrjTTD6Rrwzgh3in#:~:text=Contested%20%20Glyph%20%20Interpretations%3A,Steven%20Fischer%20argued%20it%E2%80%99s" TargetMode="External" /><Relationship Type="http://schemas.openxmlformats.org/officeDocument/2006/relationships/hyperlink" Id="rId60" Target="file://file-73NS7DbrjTTD6Rrwzgh3in#:~:text=Cosmogonic%20Chants%20and%20Mythic%20Sequences%3A,where%20%20each%20%20verse" TargetMode="External" /><Relationship Type="http://schemas.openxmlformats.org/officeDocument/2006/relationships/hyperlink" Id="rId103" Target="file://file-73NS7DbrjTTD6Rrwzgh3in#:~:text=Grammatical%20and%20Syntactic%20Uncertainty%3A%20Even,This%20makes%20converting%20the" TargetMode="External" /><Relationship Type="http://schemas.openxmlformats.org/officeDocument/2006/relationships/hyperlink" Id="rId112" Target="file://file-73NS7DbrjTTD6Rrwzgh3in#:~:text=In%20%20summary%2C%20%20while,solution%20to%20100" TargetMode="External" /><Relationship Type="http://schemas.openxmlformats.org/officeDocument/2006/relationships/hyperlink" Id="rId52" Target="file://file-73NS7DbrjTTD6Rrwzgh3in#:~:text=Parallel%20Texts%20,ago%20%20and%20%20now" TargetMode="External" /><Relationship Type="http://schemas.openxmlformats.org/officeDocument/2006/relationships/hyperlink" Id="rId72" Target="file://file-73NS7DbrjTTD6Rrwzgh3in#:~:text=Polynesian%20%20creation%20%20chant,While%20%20the" TargetMode="External" /><Relationship Type="http://schemas.openxmlformats.org/officeDocument/2006/relationships/hyperlink" Id="rId80" Target="file://file-73NS7DbrjTTD6Rrwzgh3in#:~:text=Polynesian%20%20creation%20%20chant,on%20the%20Staff%20appear%20to" TargetMode="External" /><Relationship Type="http://schemas.openxmlformats.org/officeDocument/2006/relationships/hyperlink" Id="rId120" Target="file://file-73NS7DbrjTTD6Rrwzgh3in#:~:text=Still%2C%20%20the%20work%20is,aligns%20with%20Rapa%20Nui%E2%80%99s%20oral" TargetMode="External" /><Relationship Type="http://schemas.openxmlformats.org/officeDocument/2006/relationships/hyperlink" Id="rId118" Target="file://file-73NS7DbrjTTD6Rrwzgh3in#:~:text=Verification%20and%20Peer%20Review%3A%20As,team%20%20is%20%20optimistic" TargetMode="External" /><Relationship Type="http://schemas.openxmlformats.org/officeDocument/2006/relationships/hyperlink" Id="rId53" Target="file://file-73NS7DbrjTTD6Rrwzgh3in#:~:text=comparison%20,Such" TargetMode="External" /><Relationship Type="http://schemas.openxmlformats.org/officeDocument/2006/relationships/hyperlink" Id="rId79" Target="file://file-73NS7DbrjTTD6Rrwzgh3in#:~:text=concerns%20the%20%20Santiago%20Staff%E2%80%99s,or%20match%20known%20king" TargetMode="External" /><Relationship Type="http://schemas.openxmlformats.org/officeDocument/2006/relationships/hyperlink" Id="rId59" Target="file://file-73NS7DbrjTTD6Rrwzgh3in#:~:text=creation%20chant%3A%20it%20is%20divided,a%20bird%20glyph%20followed%20by" TargetMode="External" /><Relationship Type="http://schemas.openxmlformats.org/officeDocument/2006/relationships/hyperlink" Id="rId81" Target="file://file-73NS7DbrjTTD6Rrwzgh3in#:~:text=debate%20the%20nuance%2C%20%20though,for%20instance%2C%20by%20checking%20if" TargetMode="External" /><Relationship Type="http://schemas.openxmlformats.org/officeDocument/2006/relationships/hyperlink" Id="rId78" Target="file://file-73NS7DbrjTTD6Rrwzgh3in#:~:text=decoded%2C%20%20and%20%20several,of%20the%20Rapa%20Nui%20people" TargetMode="External" /><Relationship Type="http://schemas.openxmlformats.org/officeDocument/2006/relationships/hyperlink" Id="rId76" Target="file://file-73NS7DbrjTTD6Rrwzgh3in#:~:text=do%20not%20know%20how%20sentences,out%20sentence" TargetMode="External" /><Relationship Type="http://schemas.openxmlformats.org/officeDocument/2006/relationships/hyperlink" Id="rId42" Target="file://file-73NS7DbrjTTD6Rrwzgh3in#:~:text=full%20moon%20led%20to%20identifying,glyph%20sequences%2C%20researchers%20could%20guess" TargetMode="External" /><Relationship Type="http://schemas.openxmlformats.org/officeDocument/2006/relationships/hyperlink" Id="rId57" Target="file://file-73NS7DbrjTTD6Rrwzgh3in#:~:text=groups%20for%20the%2030%20nights,this%20%E2%80%9CRosetta%20Stone%E2%80%9D%20fragment" TargetMode="External" /><Relationship Type="http://schemas.openxmlformats.org/officeDocument/2006/relationships/hyperlink" Id="rId54" Target="file://file-73NS7DbrjTTD6Rrwzgh3in#:~:text=identified%20one%20segment%20with%20confidence%3A,essentially%20unreadable%20as%20language" TargetMode="External" /><Relationship Type="http://schemas.openxmlformats.org/officeDocument/2006/relationships/hyperlink" Id="rId62" Target="file://file-73NS7DbrjTTD6Rrwzgh3in#:~:text=lore,phrases%20found%20elsewhere%20in%20the" TargetMode="External" /><Relationship Type="http://schemas.openxmlformats.org/officeDocument/2006/relationships/hyperlink" Id="rId39" Target="file://file-73NS7DbrjTTD6Rrwzgh3in#:~:text=matching%20the%20glyphs,glyph%20sequences%2C%20researchers%20could%20guess" TargetMode="External" /><Relationship Type="http://schemas.openxmlformats.org/officeDocument/2006/relationships/hyperlink" Id="rId94" Target="file://file-73NS7DbrjTTD6Rrwzgh3in#:~:text=meaning%20.%20The%20once,cultural%20context%20at%20every%20step" TargetMode="External" /><Relationship Type="http://schemas.openxmlformats.org/officeDocument/2006/relationships/hyperlink" Id="rId68" Target="file://file-73NS7DbrjTTD6Rrwzgh3in#:~:text=mythical%20%20or%20%20historical,wood%20to%20aid%20memorization" TargetMode="External" /><Relationship Type="http://schemas.openxmlformats.org/officeDocument/2006/relationships/hyperlink" Id="rId69" Target="file://file-73NS7DbrjTTD6Rrwzgh3in#:~:text=prayer%20%20or%20%20chant,wood%20to%20aid%20memorization" TargetMode="External" /><Relationship Type="http://schemas.openxmlformats.org/officeDocument/2006/relationships/hyperlink" Id="rId61" Target="file://file-73NS7DbrjTTD6Rrwzgh3in#:~:text=producing%20the%20next%20elements%20of,Staff%E2%80%99s%20%20text%20%20might" TargetMode="External" /><Relationship Type="http://schemas.openxmlformats.org/officeDocument/2006/relationships/hyperlink" Id="rId50" Target="file://file-73NS7DbrjTTD6Rrwzgh3in#:~:text=researchers%20%20report%20%20that,of%20the%20Rapa%20Nui%20people" TargetMode="External" /><Relationship Type="http://schemas.openxmlformats.org/officeDocument/2006/relationships/hyperlink" Id="rId63" Target="file://file-73NS7DbrjTTD6Rrwzgh3in#:~:text=tablet%20can%20be%20cross,Such" TargetMode="External" /><Relationship Type="http://schemas.openxmlformats.org/officeDocument/2006/relationships/hyperlink" Id="rId82" Target="file://file-73NS7DbrjTTD6Rrwzgh3in#:~:text=the%20abundance%20of%20%E2%80%9Coffspring%E2%80%9D%20markers,a%20single%20definitive%20reading" TargetMode="External" /><Relationship Type="http://schemas.openxmlformats.org/officeDocument/2006/relationships/hyperlink" Id="rId119" Target="file://file-73NS7DbrjTTD6Rrwzgh3in#:~:text=understood%20in%20content%20%E2%80%93%20there,solution%20to%20100" TargetMode="External" /><Relationship Type="http://schemas.openxmlformats.org/officeDocument/2006/relationships/hyperlink" Id="rId123" Target="file://file-EKFBHRihh6xQJcexArYFzA" TargetMode="External" /><Relationship Type="http://schemas.openxmlformats.org/officeDocument/2006/relationships/hyperlink" Id="rId44" Target="file://file-EKFBHRihh6xQJcexArYFzA#:~:text=%22High,ariki%20henua%29%20supreme%20authority" TargetMode="External" /><Relationship Type="http://schemas.openxmlformats.org/officeDocument/2006/relationships/hyperlink" Id="rId25" Target="file://file-EKFBHRihh6xQJcexArYFzA#:~:text=%22Multi,as%20plural%20or%20collective%20marker" TargetMode="External" /><Relationship Type="http://schemas.openxmlformats.org/officeDocument/2006/relationships/hyperlink" Id="rId85" Target="file://file-EKFBHRihh6xQJcexArYFzA#:~:text=%22notes%22%3A%20%5B%20%22Boat," TargetMode="External" /><Relationship Type="http://schemas.openxmlformats.org/officeDocument/2006/relationships/hyperlink" Id="rId89" Target="file://file-EKFBHRihh6xQJcexArYFzA#:~:text=," TargetMode="External" /><Relationship Type="http://schemas.openxmlformats.org/officeDocument/2006/relationships/hyperlink" Id="rId21" Target="file://file-EKFBHRihh6xQJcexArYFzA#:~:text=,%5D" TargetMode="External" /><Relationship Type="http://schemas.openxmlformats.org/officeDocument/2006/relationships/hyperlink" Id="rId102" Target="file://file-EKFBHRihh6xQJcexArYFzA#:~:text=,Appears%20at%20clause" TargetMode="External" /><Relationship Type="http://schemas.openxmlformats.org/officeDocument/2006/relationships/hyperlink" Id="rId48" Target="file://file-EKFBHRihh6xQJcexArYFzA#:~:text=,Basic%20anthropomorphic%20figure" TargetMode="External" /><Relationship Type="http://schemas.openxmlformats.org/officeDocument/2006/relationships/hyperlink" Id="rId100" Target="file://file-EKFBHRihh6xQJcexArYFzA#:~:text=,Confirmed%20as%20pluralizing%20affix%20when" TargetMode="External" /><Relationship Type="http://schemas.openxmlformats.org/officeDocument/2006/relationships/hyperlink" Id="rId23" Target="file://file-EKFBHRihh6xQJcexArYFzA#:~:text=,Mamari" TargetMode="External" /><Relationship Type="http://schemas.openxmlformats.org/officeDocument/2006/relationships/hyperlink" Id="rId90" Target="file://file-EKFBHRihh6xQJcexArYFzA#:~:text=,Meaning" TargetMode="External" /><Relationship Type="http://schemas.openxmlformats.org/officeDocument/2006/relationships/hyperlink" Id="rId41" Target="file://file-EKFBHRihh6xQJcexArYFzA#:~:text=,Meaning%20determined%20by%20textual%20context" TargetMode="External" /><Relationship Type="http://schemas.openxmlformats.org/officeDocument/2006/relationships/hyperlink" Id="rId47" Target="file://file-EKFBHRihh6xQJcexArYFzA#:~:text=,Universal%20royal%2Fchief%20concept" TargetMode="External" /><Relationship Type="http://schemas.openxmlformats.org/officeDocument/2006/relationships/hyperlink" Id="rId115" Target="file://file-EKFBHRihh6xQJcexArYFzA#:~:text=,ariki" TargetMode="External" /><Relationship Type="http://schemas.openxmlformats.org/officeDocument/2006/relationships/hyperlink" Id="rId43" Target="file://file-EKFBHRihh6xQJcexArYFzA#:~:text=,ariki%20henua" TargetMode="External" /><Relationship Type="http://schemas.openxmlformats.org/officeDocument/2006/relationships/hyperlink" Id="rId30" Target="file://file-EKFBHRihh6xQJcexArYFzA#:~:text=,begat%20%28genealogy" TargetMode="External" /><Relationship Type="http://schemas.openxmlformats.org/officeDocument/2006/relationships/hyperlink" Id="rId87" Target="file://file-EKFBHRihh6xQJcexArYFzA#:~:text=,complete" TargetMode="External" /><Relationship Type="http://schemas.openxmlformats.org/officeDocument/2006/relationships/hyperlink" Id="rId37" Target="file://file-EKFBHRihh6xQJcexArYFzA#:~:text=,complete%27%20%28oti%29%20finished%20state" TargetMode="External" /><Relationship Type="http://schemas.openxmlformats.org/officeDocument/2006/relationships/hyperlink" Id="rId28" Target="file://file-EKFBHRihh6xQJcexArYFzA#:~:text=,copulate%2Fprocreate" TargetMode="External" /><Relationship Type="http://schemas.openxmlformats.org/officeDocument/2006/relationships/hyperlink" Id="rId116" Target="file://file-EKFBHRihh6xQJcexArYFzA#:~:text=,descendant%20%28poki" TargetMode="External" /><Relationship Type="http://schemas.openxmlformats.org/officeDocument/2006/relationships/hyperlink" Id="rId40" Target="file://file-EKFBHRihh6xQJcexArYFzA#:~:text=,fish%2C%20victim%2C%20sacrifice" TargetMode="External" /><Relationship Type="http://schemas.openxmlformats.org/officeDocument/2006/relationships/hyperlink" Id="rId33" Target="file://file-EKFBHRihh6xQJcexArYFzA#:~:text=,genealogical" TargetMode="External" /><Relationship Type="http://schemas.openxmlformats.org/officeDocument/2006/relationships/hyperlink" Id="rId36" Target="file://file-EKFBHRihh6xQJcexArYFzA#:~:text=,in%20lunar%20calendar" TargetMode="External" /><Relationship Type="http://schemas.openxmlformats.org/officeDocument/2006/relationships/hyperlink" Id="rId38" Target="file://file-EKFBHRihh6xQJcexArYFzA#:~:text=,katoa" TargetMode="External" /><Relationship Type="http://schemas.openxmlformats.org/officeDocument/2006/relationships/hyperlink" Id="rId99" Target="file://file-EKFBHRihh6xQJcexArYFzA#:~:text=,linguistic%20parallel%20to%20plural%20determinatives" TargetMode="External" /><Relationship Type="http://schemas.openxmlformats.org/officeDocument/2006/relationships/hyperlink" Id="rId88" Target="file://file-EKFBHRihh6xQJcexArYFzA#:~:text=,lunar" TargetMode="External" /><Relationship Type="http://schemas.openxmlformats.org/officeDocument/2006/relationships/hyperlink" Id="rId56" Target="file://file-EKFBHRihh6xQJcexArYFzA#:~:text=,lunar%20representation%3B%20generic%20lunar%20sign"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86" Target="file://file-EKFBHRihh6xQJcexArYFzA#:~:text=,name%20of%20a%20lunar%20night" TargetMode="External" /><Relationship Type="http://schemas.openxmlformats.org/officeDocument/2006/relationships/hyperlink" Id="rId22" Target="file://file-EKFBHRihh6xQJcexArYFzA#:~:text=,person%2C%20human" TargetMode="External" /><Relationship Type="http://schemas.openxmlformats.org/officeDocument/2006/relationships/hyperlink" Id="rId101" Target="file://file-EKFBHRihh6xQJcexArYFzA#:~:text=,procreate%27%20%28fanau%29%20reproductive%20action" TargetMode="External" /><Relationship Type="http://schemas.openxmlformats.org/officeDocument/2006/relationships/hyperlink" Id="rId31" Target="file://file-EKFBHRihh6xQJcexArYFzA#:~:text=,procreate%3B%20%27ai%27%20or%20%27fanau" TargetMode="External" /><Relationship Type="http://schemas.openxmlformats.org/officeDocument/2006/relationships/hyperlink" Id="rId84" Target="file://file-EKFBHRihh6xQJcexArYFzA#:~:text=,read%20as%20%27poki%27%20by%20Metoro" TargetMode="External" /><Relationship Type="http://schemas.openxmlformats.org/officeDocument/2006/relationships/hyperlink" Id="rId29" Target="file://file-EKFBHRihh6xQJcexArYFzA#:~:text=,sex" TargetMode="External" /><Relationship Type="http://schemas.openxmlformats.org/officeDocument/2006/relationships/hyperlink" Id="rId32" Target="file://file-EKFBHRihh6xQJcexArYFzA#:~:text=,son%20of" TargetMode="External" /><Relationship Type="http://schemas.openxmlformats.org/officeDocument/2006/relationships/hyperlink" Id="rId55" Target="file://file-EKFBHRihh6xQJcexArYFzA#:~:text=,stage%20of%20waning%20gibbous" TargetMode="External" /><Relationship Type="http://schemas.openxmlformats.org/officeDocument/2006/relationships/hyperlink" Id="rId35" Target="file://file-EKFBHRihh6xQJcexArYFzA#:~:text=,the%20Oven%20in%20the%20Sky" TargetMode="External" /><Relationship Type="http://schemas.openxmlformats.org/officeDocument/2006/relationships/hyperlink" Id="rId67" Target="file://file-EKFBHRihh6xQJcexArYFzA#:~:text=,to%20mark%20breaks%20in%20text" TargetMode="External" /><Relationship Type="http://schemas.openxmlformats.org/officeDocument/2006/relationships/hyperlink" Id="rId58" Target="file://file-EKFBHRihh6xQJcexArYFzA#:~:text=and%20the%20cuneiform%20sign%20%27ITU%27,shaped%20glyph%20denoting%20the" TargetMode="External" /><Relationship Type="http://schemas.openxmlformats.org/officeDocument/2006/relationships/hyperlink" Id="rId83" Target="file://file-EKFBHRihh6xQJcexArYFzA#:~:text=historical%20informant%20Metoro.,poki" TargetMode="External" /><Relationship Type="http://schemas.openxmlformats.org/officeDocument/2006/relationships/hyperlink" Id="rId26" Target="file://file-EKFBHRihh6xQJcexArYFzA#:~:text=marker%27,hand%2C%20action%20verbs%20take%2Fgrasp%2C%20and" TargetMode="External" /><Relationship Type="http://schemas.openxmlformats.org/officeDocument/2006/relationships/hyperlink" Id="rId34" Target="file://file-EKFBHRihh6xQJcexArYFzA#:~:text=sexual%20meanings%3A%20%27copulate%27%20,Updated%20interpretation%2C%20status%3A%20confirmed" TargetMode="External" /><Relationship Type="http://schemas.openxmlformats.org/officeDocument/2006/relationships/hyperlink" Id="rId46" Target="file://file-EKFBHRihh6xQJcexArYFzA#:~:text=title%2Fstatus%20marker.,status" TargetMode="External" /><Relationship Type="http://schemas.openxmlformats.org/officeDocument/2006/relationships/hyperlink" Id="rId124" Target="file://file-GxE3J2TpELmWvfEKfpgZNb" TargetMode="External" /><Relationship Type="http://schemas.openxmlformats.org/officeDocument/2006/relationships/hyperlink" Id="rId66" Target="file://file-GxE3J2TpELmWvfEKfpgZNb#:~:text=%E2%80%93%20lacking%20small%20%20grammatical,a%20direct%20script%20of%20spoken" TargetMode="External" /><Relationship Type="http://schemas.openxmlformats.org/officeDocument/2006/relationships/hyperlink" Id="rId106" Target="file://file-GxE3J2TpELmWvfEKfpgZNb#:~:text=,In%20short" TargetMode="External" /><Relationship Type="http://schemas.openxmlformats.org/officeDocument/2006/relationships/hyperlink" Id="rId97" Target="file://file-GxE3J2TpELmWvfEKfpgZNb#:~:text=1950s%20statistical%20study%20found%20,The%20reader" TargetMode="External" /><Relationship Type="http://schemas.openxmlformats.org/officeDocument/2006/relationships/hyperlink" Id="rId27" Target="file://file-GxE3J2TpELmWvfEKfpgZNb#:~:text=Fischer%E2%80%99s%20exact%20interpretation%20is%20debated,by%20attaching%20to%20nouns" TargetMode="External" /><Relationship Type="http://schemas.openxmlformats.org/officeDocument/2006/relationships/hyperlink" Id="rId71" Target="file://file-GxE3J2TpELmWvfEKfpgZNb#:~:text=Polynesian%20%20Oral%20%20Formulae%3A,like%20%E2%80%9CX" TargetMode="External" /><Relationship Type="http://schemas.openxmlformats.org/officeDocument/2006/relationships/hyperlink" Id="rId96" Target="file://file-GxE3J2TpELmWvfEKfpgZNb#:~:text=Rapa%20Nui%20,or%20it%20was%20written%20in" TargetMode="External" /><Relationship Type="http://schemas.openxmlformats.org/officeDocument/2006/relationships/hyperlink" Id="rId109" Target="file://file-GxE3J2TpELmWvfEKfpgZNb#:~:text=a%20glyph%20indicating%20plurality%20or,that%20were%20composed%20in%20the" TargetMode="External" /><Relationship Type="http://schemas.openxmlformats.org/officeDocument/2006/relationships/hyperlink" Id="rId105" Target="file://file-GxE3J2TpELmWvfEKfpgZNb#:~:text=attaching%20to%20nouns" TargetMode="External" /><Relationship Type="http://schemas.openxmlformats.org/officeDocument/2006/relationships/hyperlink" Id="rId24" Target="file://file-GxE3J2TpELmWvfEKfpgZNb#:~:text=forms%20%20and%20%20Polynesian,correlation%20overwhelmingly%20supports" TargetMode="External" /><Relationship Type="http://schemas.openxmlformats.org/officeDocument/2006/relationships/hyperlink" Id="rId107" Target="file://file-GxE3J2TpELmWvfEKfpgZNb#:~:text=glyph%20that%20the%20lexicon%20indicates,by%20attaching%20to%20nouns" TargetMode="External" /><Relationship Type="http://schemas.openxmlformats.org/officeDocument/2006/relationships/hyperlink" Id="rId73" Target="file://file-GxE3J2TpELmWvfEKfpgZNb#:~:text=imagery%20%20are%20%20Polynesian%2C,elements%20%2C%20%20even%20if" TargetMode="External" /><Relationship Type="http://schemas.openxmlformats.org/officeDocument/2006/relationships/hyperlink" Id="rId75" Target="file://file-GxE3J2TpELmWvfEKfpgZNb#:~:text=know%20the%20%20text%E2%80%9D%20or,than%20a%20literal%20script" TargetMode="External" /><Relationship Type="http://schemas.openxmlformats.org/officeDocument/2006/relationships/hyperlink" Id="rId108" Target="file://file-GxE3J2TpELmWvfEKfpgZNb#:~:text=latter%3A%20%20Rongorongo%20is%20highly,Nui%20%20elders%20%20that" TargetMode="External" /><Relationship Type="http://schemas.openxmlformats.org/officeDocument/2006/relationships/hyperlink" Id="rId65" Target="file://file-GxE3J2TpELmWvfEKfpgZNb#:~:text=likely%20stand%20for%20key%20words%2C,the%20glyphs%20as%20memory%20prompts" TargetMode="External" /><Relationship Type="http://schemas.openxmlformats.org/officeDocument/2006/relationships/hyperlink" Id="rId70" Target="file://file-GxE3J2TpELmWvfEKfpgZNb#:~:text=rarity,This%20led" TargetMode="External" /><Relationship Type="http://schemas.openxmlformats.org/officeDocument/2006/relationships/hyperlink" Id="rId98" Target="file://file-GxE3J2TpELmWvfEKfpgZNb#:~:text=sentences%20,tablets%20%20probably%20%20record" TargetMode="External" /><Relationship Type="http://schemas.openxmlformats.org/officeDocument/2006/relationships/hyperlink" Id="rId104" Target="file://file-GxE3J2TpELmWvfEKfpgZNb#:~:text=spoken%20Rapa%20Nui%2C%20but%20rather,the%20glyphs%20as%20memory%20prompts" TargetMode="External" /><Relationship Type="http://schemas.openxmlformats.org/officeDocument/2006/relationships/hyperlink" Id="rId92" Target="file://file-GxE3J2TpELmWvfEKfpgZNb#:~:text=tablets%20%20probably%20%20record,than%20a%20literal%20script" TargetMode="External" /><Relationship Type="http://schemas.openxmlformats.org/officeDocument/2006/relationships/hyperlink" Id="rId91" Target="file://file-GxE3J2TpELmWvfEKfpgZNb#:~:text=these%20particles%2C%20which%20would%20be,In%20%20essence%2C%20%20the" TargetMode="External" /><Relationship Type="http://schemas.openxmlformats.org/officeDocument/2006/relationships/hyperlink" Id="rId74" Target="file://file-GxE3J2TpELmWvfEKfpgZNb#:~:text=with%20Polynesian%20oral%20traditions%2C%20where,the%20glyphs%20as%20memory%20prompts" TargetMode="External" /></Relationships>
</file>

<file path=word/_rels/footnotes.xml.rels><?xml version="1.0" encoding="UTF-8"?><Relationships xmlns="http://schemas.openxmlformats.org/package/2006/relationships"><Relationship Type="http://schemas.openxmlformats.org/officeDocument/2006/relationships/hyperlink" Id="rId126" Target="file://file-12sLBPcf7n9FqBUnQaCY3Y" TargetMode="External" /><Relationship Type="http://schemas.openxmlformats.org/officeDocument/2006/relationships/hyperlink" Id="rId117" Target="file://file-12sLBPcf7n9FqBUnQaCY3Y#:~:text=%28%60run.json%60%29.%20,cues%20are%20constraints%2Ffilters%2C%20not%20targets" TargetMode="External" /><Relationship Type="http://schemas.openxmlformats.org/officeDocument/2006/relationships/hyperlink" Id="rId49" Target="file://file-12sLBPcf7n9FqBUnQaCY3Y#:~:text=%2A%2ACore%20doctrine%3A%2A%2A%20evidence,culture%2Fhistory%2FPolynesian%20influence%20resolve%20the%20rest" TargetMode="External" /><Relationship Type="http://schemas.openxmlformats.org/officeDocument/2006/relationships/hyperlink" Id="rId113" Target="file://file-12sLBPcf7n9FqBUnQaCY3Y#:~:text=,linguistic%20cues%20are%20constraints%2Ffilters%2C%20not" TargetMode="External" /><Relationship Type="http://schemas.openxmlformats.org/officeDocument/2006/relationships/hyperlink" Id="rId110" Target="file://file-12sLBPcf7n9FqBUnQaCY3Y#:~:text=Phase%2017%20%E2%80%94%20Synthesis%20%26,not%20full%20translations" TargetMode="External" /><Relationship Type="http://schemas.openxmlformats.org/officeDocument/2006/relationships/hyperlink" Id="rId93" Target="file://file-12sLBPcf7n9FqBUnQaCY3Y#:~:text=context" TargetMode="External" /><Relationship Type="http://schemas.openxmlformats.org/officeDocument/2006/relationships/hyperlink" Id="rId125" Target="file://file-73NS7DbrjTTD6Rrwzgh3in" TargetMode="External" /><Relationship Type="http://schemas.openxmlformats.org/officeDocument/2006/relationships/hyperlink" Id="rId114" Target="file://file-73NS7DbrjTTD6Rrwzgh3in#:~:text=Contested%20%20Glyph%20%20Interpretations%3A,Steven%20Fischer%20argued%20it%E2%80%99s" TargetMode="External" /><Relationship Type="http://schemas.openxmlformats.org/officeDocument/2006/relationships/hyperlink" Id="rId60" Target="file://file-73NS7DbrjTTD6Rrwzgh3in#:~:text=Cosmogonic%20Chants%20and%20Mythic%20Sequences%3A,where%20%20each%20%20verse" TargetMode="External" /><Relationship Type="http://schemas.openxmlformats.org/officeDocument/2006/relationships/hyperlink" Id="rId103" Target="file://file-73NS7DbrjTTD6Rrwzgh3in#:~:text=Grammatical%20and%20Syntactic%20Uncertainty%3A%20Even,This%20makes%20converting%20the" TargetMode="External" /><Relationship Type="http://schemas.openxmlformats.org/officeDocument/2006/relationships/hyperlink" Id="rId112" Target="file://file-73NS7DbrjTTD6Rrwzgh3in#:~:text=In%20%20summary%2C%20%20while,solution%20to%20100" TargetMode="External" /><Relationship Type="http://schemas.openxmlformats.org/officeDocument/2006/relationships/hyperlink" Id="rId52" Target="file://file-73NS7DbrjTTD6Rrwzgh3in#:~:text=Parallel%20Texts%20,ago%20%20and%20%20now" TargetMode="External" /><Relationship Type="http://schemas.openxmlformats.org/officeDocument/2006/relationships/hyperlink" Id="rId72" Target="file://file-73NS7DbrjTTD6Rrwzgh3in#:~:text=Polynesian%20%20creation%20%20chant,While%20%20the" TargetMode="External" /><Relationship Type="http://schemas.openxmlformats.org/officeDocument/2006/relationships/hyperlink" Id="rId80" Target="file://file-73NS7DbrjTTD6Rrwzgh3in#:~:text=Polynesian%20%20creation%20%20chant,on%20the%20Staff%20appear%20to" TargetMode="External" /><Relationship Type="http://schemas.openxmlformats.org/officeDocument/2006/relationships/hyperlink" Id="rId120" Target="file://file-73NS7DbrjTTD6Rrwzgh3in#:~:text=Still%2C%20%20the%20work%20is,aligns%20with%20Rapa%20Nui%E2%80%99s%20oral" TargetMode="External" /><Relationship Type="http://schemas.openxmlformats.org/officeDocument/2006/relationships/hyperlink" Id="rId118" Target="file://file-73NS7DbrjTTD6Rrwzgh3in#:~:text=Verification%20and%20Peer%20Review%3A%20As,team%20%20is%20%20optimistic" TargetMode="External" /><Relationship Type="http://schemas.openxmlformats.org/officeDocument/2006/relationships/hyperlink" Id="rId53" Target="file://file-73NS7DbrjTTD6Rrwzgh3in#:~:text=comparison%20,Such" TargetMode="External" /><Relationship Type="http://schemas.openxmlformats.org/officeDocument/2006/relationships/hyperlink" Id="rId79" Target="file://file-73NS7DbrjTTD6Rrwzgh3in#:~:text=concerns%20the%20%20Santiago%20Staff%E2%80%99s,or%20match%20known%20king" TargetMode="External" /><Relationship Type="http://schemas.openxmlformats.org/officeDocument/2006/relationships/hyperlink" Id="rId59" Target="file://file-73NS7DbrjTTD6Rrwzgh3in#:~:text=creation%20chant%3A%20it%20is%20divided,a%20bird%20glyph%20followed%20by" TargetMode="External" /><Relationship Type="http://schemas.openxmlformats.org/officeDocument/2006/relationships/hyperlink" Id="rId81" Target="file://file-73NS7DbrjTTD6Rrwzgh3in#:~:text=debate%20the%20nuance%2C%20%20though,for%20instance%2C%20by%20checking%20if" TargetMode="External" /><Relationship Type="http://schemas.openxmlformats.org/officeDocument/2006/relationships/hyperlink" Id="rId78" Target="file://file-73NS7DbrjTTD6Rrwzgh3in#:~:text=decoded%2C%20%20and%20%20several,of%20the%20Rapa%20Nui%20people" TargetMode="External" /><Relationship Type="http://schemas.openxmlformats.org/officeDocument/2006/relationships/hyperlink" Id="rId76" Target="file://file-73NS7DbrjTTD6Rrwzgh3in#:~:text=do%20not%20know%20how%20sentences,out%20sentence" TargetMode="External" /><Relationship Type="http://schemas.openxmlformats.org/officeDocument/2006/relationships/hyperlink" Id="rId42" Target="file://file-73NS7DbrjTTD6Rrwzgh3in#:~:text=full%20moon%20led%20to%20identifying,glyph%20sequences%2C%20researchers%20could%20guess" TargetMode="External" /><Relationship Type="http://schemas.openxmlformats.org/officeDocument/2006/relationships/hyperlink" Id="rId57" Target="file://file-73NS7DbrjTTD6Rrwzgh3in#:~:text=groups%20for%20the%2030%20nights,this%20%E2%80%9CRosetta%20Stone%E2%80%9D%20fragment" TargetMode="External" /><Relationship Type="http://schemas.openxmlformats.org/officeDocument/2006/relationships/hyperlink" Id="rId54" Target="file://file-73NS7DbrjTTD6Rrwzgh3in#:~:text=identified%20one%20segment%20with%20confidence%3A,essentially%20unreadable%20as%20language" TargetMode="External" /><Relationship Type="http://schemas.openxmlformats.org/officeDocument/2006/relationships/hyperlink" Id="rId62" Target="file://file-73NS7DbrjTTD6Rrwzgh3in#:~:text=lore,phrases%20found%20elsewhere%20in%20the" TargetMode="External" /><Relationship Type="http://schemas.openxmlformats.org/officeDocument/2006/relationships/hyperlink" Id="rId39" Target="file://file-73NS7DbrjTTD6Rrwzgh3in#:~:text=matching%20the%20glyphs,glyph%20sequences%2C%20researchers%20could%20guess" TargetMode="External" /><Relationship Type="http://schemas.openxmlformats.org/officeDocument/2006/relationships/hyperlink" Id="rId94" Target="file://file-73NS7DbrjTTD6Rrwzgh3in#:~:text=meaning%20.%20The%20once,cultural%20context%20at%20every%20step" TargetMode="External" /><Relationship Type="http://schemas.openxmlformats.org/officeDocument/2006/relationships/hyperlink" Id="rId68" Target="file://file-73NS7DbrjTTD6Rrwzgh3in#:~:text=mythical%20%20or%20%20historical,wood%20to%20aid%20memorization" TargetMode="External" /><Relationship Type="http://schemas.openxmlformats.org/officeDocument/2006/relationships/hyperlink" Id="rId69" Target="file://file-73NS7DbrjTTD6Rrwzgh3in#:~:text=prayer%20%20or%20%20chant,wood%20to%20aid%20memorization" TargetMode="External" /><Relationship Type="http://schemas.openxmlformats.org/officeDocument/2006/relationships/hyperlink" Id="rId61" Target="file://file-73NS7DbrjTTD6Rrwzgh3in#:~:text=producing%20the%20next%20elements%20of,Staff%E2%80%99s%20%20text%20%20might" TargetMode="External" /><Relationship Type="http://schemas.openxmlformats.org/officeDocument/2006/relationships/hyperlink" Id="rId50" Target="file://file-73NS7DbrjTTD6Rrwzgh3in#:~:text=researchers%20%20report%20%20that,of%20the%20Rapa%20Nui%20people" TargetMode="External" /><Relationship Type="http://schemas.openxmlformats.org/officeDocument/2006/relationships/hyperlink" Id="rId63" Target="file://file-73NS7DbrjTTD6Rrwzgh3in#:~:text=tablet%20can%20be%20cross,Such" TargetMode="External" /><Relationship Type="http://schemas.openxmlformats.org/officeDocument/2006/relationships/hyperlink" Id="rId82" Target="file://file-73NS7DbrjTTD6Rrwzgh3in#:~:text=the%20abundance%20of%20%E2%80%9Coffspring%E2%80%9D%20markers,a%20single%20definitive%20reading" TargetMode="External" /><Relationship Type="http://schemas.openxmlformats.org/officeDocument/2006/relationships/hyperlink" Id="rId119" Target="file://file-73NS7DbrjTTD6Rrwzgh3in#:~:text=understood%20in%20content%20%E2%80%93%20there,solution%20to%20100" TargetMode="External" /><Relationship Type="http://schemas.openxmlformats.org/officeDocument/2006/relationships/hyperlink" Id="rId123" Target="file://file-EKFBHRihh6xQJcexArYFzA" TargetMode="External" /><Relationship Type="http://schemas.openxmlformats.org/officeDocument/2006/relationships/hyperlink" Id="rId44" Target="file://file-EKFBHRihh6xQJcexArYFzA#:~:text=%22High,ariki%20henua%29%20supreme%20authority" TargetMode="External" /><Relationship Type="http://schemas.openxmlformats.org/officeDocument/2006/relationships/hyperlink" Id="rId25" Target="file://file-EKFBHRihh6xQJcexArYFzA#:~:text=%22Multi,as%20plural%20or%20collective%20marker" TargetMode="External" /><Relationship Type="http://schemas.openxmlformats.org/officeDocument/2006/relationships/hyperlink" Id="rId85" Target="file://file-EKFBHRihh6xQJcexArYFzA#:~:text=%22notes%22%3A%20%5B%20%22Boat," TargetMode="External" /><Relationship Type="http://schemas.openxmlformats.org/officeDocument/2006/relationships/hyperlink" Id="rId89" Target="file://file-EKFBHRihh6xQJcexArYFzA#:~:text=," TargetMode="External" /><Relationship Type="http://schemas.openxmlformats.org/officeDocument/2006/relationships/hyperlink" Id="rId21" Target="file://file-EKFBHRihh6xQJcexArYFzA#:~:text=,%5D" TargetMode="External" /><Relationship Type="http://schemas.openxmlformats.org/officeDocument/2006/relationships/hyperlink" Id="rId102" Target="file://file-EKFBHRihh6xQJcexArYFzA#:~:text=,Appears%20at%20clause" TargetMode="External" /><Relationship Type="http://schemas.openxmlformats.org/officeDocument/2006/relationships/hyperlink" Id="rId48" Target="file://file-EKFBHRihh6xQJcexArYFzA#:~:text=,Basic%20anthropomorphic%20figure" TargetMode="External" /><Relationship Type="http://schemas.openxmlformats.org/officeDocument/2006/relationships/hyperlink" Id="rId100" Target="file://file-EKFBHRihh6xQJcexArYFzA#:~:text=,Confirmed%20as%20pluralizing%20affix%20when" TargetMode="External" /><Relationship Type="http://schemas.openxmlformats.org/officeDocument/2006/relationships/hyperlink" Id="rId23" Target="file://file-EKFBHRihh6xQJcexArYFzA#:~:text=,Mamari" TargetMode="External" /><Relationship Type="http://schemas.openxmlformats.org/officeDocument/2006/relationships/hyperlink" Id="rId90" Target="file://file-EKFBHRihh6xQJcexArYFzA#:~:text=,Meaning" TargetMode="External" /><Relationship Type="http://schemas.openxmlformats.org/officeDocument/2006/relationships/hyperlink" Id="rId41" Target="file://file-EKFBHRihh6xQJcexArYFzA#:~:text=,Meaning%20determined%20by%20textual%20context" TargetMode="External" /><Relationship Type="http://schemas.openxmlformats.org/officeDocument/2006/relationships/hyperlink" Id="rId47" Target="file://file-EKFBHRihh6xQJcexArYFzA#:~:text=,Universal%20royal%2Fchief%20concept" TargetMode="External" /><Relationship Type="http://schemas.openxmlformats.org/officeDocument/2006/relationships/hyperlink" Id="rId115" Target="file://file-EKFBHRihh6xQJcexArYFzA#:~:text=,ariki" TargetMode="External" /><Relationship Type="http://schemas.openxmlformats.org/officeDocument/2006/relationships/hyperlink" Id="rId43" Target="file://file-EKFBHRihh6xQJcexArYFzA#:~:text=,ariki%20henua" TargetMode="External" /><Relationship Type="http://schemas.openxmlformats.org/officeDocument/2006/relationships/hyperlink" Id="rId30" Target="file://file-EKFBHRihh6xQJcexArYFzA#:~:text=,begat%20%28genealogy" TargetMode="External" /><Relationship Type="http://schemas.openxmlformats.org/officeDocument/2006/relationships/hyperlink" Id="rId87" Target="file://file-EKFBHRihh6xQJcexArYFzA#:~:text=,complete" TargetMode="External" /><Relationship Type="http://schemas.openxmlformats.org/officeDocument/2006/relationships/hyperlink" Id="rId37" Target="file://file-EKFBHRihh6xQJcexArYFzA#:~:text=,complete%27%20%28oti%29%20finished%20state" TargetMode="External" /><Relationship Type="http://schemas.openxmlformats.org/officeDocument/2006/relationships/hyperlink" Id="rId28" Target="file://file-EKFBHRihh6xQJcexArYFzA#:~:text=,copulate%2Fprocreate" TargetMode="External" /><Relationship Type="http://schemas.openxmlformats.org/officeDocument/2006/relationships/hyperlink" Id="rId116" Target="file://file-EKFBHRihh6xQJcexArYFzA#:~:text=,descendant%20%28poki" TargetMode="External" /><Relationship Type="http://schemas.openxmlformats.org/officeDocument/2006/relationships/hyperlink" Id="rId40" Target="file://file-EKFBHRihh6xQJcexArYFzA#:~:text=,fish%2C%20victim%2C%20sacrifice" TargetMode="External" /><Relationship Type="http://schemas.openxmlformats.org/officeDocument/2006/relationships/hyperlink" Id="rId33" Target="file://file-EKFBHRihh6xQJcexArYFzA#:~:text=,genealogical" TargetMode="External" /><Relationship Type="http://schemas.openxmlformats.org/officeDocument/2006/relationships/hyperlink" Id="rId36" Target="file://file-EKFBHRihh6xQJcexArYFzA#:~:text=,in%20lunar%20calendar" TargetMode="External" /><Relationship Type="http://schemas.openxmlformats.org/officeDocument/2006/relationships/hyperlink" Id="rId38" Target="file://file-EKFBHRihh6xQJcexArYFzA#:~:text=,katoa" TargetMode="External" /><Relationship Type="http://schemas.openxmlformats.org/officeDocument/2006/relationships/hyperlink" Id="rId99" Target="file://file-EKFBHRihh6xQJcexArYFzA#:~:text=,linguistic%20parallel%20to%20plural%20determinatives" TargetMode="External" /><Relationship Type="http://schemas.openxmlformats.org/officeDocument/2006/relationships/hyperlink" Id="rId88" Target="file://file-EKFBHRihh6xQJcexArYFzA#:~:text=,lunar" TargetMode="External" /><Relationship Type="http://schemas.openxmlformats.org/officeDocument/2006/relationships/hyperlink" Id="rId56" Target="file://file-EKFBHRihh6xQJcexArYFzA#:~:text=,lunar%20representation%3B%20generic%20lunar%20sign"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86" Target="file://file-EKFBHRihh6xQJcexArYFzA#:~:text=,name%20of%20a%20lunar%20night" TargetMode="External" /><Relationship Type="http://schemas.openxmlformats.org/officeDocument/2006/relationships/hyperlink" Id="rId22" Target="file://file-EKFBHRihh6xQJcexArYFzA#:~:text=,person%2C%20human" TargetMode="External" /><Relationship Type="http://schemas.openxmlformats.org/officeDocument/2006/relationships/hyperlink" Id="rId101" Target="file://file-EKFBHRihh6xQJcexArYFzA#:~:text=,procreate%27%20%28fanau%29%20reproductive%20action" TargetMode="External" /><Relationship Type="http://schemas.openxmlformats.org/officeDocument/2006/relationships/hyperlink" Id="rId31" Target="file://file-EKFBHRihh6xQJcexArYFzA#:~:text=,procreate%3B%20%27ai%27%20or%20%27fanau" TargetMode="External" /><Relationship Type="http://schemas.openxmlformats.org/officeDocument/2006/relationships/hyperlink" Id="rId84" Target="file://file-EKFBHRihh6xQJcexArYFzA#:~:text=,read%20as%20%27poki%27%20by%20Metoro" TargetMode="External" /><Relationship Type="http://schemas.openxmlformats.org/officeDocument/2006/relationships/hyperlink" Id="rId29" Target="file://file-EKFBHRihh6xQJcexArYFzA#:~:text=,sex" TargetMode="External" /><Relationship Type="http://schemas.openxmlformats.org/officeDocument/2006/relationships/hyperlink" Id="rId32" Target="file://file-EKFBHRihh6xQJcexArYFzA#:~:text=,son%20of" TargetMode="External" /><Relationship Type="http://schemas.openxmlformats.org/officeDocument/2006/relationships/hyperlink" Id="rId55" Target="file://file-EKFBHRihh6xQJcexArYFzA#:~:text=,stage%20of%20waning%20gibbous" TargetMode="External" /><Relationship Type="http://schemas.openxmlformats.org/officeDocument/2006/relationships/hyperlink" Id="rId35" Target="file://file-EKFBHRihh6xQJcexArYFzA#:~:text=,the%20Oven%20in%20the%20Sky" TargetMode="External" /><Relationship Type="http://schemas.openxmlformats.org/officeDocument/2006/relationships/hyperlink" Id="rId67" Target="file://file-EKFBHRihh6xQJcexArYFzA#:~:text=,to%20mark%20breaks%20in%20text" TargetMode="External" /><Relationship Type="http://schemas.openxmlformats.org/officeDocument/2006/relationships/hyperlink" Id="rId58" Target="file://file-EKFBHRihh6xQJcexArYFzA#:~:text=and%20the%20cuneiform%20sign%20%27ITU%27,shaped%20glyph%20denoting%20the" TargetMode="External" /><Relationship Type="http://schemas.openxmlformats.org/officeDocument/2006/relationships/hyperlink" Id="rId83" Target="file://file-EKFBHRihh6xQJcexArYFzA#:~:text=historical%20informant%20Metoro.,poki" TargetMode="External" /><Relationship Type="http://schemas.openxmlformats.org/officeDocument/2006/relationships/hyperlink" Id="rId26" Target="file://file-EKFBHRihh6xQJcexArYFzA#:~:text=marker%27,hand%2C%20action%20verbs%20take%2Fgrasp%2C%20and" TargetMode="External" /><Relationship Type="http://schemas.openxmlformats.org/officeDocument/2006/relationships/hyperlink" Id="rId34" Target="file://file-EKFBHRihh6xQJcexArYFzA#:~:text=sexual%20meanings%3A%20%27copulate%27%20,Updated%20interpretation%2C%20status%3A%20confirmed" TargetMode="External" /><Relationship Type="http://schemas.openxmlformats.org/officeDocument/2006/relationships/hyperlink" Id="rId46" Target="file://file-EKFBHRihh6xQJcexArYFzA#:~:text=title%2Fstatus%20marker.,status" TargetMode="External" /><Relationship Type="http://schemas.openxmlformats.org/officeDocument/2006/relationships/hyperlink" Id="rId124" Target="file://file-GxE3J2TpELmWvfEKfpgZNb" TargetMode="External" /><Relationship Type="http://schemas.openxmlformats.org/officeDocument/2006/relationships/hyperlink" Id="rId66" Target="file://file-GxE3J2TpELmWvfEKfpgZNb#:~:text=%E2%80%93%20lacking%20small%20%20grammatical,a%20direct%20script%20of%20spoken" TargetMode="External" /><Relationship Type="http://schemas.openxmlformats.org/officeDocument/2006/relationships/hyperlink" Id="rId106" Target="file://file-GxE3J2TpELmWvfEKfpgZNb#:~:text=,In%20short" TargetMode="External" /><Relationship Type="http://schemas.openxmlformats.org/officeDocument/2006/relationships/hyperlink" Id="rId97" Target="file://file-GxE3J2TpELmWvfEKfpgZNb#:~:text=1950s%20statistical%20study%20found%20,The%20reader" TargetMode="External" /><Relationship Type="http://schemas.openxmlformats.org/officeDocument/2006/relationships/hyperlink" Id="rId27" Target="file://file-GxE3J2TpELmWvfEKfpgZNb#:~:text=Fischer%E2%80%99s%20exact%20interpretation%20is%20debated,by%20attaching%20to%20nouns" TargetMode="External" /><Relationship Type="http://schemas.openxmlformats.org/officeDocument/2006/relationships/hyperlink" Id="rId71" Target="file://file-GxE3J2TpELmWvfEKfpgZNb#:~:text=Polynesian%20%20Oral%20%20Formulae%3A,like%20%E2%80%9CX" TargetMode="External" /><Relationship Type="http://schemas.openxmlformats.org/officeDocument/2006/relationships/hyperlink" Id="rId96" Target="file://file-GxE3J2TpELmWvfEKfpgZNb#:~:text=Rapa%20Nui%20,or%20it%20was%20written%20in" TargetMode="External" /><Relationship Type="http://schemas.openxmlformats.org/officeDocument/2006/relationships/hyperlink" Id="rId109" Target="file://file-GxE3J2TpELmWvfEKfpgZNb#:~:text=a%20glyph%20indicating%20plurality%20or,that%20were%20composed%20in%20the" TargetMode="External" /><Relationship Type="http://schemas.openxmlformats.org/officeDocument/2006/relationships/hyperlink" Id="rId105" Target="file://file-GxE3J2TpELmWvfEKfpgZNb#:~:text=attaching%20to%20nouns" TargetMode="External" /><Relationship Type="http://schemas.openxmlformats.org/officeDocument/2006/relationships/hyperlink" Id="rId24" Target="file://file-GxE3J2TpELmWvfEKfpgZNb#:~:text=forms%20%20and%20%20Polynesian,correlation%20overwhelmingly%20supports" TargetMode="External" /><Relationship Type="http://schemas.openxmlformats.org/officeDocument/2006/relationships/hyperlink" Id="rId107" Target="file://file-GxE3J2TpELmWvfEKfpgZNb#:~:text=glyph%20that%20the%20lexicon%20indicates,by%20attaching%20to%20nouns" TargetMode="External" /><Relationship Type="http://schemas.openxmlformats.org/officeDocument/2006/relationships/hyperlink" Id="rId73" Target="file://file-GxE3J2TpELmWvfEKfpgZNb#:~:text=imagery%20%20are%20%20Polynesian%2C,elements%20%2C%20%20even%20if" TargetMode="External" /><Relationship Type="http://schemas.openxmlformats.org/officeDocument/2006/relationships/hyperlink" Id="rId75" Target="file://file-GxE3J2TpELmWvfEKfpgZNb#:~:text=know%20the%20%20text%E2%80%9D%20or,than%20a%20literal%20script" TargetMode="External" /><Relationship Type="http://schemas.openxmlformats.org/officeDocument/2006/relationships/hyperlink" Id="rId108" Target="file://file-GxE3J2TpELmWvfEKfpgZNb#:~:text=latter%3A%20%20Rongorongo%20is%20highly,Nui%20%20elders%20%20that" TargetMode="External" /><Relationship Type="http://schemas.openxmlformats.org/officeDocument/2006/relationships/hyperlink" Id="rId65" Target="file://file-GxE3J2TpELmWvfEKfpgZNb#:~:text=likely%20stand%20for%20key%20words%2C,the%20glyphs%20as%20memory%20prompts" TargetMode="External" /><Relationship Type="http://schemas.openxmlformats.org/officeDocument/2006/relationships/hyperlink" Id="rId70" Target="file://file-GxE3J2TpELmWvfEKfpgZNb#:~:text=rarity,This%20led" TargetMode="External" /><Relationship Type="http://schemas.openxmlformats.org/officeDocument/2006/relationships/hyperlink" Id="rId98" Target="file://file-GxE3J2TpELmWvfEKfpgZNb#:~:text=sentences%20,tablets%20%20probably%20%20record" TargetMode="External" /><Relationship Type="http://schemas.openxmlformats.org/officeDocument/2006/relationships/hyperlink" Id="rId104" Target="file://file-GxE3J2TpELmWvfEKfpgZNb#:~:text=spoken%20Rapa%20Nui%2C%20but%20rather,the%20glyphs%20as%20memory%20prompts" TargetMode="External" /><Relationship Type="http://schemas.openxmlformats.org/officeDocument/2006/relationships/hyperlink" Id="rId92" Target="file://file-GxE3J2TpELmWvfEKfpgZNb#:~:text=tablets%20%20probably%20%20record,than%20a%20literal%20script" TargetMode="External" /><Relationship Type="http://schemas.openxmlformats.org/officeDocument/2006/relationships/hyperlink" Id="rId91" Target="file://file-GxE3J2TpELmWvfEKfpgZNb#:~:text=these%20particles%2C%20which%20would%20be,In%20%20essence%2C%20%20the" TargetMode="External" /><Relationship Type="http://schemas.openxmlformats.org/officeDocument/2006/relationships/hyperlink" Id="rId74" Target="file://file-GxE3J2TpELmWvfEKfpgZNb#:~:text=with%20Polynesian%20oral%20traditions%2C%20where,the%20glyphs%20as%20memory%20prom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2025-12-20T22:25:04Z</dcterms:created>
  <dcterms:modified xsi:type="dcterms:W3CDTF">2025-12-20T22:25:04Z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