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6" w:name="content"/>
    <w:bookmarkStart w:id="75" w:name="X83129ad08667fbc200f0a4ebecefeef8d7e75ec"/>
    <w:p>
      <w:pPr>
        <w:pStyle w:val="Heading1"/>
      </w:pPr>
      <w:r>
        <w:t xml:space="preserve">Hypothesized Translations of Rongorongo Texts by Content Type</w:t>
      </w:r>
    </w:p>
    <w:p>
      <w:pPr>
        <w:pStyle w:val="FirstParagraph"/>
      </w:pPr>
      <w:r>
        <w:rPr>
          <w:b/>
          <w:bCs/>
        </w:rPr>
        <w:t xml:space="preserve">Introduction:</w:t>
      </w:r>
      <w:r>
        <w:t xml:space="preserve"> </w:t>
      </w:r>
      <w:r>
        <w:t xml:space="preserve">Recent multi-method decipherment efforts have begun to unravel the Rongorongo script of Rapa Nui, revealing distinct types of content across different tablets. By cross-referencing repeating clause structures, confirmed glyph meanings, motif clusters, and Polynesian cultural context, researchers have identified</w:t>
      </w:r>
      <w:r>
        <w:t xml:space="preserve"> </w:t>
      </w:r>
      <w:r>
        <w:rPr>
          <w:b/>
          <w:bCs/>
        </w:rPr>
        <w:t xml:space="preserve">partial translations or semantic readings</w:t>
      </w:r>
      <w:r>
        <w:t xml:space="preserve"> </w:t>
      </w:r>
      <w:r>
        <w:t xml:space="preserve">for several sequences. Below, we present the most plausible interpretations to date, grouped by thematic type – including genealogical lineage lists, cosmogonic “procreation” chains, lunar calendrical sequences, and place-name travelogues. Each section highlights example tablets (especially</w:t>
      </w:r>
      <w:r>
        <w:t xml:space="preserve"> </w:t>
      </w:r>
      <w:r>
        <w:rPr>
          <w:b/>
          <w:bCs/>
        </w:rPr>
        <w:t xml:space="preserve">A, B, C, H, P, Q</w:t>
      </w:r>
      <w:r>
        <w:t xml:space="preserve">), with glyph references by Barthel number and justification from the emerging lexicon and parallel passages.</w:t>
      </w:r>
    </w:p>
    <w:bookmarkStart w:id="41" w:name="genealogical-lineage-lists-king-lists"/>
    <w:p>
      <w:pPr>
        <w:pStyle w:val="Heading2"/>
      </w:pPr>
      <w:r>
        <w:t xml:space="preserve">Genealogical Lineage Lists (King Lists)</w:t>
      </w:r>
    </w:p>
    <w:p>
      <w:pPr>
        <w:pStyle w:val="FirstParagraph"/>
      </w:pPr>
      <w:r>
        <w:t xml:space="preserve">Certain tablets clearly record</w:t>
      </w:r>
      <w:r>
        <w:t xml:space="preserve"> </w:t>
      </w:r>
      <w:r>
        <w:rPr>
          <w:b/>
          <w:bCs/>
        </w:rPr>
        <w:t xml:space="preserve">lineages of people (chiefs or ancestors)</w:t>
      </w:r>
      <w:r>
        <w:t xml:space="preserve">, using a repetitive genealogical formula. The key sign is</w:t>
      </w:r>
      <w:r>
        <w:t xml:space="preserve"> </w:t>
      </w:r>
      <w:r>
        <w:rPr>
          <w:b/>
          <w:bCs/>
        </w:rPr>
        <w:t xml:space="preserve">glyph 76</w:t>
      </w:r>
      <w:r>
        <w:t xml:space="preserve">, a phallic-shaped symbol interpreted as</w:t>
      </w:r>
      <w:r>
        <w:t xml:space="preserve"> </w:t>
      </w:r>
      <w:r>
        <w:rPr>
          <w:i/>
          <w:iCs/>
        </w:rPr>
        <w:t xml:space="preserve">“begat”</w:t>
      </w:r>
      <w:r>
        <w:t xml:space="preserve"> </w:t>
      </w:r>
      <w:r>
        <w:t xml:space="preserve">or</w:t>
      </w:r>
      <w:r>
        <w:t xml:space="preserve"> </w:t>
      </w:r>
      <w:r>
        <w:rPr>
          <w:i/>
          <w:iCs/>
        </w:rPr>
        <w:t xml:space="preserve">“child of”</w:t>
      </w:r>
      <w:r>
        <w:t xml:space="preserve">, which links personal names in sequence</w:t>
      </w:r>
      <w:hyperlink r:id="rId21">
        <w:r>
          <w:rPr>
            <w:rStyle w:val="Hyperlink"/>
          </w:rPr>
          <w:t xml:space="preserve">[1]</w:t>
        </w:r>
      </w:hyperlink>
      <w:r>
        <w:t xml:space="preserve">. An anthropomorphic figure glyph (often</w:t>
      </w:r>
      <w:r>
        <w:t xml:space="preserve"> </w:t>
      </w:r>
      <w:r>
        <w:rPr>
          <w:b/>
          <w:bCs/>
        </w:rPr>
        <w:t xml:space="preserve">glyph 200</w:t>
      </w:r>
      <w:r>
        <w:t xml:space="preserve">, identified as</w:t>
      </w:r>
      <w:r>
        <w:t xml:space="preserve"> </w:t>
      </w:r>
      <w:r>
        <w:rPr>
          <w:i/>
          <w:iCs/>
        </w:rPr>
        <w:t xml:space="preserve">ariki</w:t>
      </w:r>
      <w:r>
        <w:t xml:space="preserve"> </w:t>
      </w:r>
      <w:r>
        <w:t xml:space="preserve">“chief/king”) typically precedes this connector, indicating a named ancestor or high-status person</w:t>
      </w:r>
      <w:hyperlink r:id="rId21">
        <w:r>
          <w:rPr>
            <w:rStyle w:val="Hyperlink"/>
          </w:rPr>
          <w:t xml:space="preserve">[1]</w:t>
        </w:r>
      </w:hyperlink>
      <w:r>
        <w:t xml:space="preserve">. For example, on the Small Santiago tablet (Text G), lines Gv5–Gv6 show a chain of figures alternating with glyph 76, reading approximately:</w:t>
      </w:r>
      <w:r>
        <w:t xml:space="preserve"> </w:t>
      </w:r>
      <w:r>
        <w:rPr>
          <w:b/>
          <w:bCs/>
        </w:rPr>
        <w:t xml:space="preserve">“Ancestor 1 (ariki) begat Ancestor 2 (ariki) begat Ancestor 3…”</w:t>
      </w:r>
      <w:hyperlink r:id="rId22">
        <w:r>
          <w:rPr>
            <w:rStyle w:val="Hyperlink"/>
          </w:rPr>
          <w:t xml:space="preserve">[2]</w:t>
        </w:r>
      </w:hyperlink>
      <w:r>
        <w:t xml:space="preserve">. In this way, the text lists generations in order, analogous to a Polynesian genealogy recitation. The latest lexicon data reinforces these readings: glyph 76 corresponds to Rapanui terms like</w:t>
      </w:r>
      <w:r>
        <w:t xml:space="preserve"> </w:t>
      </w:r>
      <w:r>
        <w:rPr>
          <w:i/>
          <w:iCs/>
        </w:rPr>
        <w:t xml:space="preserve">‘ai</w:t>
      </w:r>
      <w:r>
        <w:t xml:space="preserve"> </w:t>
      </w:r>
      <w:r>
        <w:t xml:space="preserve">(“to copulate”) or</w:t>
      </w:r>
      <w:r>
        <w:t xml:space="preserve"> </w:t>
      </w:r>
      <w:r>
        <w:rPr>
          <w:i/>
          <w:iCs/>
        </w:rPr>
        <w:t xml:space="preserve">fanau</w:t>
      </w:r>
      <w:r>
        <w:t xml:space="preserve"> </w:t>
      </w:r>
      <w:r>
        <w:t xml:space="preserve">(“to give birth”), functioning as a genealogical link, and glyph 200 is glossed as</w:t>
      </w:r>
      <w:r>
        <w:t xml:space="preserve"> </w:t>
      </w:r>
      <w:r>
        <w:rPr>
          <w:i/>
          <w:iCs/>
        </w:rPr>
        <w:t xml:space="preserve">ariki</w:t>
      </w:r>
      <w:r>
        <w:t xml:space="preserve"> </w:t>
      </w:r>
      <w:r>
        <w:t xml:space="preserve">(“chief” or high-ranking person)</w:t>
      </w:r>
      <w:hyperlink r:id="rId23">
        <w:r>
          <w:rPr>
            <w:rStyle w:val="Hyperlink"/>
          </w:rPr>
          <w:t xml:space="preserve">[3]</w:t>
        </w:r>
      </w:hyperlink>
      <w:r>
        <w:t xml:space="preserve">. Smaller human figure signs such as</w:t>
      </w:r>
      <w:r>
        <w:t xml:space="preserve"> </w:t>
      </w:r>
      <w:r>
        <w:rPr>
          <w:b/>
          <w:bCs/>
        </w:rPr>
        <w:t xml:space="preserve">glyph 7</w:t>
      </w:r>
      <w:r>
        <w:t xml:space="preserve"> </w:t>
      </w:r>
      <w:r>
        <w:t xml:space="preserve">are understood as</w:t>
      </w:r>
      <w:r>
        <w:t xml:space="preserve"> </w:t>
      </w:r>
      <w:r>
        <w:rPr>
          <w:i/>
          <w:iCs/>
        </w:rPr>
        <w:t xml:space="preserve">poki</w:t>
      </w:r>
      <w:r>
        <w:t xml:space="preserve"> </w:t>
      </w:r>
      <w:r>
        <w:t xml:space="preserve">(“child/offspring”) markers, appearing when explicitly noting a descendant</w:t>
      </w:r>
      <w:hyperlink r:id="rId24">
        <w:r>
          <w:rPr>
            <w:rStyle w:val="Hyperlink"/>
          </w:rPr>
          <w:t xml:space="preserve">[4]</w:t>
        </w:r>
      </w:hyperlink>
      <w:r>
        <w:t xml:space="preserve">. Together, these glyphs form a patronymic chain structure: essentially</w:t>
      </w:r>
      <w:r>
        <w:t xml:space="preserve"> </w:t>
      </w:r>
      <w:r>
        <w:rPr>
          <w:i/>
          <w:iCs/>
        </w:rPr>
        <w:t xml:space="preserve">“Chief X begat (child) Y; Y begat (child) Z; …”</w:t>
      </w:r>
      <w:r>
        <w:t xml:space="preserve"> </w:t>
      </w:r>
      <w:r>
        <w:t xml:space="preserve">in Rongorongo.</w:t>
      </w:r>
    </w:p>
    <w:p>
      <w:pPr>
        <w:numPr>
          <w:ilvl w:val="0"/>
          <w:numId w:val="1001"/>
        </w:numPr>
      </w:pPr>
      <w:r>
        <w:rPr>
          <w:b/>
          <w:bCs/>
        </w:rPr>
        <w:t xml:space="preserve">Tablet D (Échancrée)</w:t>
      </w:r>
      <w:r>
        <w:t xml:space="preserve"> </w:t>
      </w:r>
      <w:r>
        <w:t xml:space="preserve">– Appears to preserve a</w:t>
      </w:r>
      <w:r>
        <w:t xml:space="preserve"> </w:t>
      </w:r>
      <w:r>
        <w:rPr>
          <w:b/>
          <w:bCs/>
        </w:rPr>
        <w:t xml:space="preserve">king list</w:t>
      </w:r>
      <w:r>
        <w:t xml:space="preserve"> </w:t>
      </w:r>
      <w:r>
        <w:t xml:space="preserve">sequence. On side a line 3, repeated chief figures (glyph 200) hold various regalia, separated by a bird glyph (</w:t>
      </w:r>
      <w:r>
        <w:rPr>
          <w:b/>
          <w:bCs/>
        </w:rPr>
        <w:t xml:space="preserve">600</w:t>
      </w:r>
      <w:r>
        <w:t xml:space="preserve">, the frigatebird)</w:t>
      </w:r>
      <w:hyperlink r:id="rId25">
        <w:r>
          <w:rPr>
            <w:rStyle w:val="Hyperlink"/>
          </w:rPr>
          <w:t xml:space="preserve">[5]</w:t>
        </w:r>
      </w:hyperlink>
      <w:r>
        <w:t xml:space="preserve">. This pattern –</w:t>
      </w:r>
      <w:r>
        <w:t xml:space="preserve"> </w:t>
      </w:r>
      <w:r>
        <w:rPr>
          <w:i/>
          <w:iCs/>
        </w:rPr>
        <w:t xml:space="preserve">“Chief (200) + action/object … (600) … Chief (200) …”</w:t>
      </w:r>
      <w:r>
        <w:t xml:space="preserve"> </w:t>
      </w:r>
      <w:r>
        <w:t xml:space="preserve">– suggests a list of successive chiefs with a divider</w:t>
      </w:r>
      <w:hyperlink r:id="rId26">
        <w:r>
          <w:rPr>
            <w:rStyle w:val="Hyperlink"/>
          </w:rPr>
          <w:t xml:space="preserve">[6]</w:t>
        </w:r>
      </w:hyperlink>
      <w:r>
        <w:t xml:space="preserve">. The presence of</w:t>
      </w:r>
      <w:r>
        <w:t xml:space="preserve"> </w:t>
      </w:r>
      <w:r>
        <w:rPr>
          <w:b/>
          <w:bCs/>
        </w:rPr>
        <w:t xml:space="preserve">glyph 76</w:t>
      </w:r>
      <w:r>
        <w:t xml:space="preserve"> </w:t>
      </w:r>
      <w:r>
        <w:t xml:space="preserve">in this text confirms a classic Polynesian genealogy format:</w:t>
      </w:r>
      <w:r>
        <w:t xml:space="preserve"> </w:t>
      </w:r>
      <w:r>
        <w:rPr>
          <w:i/>
          <w:iCs/>
        </w:rPr>
        <w:t xml:space="preserve">“Chief A begat Chief B begat Chief C…”</w:t>
      </w:r>
      <w:hyperlink r:id="rId21">
        <w:r>
          <w:rPr>
            <w:rStyle w:val="Hyperlink"/>
          </w:rPr>
          <w:t xml:space="preserve">[1]</w:t>
        </w:r>
      </w:hyperlink>
      <w:r>
        <w:t xml:space="preserve">. Échancrée’s content is thus interpreted as a lineage of high-ranking individuals (ariki), possibly a list of ancient kings.</w:t>
      </w:r>
    </w:p>
    <w:p>
      <w:pPr>
        <w:numPr>
          <w:ilvl w:val="0"/>
          <w:numId w:val="1001"/>
        </w:numPr>
      </w:pPr>
      <w:r>
        <w:rPr>
          <w:b/>
          <w:bCs/>
        </w:rPr>
        <w:t xml:space="preserve">Tablet G (Small Santiago)</w:t>
      </w:r>
      <w:r>
        <w:t xml:space="preserve"> </w:t>
      </w:r>
      <w:r>
        <w:t xml:space="preserve">– Contains one of the clearest</w:t>
      </w:r>
      <w:r>
        <w:t xml:space="preserve"> </w:t>
      </w:r>
      <w:r>
        <w:rPr>
          <w:b/>
          <w:bCs/>
        </w:rPr>
        <w:t xml:space="preserve">genealogical chains</w:t>
      </w:r>
      <w:r>
        <w:t xml:space="preserve">. The verso (lines Gv5–Gv6) shows personal name glyphs linked by the</w:t>
      </w:r>
      <w:r>
        <w:t xml:space="preserve"> </w:t>
      </w:r>
      <w:r>
        <w:rPr>
          <w:b/>
          <w:bCs/>
        </w:rPr>
        <w:t xml:space="preserve">76</w:t>
      </w:r>
      <w:r>
        <w:t xml:space="preserve"> </w:t>
      </w:r>
      <w:r>
        <w:t xml:space="preserve">connector repeatedly</w:t>
      </w:r>
      <w:hyperlink r:id="rId27">
        <w:r>
          <w:rPr>
            <w:rStyle w:val="Hyperlink"/>
          </w:rPr>
          <w:t xml:space="preserve">[7]</w:t>
        </w:r>
      </w:hyperlink>
      <w:r>
        <w:t xml:space="preserve">. Glyph 7 (a small human figure) may prefix some entries as a marker of “child/young descendant” (</w:t>
      </w:r>
      <w:r>
        <w:rPr>
          <w:i/>
          <w:iCs/>
        </w:rPr>
        <w:t xml:space="preserve">poki</w:t>
      </w:r>
      <w:r>
        <w:t xml:space="preserve">)</w:t>
      </w:r>
      <w:hyperlink r:id="rId22">
        <w:r>
          <w:rPr>
            <w:rStyle w:val="Hyperlink"/>
          </w:rPr>
          <w:t xml:space="preserve">[8]</w:t>
        </w:r>
      </w:hyperlink>
      <w:r>
        <w:t xml:space="preserve">. Researchers read this section as</w:t>
      </w:r>
      <w:r>
        <w:t xml:space="preserve"> </w:t>
      </w:r>
      <w:r>
        <w:rPr>
          <w:i/>
          <w:iCs/>
        </w:rPr>
        <w:t xml:space="preserve">“[Ariki] X begat [Ariki] Y begat [Ariki] Z…”</w:t>
      </w:r>
      <w:r>
        <w:t xml:space="preserve">, which aligns perfectly with a linear genealogy</w:t>
      </w:r>
      <w:hyperlink r:id="rId28">
        <w:r>
          <w:rPr>
            <w:rStyle w:val="Hyperlink"/>
          </w:rPr>
          <w:t xml:space="preserve">[9]</w:t>
        </w:r>
      </w:hyperlink>
      <w:r>
        <w:t xml:space="preserve">. Indeed, G’s sequence likely records the</w:t>
      </w:r>
      <w:r>
        <w:t xml:space="preserve"> </w:t>
      </w:r>
      <w:r>
        <w:rPr>
          <w:b/>
          <w:bCs/>
        </w:rPr>
        <w:t xml:space="preserve">royal lineage of Rapa Nui’s chiefs (ariki mau)</w:t>
      </w:r>
      <w:r>
        <w:t xml:space="preserve">, perhaps from the founder Hotu Matuꞌa onward</w:t>
      </w:r>
      <w:hyperlink r:id="rId29">
        <w:r>
          <w:rPr>
            <w:rStyle w:val="Hyperlink"/>
          </w:rPr>
          <w:t xml:space="preserve">[10]</w:t>
        </w:r>
      </w:hyperlink>
      <w:r>
        <w:t xml:space="preserve">. The frigatebird</w:t>
      </w:r>
      <w:r>
        <w:t xml:space="preserve"> </w:t>
      </w:r>
      <w:r>
        <w:rPr>
          <w:b/>
          <w:bCs/>
        </w:rPr>
        <w:t xml:space="preserve">glyph 600</w:t>
      </w:r>
      <w:r>
        <w:t xml:space="preserve"> </w:t>
      </w:r>
      <w:r>
        <w:t xml:space="preserve">appears as well between names, possibly symbolizing spiritual oversight (the sacred manu tara bird) or serving as a</w:t>
      </w:r>
      <w:r>
        <w:t xml:space="preserve"> </w:t>
      </w:r>
      <w:r>
        <w:rPr>
          <w:i/>
          <w:iCs/>
        </w:rPr>
        <w:t xml:space="preserve">divider</w:t>
      </w:r>
      <w:r>
        <w:t xml:space="preserve"> </w:t>
      </w:r>
      <w:r>
        <w:t xml:space="preserve">akin to punctuation</w:t>
      </w:r>
      <w:hyperlink r:id="rId30">
        <w:r>
          <w:rPr>
            <w:rStyle w:val="Hyperlink"/>
          </w:rPr>
          <w:t xml:space="preserve">[11]</w:t>
        </w:r>
      </w:hyperlink>
      <w:r>
        <w:t xml:space="preserve">. This genealogical list on G is thought to be a localized excerpt of a longer king list – a portion that is expanded in the comprehensive Santiago Staff text</w:t>
      </w:r>
      <w:hyperlink r:id="rId31">
        <w:r>
          <w:rPr>
            <w:rStyle w:val="Hyperlink"/>
          </w:rPr>
          <w:t xml:space="preserve">[12]</w:t>
        </w:r>
      </w:hyperlink>
      <w:r>
        <w:t xml:space="preserve">.</w:t>
      </w:r>
    </w:p>
    <w:p>
      <w:pPr>
        <w:numPr>
          <w:ilvl w:val="0"/>
          <w:numId w:val="1001"/>
        </w:numPr>
      </w:pPr>
      <w:r>
        <w:rPr>
          <w:b/>
          <w:bCs/>
        </w:rPr>
        <w:t xml:space="preserve">Tablet I (Santiago Staff)</w:t>
      </w:r>
      <w:r>
        <w:t xml:space="preserve"> </w:t>
      </w:r>
      <w:r>
        <w:t xml:space="preserve">– A</w:t>
      </w:r>
      <w:r>
        <w:t xml:space="preserve"> </w:t>
      </w:r>
      <w:r>
        <w:rPr>
          <w:b/>
          <w:bCs/>
        </w:rPr>
        <w:t xml:space="preserve">monumental genealogy</w:t>
      </w:r>
      <w:r>
        <w:t xml:space="preserve"> </w:t>
      </w:r>
      <w:r>
        <w:t xml:space="preserve">carved on a wooden staff, segmented by over 100 vertical stroke marks. Nearly every section begins with a person glyph (often</w:t>
      </w:r>
      <w:r>
        <w:t xml:space="preserve"> </w:t>
      </w:r>
      <w:r>
        <w:rPr>
          <w:b/>
          <w:bCs/>
        </w:rPr>
        <w:t xml:space="preserve">glyph 1 or 200</w:t>
      </w:r>
      <w:r>
        <w:t xml:space="preserve">, indicating an individual or chief) immediately followed by the</w:t>
      </w:r>
      <w:r>
        <w:t xml:space="preserve"> </w:t>
      </w:r>
      <w:r>
        <w:rPr>
          <w:b/>
          <w:bCs/>
        </w:rPr>
        <w:t xml:space="preserve">76 “begat”</w:t>
      </w:r>
      <w:r>
        <w:t xml:space="preserve"> </w:t>
      </w:r>
      <w:r>
        <w:t xml:space="preserve">sign</w:t>
      </w:r>
      <w:hyperlink r:id="rId32">
        <w:r>
          <w:rPr>
            <w:rStyle w:val="Hyperlink"/>
          </w:rPr>
          <w:t xml:space="preserve">[13]</w:t>
        </w:r>
      </w:hyperlink>
      <w:r>
        <w:t xml:space="preserve">. Many segments thus form</w:t>
      </w:r>
      <w:r>
        <w:t xml:space="preserve"> </w:t>
      </w:r>
      <w:r>
        <w:rPr>
          <w:i/>
          <w:iCs/>
        </w:rPr>
        <w:t xml:space="preserve">triplets</w:t>
      </w:r>
      <w:r>
        <w:t xml:space="preserve"> </w:t>
      </w:r>
      <w:r>
        <w:t xml:space="preserve">of the form</w:t>
      </w:r>
      <w:r>
        <w:t xml:space="preserve"> </w:t>
      </w:r>
      <w:r>
        <w:rPr>
          <w:b/>
          <w:bCs/>
        </w:rPr>
        <w:t xml:space="preserve">X–76–Y Z</w:t>
      </w:r>
      <w:r>
        <w:t xml:space="preserve">, which has been interpreted as</w:t>
      </w:r>
      <w:r>
        <w:t xml:space="preserve"> </w:t>
      </w:r>
      <w:r>
        <w:rPr>
          <w:i/>
          <w:iCs/>
        </w:rPr>
        <w:t xml:space="preserve">“X copulated with Y; (resulting) offspring Z”</w:t>
      </w:r>
      <w:hyperlink r:id="rId33">
        <w:r>
          <w:rPr>
            <w:rStyle w:val="Hyperlink"/>
          </w:rPr>
          <w:t xml:space="preserve">[14]</w:t>
        </w:r>
      </w:hyperlink>
      <w:r>
        <w:t xml:space="preserve">. In other words, the Staff encodes a lengthy sequence of procreative links – effectively mythic or royal genealogies in which each verse names parents and their child</w:t>
      </w:r>
      <w:hyperlink r:id="rId33">
        <w:r>
          <w:rPr>
            <w:rStyle w:val="Hyperlink"/>
          </w:rPr>
          <w:t xml:space="preserve">[14]</w:t>
        </w:r>
      </w:hyperlink>
      <w:r>
        <w:t xml:space="preserve">. This text likely functions as an expansive king list or mythic lineage</w:t>
      </w:r>
      <w:r>
        <w:t xml:space="preserve"> </w:t>
      </w:r>
      <w:r>
        <w:rPr>
          <w:b/>
          <w:bCs/>
        </w:rPr>
        <w:t xml:space="preserve">chant</w:t>
      </w:r>
      <w:r>
        <w:t xml:space="preserve">, possibly combining human dynasties with divine ancestry. Notably, glyph 76 is used</w:t>
      </w:r>
      <w:r>
        <w:t xml:space="preserve"> </w:t>
      </w:r>
      <w:r>
        <w:rPr>
          <w:b/>
          <w:bCs/>
        </w:rPr>
        <w:t xml:space="preserve">over 30 times</w:t>
      </w:r>
      <w:r>
        <w:t xml:space="preserve"> </w:t>
      </w:r>
      <w:r>
        <w:t xml:space="preserve">on the staff</w:t>
      </w:r>
      <w:hyperlink r:id="rId34">
        <w:r>
          <w:rPr>
            <w:rStyle w:val="Hyperlink"/>
          </w:rPr>
          <w:t xml:space="preserve">[15]</w:t>
        </w:r>
      </w:hyperlink>
      <w:r>
        <w:t xml:space="preserve">, underscoring its role as a genealogical/patronymic marker. Titles and epithets appear with certain names (for example</w:t>
      </w:r>
      <w:r>
        <w:t xml:space="preserve"> </w:t>
      </w:r>
      <w:r>
        <w:rPr>
          <w:b/>
          <w:bCs/>
        </w:rPr>
        <w:t xml:space="preserve">glyph 680</w:t>
      </w:r>
      <w:r>
        <w:t xml:space="preserve"> </w:t>
      </w:r>
      <w:r>
        <w:t xml:space="preserve">for a ritual status, or</w:t>
      </w:r>
      <w:r>
        <w:t xml:space="preserve"> </w:t>
      </w:r>
      <w:r>
        <w:rPr>
          <w:b/>
          <w:bCs/>
        </w:rPr>
        <w:t xml:space="preserve">606</w:t>
      </w:r>
      <w:r>
        <w:t xml:space="preserve"> </w:t>
      </w:r>
      <w:r>
        <w:t xml:space="preserve">for a “flock of birds/spirits” associated with an ancestor’s spirit retinue)</w:t>
      </w:r>
      <w:hyperlink r:id="rId34">
        <w:r>
          <w:rPr>
            <w:rStyle w:val="Hyperlink"/>
          </w:rPr>
          <w:t xml:space="preserve">[15]</w:t>
        </w:r>
      </w:hyperlink>
      <w:r>
        <w:t xml:space="preserve">. The Staff’s content spans far more generations than known historical kings, implying it reaches into legendary antiquity or covers multiple lineages</w:t>
      </w:r>
      <w:hyperlink r:id="rId35">
        <w:r>
          <w:rPr>
            <w:rStyle w:val="Hyperlink"/>
          </w:rPr>
          <w:t xml:space="preserve">[16]</w:t>
        </w:r>
      </w:hyperlink>
      <w:r>
        <w:t xml:space="preserve">. This confirms that Rongorongo’s repetitive name-and-begat formulas encode genealogical records – either actual royal annals or mythic genealogies of gods and heroes – consistent with oral traditions</w:t>
      </w:r>
      <w:hyperlink r:id="rId36">
        <w:r>
          <w:rPr>
            <w:rStyle w:val="Hyperlink"/>
          </w:rPr>
          <w:t xml:space="preserve">[17]</w:t>
        </w:r>
      </w:hyperlink>
      <w:hyperlink r:id="rId37">
        <w:r>
          <w:rPr>
            <w:rStyle w:val="Hyperlink"/>
          </w:rPr>
          <w:t xml:space="preserve">[18]</w:t>
        </w:r>
      </w:hyperlink>
      <w:r>
        <w:t xml:space="preserve">.</w:t>
      </w:r>
    </w:p>
    <w:p>
      <w:pPr>
        <w:pStyle w:val="FirstParagraph"/>
      </w:pPr>
      <w:r>
        <w:rPr>
          <w:b/>
          <w:bCs/>
        </w:rPr>
        <w:t xml:space="preserve">Summary:</w:t>
      </w:r>
      <w:r>
        <w:t xml:space="preserve"> </w:t>
      </w:r>
      <w:r>
        <w:t xml:space="preserve">Whenever a prolonged alternating pattern of name glyphs and the procreative connector</w:t>
      </w:r>
      <w:r>
        <w:t xml:space="preserve"> </w:t>
      </w:r>
      <w:r>
        <w:rPr>
          <w:b/>
          <w:bCs/>
        </w:rPr>
        <w:t xml:space="preserve">76</w:t>
      </w:r>
      <w:r>
        <w:t xml:space="preserve"> </w:t>
      </w:r>
      <w:r>
        <w:t xml:space="preserve">is present, the text is likely a genealogical list (either of</w:t>
      </w:r>
      <w:r>
        <w:t xml:space="preserve"> </w:t>
      </w:r>
      <w:r>
        <w:rPr>
          <w:b/>
          <w:bCs/>
        </w:rPr>
        <w:t xml:space="preserve">chiefly lineages</w:t>
      </w:r>
      <w:r>
        <w:t xml:space="preserve"> </w:t>
      </w:r>
      <w:r>
        <w:t xml:space="preserve">or</w:t>
      </w:r>
      <w:r>
        <w:t xml:space="preserve"> </w:t>
      </w:r>
      <w:r>
        <w:rPr>
          <w:b/>
          <w:bCs/>
        </w:rPr>
        <w:t xml:space="preserve">mythic ancestry</w:t>
      </w:r>
      <w:r>
        <w:t xml:space="preserve">). Tablets D, G, and I exemplify this with sequences of</w:t>
      </w:r>
      <w:r>
        <w:t xml:space="preserve"> </w:t>
      </w:r>
      <w:r>
        <w:rPr>
          <w:b/>
          <w:bCs/>
        </w:rPr>
        <w:t xml:space="preserve">ariki</w:t>
      </w:r>
      <w:r>
        <w:t xml:space="preserve"> </w:t>
      </w:r>
      <w:r>
        <w:t xml:space="preserve">names linked by “begat”</w:t>
      </w:r>
      <w:hyperlink r:id="rId21">
        <w:r>
          <w:rPr>
            <w:rStyle w:val="Hyperlink"/>
          </w:rPr>
          <w:t xml:space="preserve">[1]</w:t>
        </w:r>
      </w:hyperlink>
      <w:hyperlink r:id="rId22">
        <w:r>
          <w:rPr>
            <w:rStyle w:val="Hyperlink"/>
          </w:rPr>
          <w:t xml:space="preserve">[2]</w:t>
        </w:r>
      </w:hyperlink>
      <w:r>
        <w:t xml:space="preserve">. Even Tablet C (Mamari) shows non-calendrical sections where person glyphs intermix with 76, hinting at embedded name lists (Routledge was told Mamari contained a list of ancient names)</w:t>
      </w:r>
      <w:hyperlink r:id="rId38">
        <w:r>
          <w:rPr>
            <w:rStyle w:val="Hyperlink"/>
          </w:rPr>
          <w:t xml:space="preserve">[19]</w:t>
        </w:r>
      </w:hyperlink>
      <w:hyperlink r:id="rId39">
        <w:r>
          <w:rPr>
            <w:rStyle w:val="Hyperlink"/>
          </w:rPr>
          <w:t xml:space="preserve">[20]</w:t>
        </w:r>
      </w:hyperlink>
      <w:r>
        <w:t xml:space="preserve">. In contrast, texts that lack glyph 76 in their sequences tend to be</w:t>
      </w:r>
      <w:r>
        <w:t xml:space="preserve"> </w:t>
      </w:r>
      <w:r>
        <w:rPr>
          <w:b/>
          <w:bCs/>
        </w:rPr>
        <w:t xml:space="preserve">narrative or episodic</w:t>
      </w:r>
      <w:r>
        <w:t xml:space="preserve"> </w:t>
      </w:r>
      <w:r>
        <w:t xml:space="preserve">rather than genealogical</w:t>
      </w:r>
      <w:hyperlink r:id="rId40">
        <w:r>
          <w:rPr>
            <w:rStyle w:val="Hyperlink"/>
          </w:rPr>
          <w:t xml:space="preserve">[21]</w:t>
        </w:r>
      </w:hyperlink>
      <w:r>
        <w:t xml:space="preserve">. This distinction is key to classifying Rongorongo passages by content.</w:t>
      </w:r>
    </w:p>
    <w:bookmarkEnd w:id="41"/>
    <w:bookmarkStart w:id="48" w:name="X1d0032829fc43baccf3a0c312b3d3fb94f9b5b7"/>
    <w:p>
      <w:pPr>
        <w:pStyle w:val="Heading2"/>
      </w:pPr>
      <w:r>
        <w:t xml:space="preserve">Cosmogonic “Procreation” Chains (Creation Myths)</w:t>
      </w:r>
    </w:p>
    <w:p>
      <w:pPr>
        <w:pStyle w:val="FirstParagraph"/>
      </w:pPr>
      <w:r>
        <w:t xml:space="preserve">Another recurring textual pattern is the</w:t>
      </w:r>
      <w:r>
        <w:t xml:space="preserve"> </w:t>
      </w:r>
      <w:r>
        <w:rPr>
          <w:b/>
          <w:bCs/>
        </w:rPr>
        <w:t xml:space="preserve">cosmogonic or mythological sequence</w:t>
      </w:r>
      <w:r>
        <w:t xml:space="preserve"> </w:t>
      </w:r>
      <w:r>
        <w:t xml:space="preserve">– essentially genealogies of</w:t>
      </w:r>
      <w:r>
        <w:t xml:space="preserve"> </w:t>
      </w:r>
      <w:r>
        <w:rPr>
          <w:i/>
          <w:iCs/>
        </w:rPr>
        <w:t xml:space="preserve">creation</w:t>
      </w:r>
      <w:r>
        <w:t xml:space="preserve">, in which elemental or divine pairs generate offspring. These</w:t>
      </w:r>
      <w:r>
        <w:t xml:space="preserve"> </w:t>
      </w:r>
      <w:r>
        <w:rPr>
          <w:b/>
          <w:bCs/>
        </w:rPr>
        <w:t xml:space="preserve">procreation chains</w:t>
      </w:r>
      <w:r>
        <w:t xml:space="preserve"> </w:t>
      </w:r>
      <w:r>
        <w:t xml:space="preserve">use the same</w:t>
      </w:r>
      <w:r>
        <w:t xml:space="preserve"> </w:t>
      </w:r>
      <w:r>
        <w:rPr>
          <w:i/>
          <w:iCs/>
        </w:rPr>
        <w:t xml:space="preserve">X</w:t>
      </w:r>
      <w:r>
        <w:t xml:space="preserve"> </w:t>
      </w:r>
      <w:r>
        <w:rPr>
          <w:i/>
          <w:iCs/>
        </w:rPr>
        <w:t xml:space="preserve">76</w:t>
      </w:r>
      <w:r>
        <w:t xml:space="preserve"> </w:t>
      </w:r>
      <w:r>
        <w:rPr>
          <w:i/>
          <w:iCs/>
        </w:rPr>
        <w:t xml:space="preserve">Y</w:t>
      </w:r>
      <w:r>
        <w:t xml:space="preserve"> </w:t>
      </w:r>
      <w:r>
        <w:t xml:space="preserve">structure as genealogies, but describe the origin of natural phenomena or gods rather than human lineage. The</w:t>
      </w:r>
      <w:r>
        <w:t xml:space="preserve"> </w:t>
      </w:r>
      <w:r>
        <w:rPr>
          <w:b/>
          <w:bCs/>
        </w:rPr>
        <w:t xml:space="preserve">Santiago Staff (I)</w:t>
      </w:r>
      <w:r>
        <w:t xml:space="preserve"> </w:t>
      </w:r>
      <w:r>
        <w:t xml:space="preserve">provides clear examples: many of its segments appear to be mythic verses where animals, deities, or elements copulate and produce new entities</w:t>
      </w:r>
      <w:hyperlink r:id="rId33">
        <w:r>
          <w:rPr>
            <w:rStyle w:val="Hyperlink"/>
          </w:rPr>
          <w:t xml:space="preserve">[14]</w:t>
        </w:r>
      </w:hyperlink>
      <w:r>
        <w:t xml:space="preserve">. For instance, one sequence on the staff was deciphered as</w:t>
      </w:r>
      <w:r>
        <w:t xml:space="preserve"> </w:t>
      </w:r>
      <w:r>
        <w:rPr>
          <w:b/>
          <w:bCs/>
        </w:rPr>
        <w:t xml:space="preserve">“All the birds (composite glyph 606) copulated with the fish (glyph 700), (and) the sun (glyph 8) issued forth.”</w:t>
      </w:r>
      <w:hyperlink r:id="rId42">
        <w:r>
          <w:rPr>
            <w:rStyle w:val="Hyperlink"/>
          </w:rPr>
          <w:t xml:space="preserve">[22]</w:t>
        </w:r>
      </w:hyperlink>
      <w:r>
        <w:t xml:space="preserve">. In Rongorongo glyph terms, this corresponds to</w:t>
      </w:r>
      <w:r>
        <w:t xml:space="preserve"> </w:t>
      </w:r>
      <w:r>
        <w:rPr>
          <w:i/>
          <w:iCs/>
        </w:rPr>
        <w:t xml:space="preserve">606-76-700-8</w:t>
      </w:r>
      <w:r>
        <w:t xml:space="preserve">, which closely matches a Polynesian creation chant formula (subject</w:t>
      </w:r>
      <w:r>
        <w:t xml:space="preserve"> </w:t>
      </w:r>
      <w:r>
        <w:rPr>
          <w:i/>
          <w:iCs/>
        </w:rPr>
        <w:t xml:space="preserve">606</w:t>
      </w:r>
      <w:r>
        <w:t xml:space="preserve"> </w:t>
      </w:r>
      <w:r>
        <w:t xml:space="preserve">“all birds” +</w:t>
      </w:r>
      <w:r>
        <w:t xml:space="preserve"> </w:t>
      </w:r>
      <w:r>
        <w:rPr>
          <w:b/>
          <w:bCs/>
        </w:rPr>
        <w:t xml:space="preserve">76</w:t>
      </w:r>
      <w:r>
        <w:t xml:space="preserve"> </w:t>
      </w:r>
      <w:r>
        <w:t xml:space="preserve">+ object</w:t>
      </w:r>
      <w:r>
        <w:t xml:space="preserve"> </w:t>
      </w:r>
      <w:r>
        <w:rPr>
          <w:i/>
          <w:iCs/>
        </w:rPr>
        <w:t xml:space="preserve">700</w:t>
      </w:r>
      <w:r>
        <w:t xml:space="preserve"> </w:t>
      </w:r>
      <w:r>
        <w:t xml:space="preserve">“fish” -&gt; result</w:t>
      </w:r>
      <w:r>
        <w:t xml:space="preserve"> </w:t>
      </w:r>
      <w:r>
        <w:rPr>
          <w:i/>
          <w:iCs/>
        </w:rPr>
        <w:t xml:space="preserve">8</w:t>
      </w:r>
      <w:r>
        <w:t xml:space="preserve"> </w:t>
      </w:r>
      <w:r>
        <w:t xml:space="preserve">“sun”)</w:t>
      </w:r>
      <w:hyperlink r:id="rId42">
        <w:r>
          <w:rPr>
            <w:rStyle w:val="Hyperlink"/>
          </w:rPr>
          <w:t xml:space="preserve">[22]</w:t>
        </w:r>
      </w:hyperlink>
      <w:r>
        <w:t xml:space="preserve">. Such triadic statements are strikingly similar to known Rapa Nui cosmogonic chants – notably the</w:t>
      </w:r>
      <w:r>
        <w:t xml:space="preserve"> </w:t>
      </w:r>
      <w:r>
        <w:rPr>
          <w:b/>
          <w:bCs/>
        </w:rPr>
        <w:t xml:space="preserve">Atua Matariri</w:t>
      </w:r>
      <w:r>
        <w:t xml:space="preserve"> </w:t>
      </w:r>
      <w:r>
        <w:t xml:space="preserve">procreation chant recorded in the 19th century, in which each verse declares something like</w:t>
      </w:r>
      <w:r>
        <w:t xml:space="preserve"> </w:t>
      </w:r>
      <w:r>
        <w:rPr>
          <w:i/>
          <w:iCs/>
        </w:rPr>
        <w:t xml:space="preserve">“X, by copulating with Y, produced Z.”</w:t>
      </w:r>
      <w:hyperlink r:id="rId43">
        <w:r>
          <w:rPr>
            <w:rStyle w:val="Hyperlink"/>
          </w:rPr>
          <w:t xml:space="preserve">[23]</w:t>
        </w:r>
      </w:hyperlink>
      <w:r>
        <w:t xml:space="preserve">.</w:t>
      </w:r>
      <w:r>
        <w:t xml:space="preserve"> </w:t>
      </w:r>
      <w:r>
        <w:rPr>
          <w:i/>
          <w:iCs/>
        </w:rPr>
        <w:t xml:space="preserve">Example:</w:t>
      </w:r>
      <w:r>
        <w:t xml:space="preserve"> </w:t>
      </w:r>
      <w:r>
        <w:t xml:space="preserve">one Atua Matariri verse says</w:t>
      </w:r>
      <w:r>
        <w:t xml:space="preserve"> </w:t>
      </w:r>
      <w:r>
        <w:rPr>
          <w:i/>
          <w:iCs/>
        </w:rPr>
        <w:t xml:space="preserve">“Atua Matariri ki ‘ai ki roto ki a Taporo, ka pú te poporo,”</w:t>
      </w:r>
      <w:r>
        <w:t xml:space="preserve"> </w:t>
      </w:r>
      <w:r>
        <w:t xml:space="preserve">meaning</w:t>
      </w:r>
      <w:r>
        <w:t xml:space="preserve"> </w:t>
      </w:r>
      <w:r>
        <w:rPr>
          <w:b/>
          <w:bCs/>
        </w:rPr>
        <w:t xml:space="preserve">“God Atua Matariri and goddess Taporo produced the poporo plant.”</w:t>
      </w:r>
      <w:hyperlink r:id="rId43">
        <w:r>
          <w:rPr>
            <w:rStyle w:val="Hyperlink"/>
          </w:rPr>
          <w:t xml:space="preserve">[23]</w:t>
        </w:r>
      </w:hyperlink>
      <w:r>
        <w:t xml:space="preserve">. This provides a cultural template for interpreting the Rongorongo sequences: the script encodes the same</w:t>
      </w:r>
      <w:r>
        <w:t xml:space="preserve"> </w:t>
      </w:r>
      <w:r>
        <w:rPr>
          <w:b/>
          <w:bCs/>
        </w:rPr>
        <w:t xml:space="preserve">mythical pairings and offspring</w:t>
      </w:r>
      <w:r>
        <w:t xml:space="preserve"> </w:t>
      </w:r>
      <w:r>
        <w:t xml:space="preserve">format, using glyph 76 as the “procreative” verb.</w:t>
      </w:r>
    </w:p>
    <w:p>
      <w:pPr>
        <w:pStyle w:val="BodyText"/>
      </w:pPr>
      <w:r>
        <w:t xml:space="preserve">On the large tablets believed to contain</w:t>
      </w:r>
      <w:r>
        <w:t xml:space="preserve"> </w:t>
      </w:r>
      <w:r>
        <w:rPr>
          <w:b/>
          <w:bCs/>
        </w:rPr>
        <w:t xml:space="preserve">cosmological hymns</w:t>
      </w:r>
      <w:r>
        <w:t xml:space="preserve"> </w:t>
      </w:r>
      <w:r>
        <w:t xml:space="preserve">– especially the so-called</w:t>
      </w:r>
      <w:r>
        <w:t xml:space="preserve"> </w:t>
      </w:r>
      <w:r>
        <w:rPr>
          <w:b/>
          <w:bCs/>
        </w:rPr>
        <w:t xml:space="preserve">“Great Chant”</w:t>
      </w:r>
      <w:r>
        <w:t xml:space="preserve"> </w:t>
      </w:r>
      <w:r>
        <w:t xml:space="preserve">texts (Tablets H, P, Q, and parts of A) – we find abundant evidence of creation themes. The Great Chant opens with</w:t>
      </w:r>
      <w:r>
        <w:t xml:space="preserve"> </w:t>
      </w:r>
      <w:r>
        <w:rPr>
          <w:b/>
          <w:bCs/>
        </w:rPr>
        <w:t xml:space="preserve">cosmogonic motifs</w:t>
      </w:r>
      <w:r>
        <w:t xml:space="preserve">: glyphs representing sky or heaven, earth, and various creatures (fish, birds, turtles) appear in orderly succession</w:t>
      </w:r>
      <w:hyperlink r:id="rId44">
        <w:r>
          <w:rPr>
            <w:rStyle w:val="Hyperlink"/>
          </w:rPr>
          <w:t xml:space="preserve">[24]</w:t>
        </w:r>
      </w:hyperlink>
      <w:r>
        <w:t xml:space="preserve">. For example,</w:t>
      </w:r>
      <w:r>
        <w:t xml:space="preserve"> </w:t>
      </w:r>
      <w:r>
        <w:rPr>
          <w:b/>
          <w:bCs/>
        </w:rPr>
        <w:t xml:space="preserve">glyph 33</w:t>
      </w:r>
      <w:r>
        <w:t xml:space="preserve"> </w:t>
      </w:r>
      <w:r>
        <w:t xml:space="preserve">(interpreted as</w:t>
      </w:r>
      <w:r>
        <w:t xml:space="preserve"> </w:t>
      </w:r>
      <w:r>
        <w:rPr>
          <w:i/>
          <w:iCs/>
        </w:rPr>
        <w:t xml:space="preserve">rangi</w:t>
      </w:r>
      <w:r>
        <w:t xml:space="preserve"> </w:t>
      </w:r>
      <w:r>
        <w:t xml:space="preserve">“sky”) and other natural symbols occur early, alongside</w:t>
      </w:r>
      <w:r>
        <w:t xml:space="preserve"> </w:t>
      </w:r>
      <w:r>
        <w:rPr>
          <w:b/>
          <w:bCs/>
        </w:rPr>
        <w:t xml:space="preserve">glyph 600</w:t>
      </w:r>
      <w:r>
        <w:t xml:space="preserve"> </w:t>
      </w:r>
      <w:r>
        <w:t xml:space="preserve">(bird, here a likely creator or sacred symbol) and</w:t>
      </w:r>
      <w:r>
        <w:t xml:space="preserve"> </w:t>
      </w:r>
      <w:r>
        <w:rPr>
          <w:b/>
          <w:bCs/>
        </w:rPr>
        <w:t xml:space="preserve">glyph 750</w:t>
      </w:r>
      <w:r>
        <w:t xml:space="preserve"> </w:t>
      </w:r>
      <w:r>
        <w:t xml:space="preserve">(turtle, glossed as “ancient, old”) – suggesting a recitation of the world’s</w:t>
      </w:r>
      <w:r>
        <w:t xml:space="preserve"> </w:t>
      </w:r>
      <w:r>
        <w:rPr>
          <w:b/>
          <w:bCs/>
        </w:rPr>
        <w:t xml:space="preserve">origin</w:t>
      </w:r>
      <w:r>
        <w:t xml:space="preserve">, enumerating how life forms and elements came to be</w:t>
      </w:r>
      <w:hyperlink r:id="rId44">
        <w:r>
          <w:rPr>
            <w:rStyle w:val="Hyperlink"/>
          </w:rPr>
          <w:t xml:space="preserve">[24]</w:t>
        </w:r>
      </w:hyperlink>
      <w:r>
        <w:t xml:space="preserve">. It is likely that this portion of the text describes a</w:t>
      </w:r>
      <w:r>
        <w:t xml:space="preserve"> </w:t>
      </w:r>
      <w:r>
        <w:rPr>
          <w:b/>
          <w:bCs/>
        </w:rPr>
        <w:t xml:space="preserve">Polynesian creation genealogy</w:t>
      </w:r>
      <w:r>
        <w:t xml:space="preserve"> </w:t>
      </w:r>
      <w:r>
        <w:t xml:space="preserve">of the world, where primal beings or forces beget subsequent elements (e.g. sky and earth giving rise to creatures, etc.). Indeed, analysts have identified repeated segments in the Great Chant that mirror the</w:t>
      </w:r>
      <w:r>
        <w:t xml:space="preserve"> </w:t>
      </w:r>
      <w:r>
        <w:rPr>
          <w:i/>
          <w:iCs/>
        </w:rPr>
        <w:t xml:space="preserve">“X begat Y; Y begat Z”</w:t>
      </w:r>
      <w:r>
        <w:t xml:space="preserve"> </w:t>
      </w:r>
      <w:r>
        <w:t xml:space="preserve">structure, implying a mythic lineage of gods or cosmic elements</w:t>
      </w:r>
      <w:hyperlink r:id="rId44">
        <w:r>
          <w:rPr>
            <w:rStyle w:val="Hyperlink"/>
          </w:rPr>
          <w:t xml:space="preserve">[25]</w:t>
        </w:r>
      </w:hyperlink>
      <w:r>
        <w:t xml:space="preserve">.</w:t>
      </w:r>
    </w:p>
    <w:p>
      <w:pPr>
        <w:pStyle w:val="BodyText"/>
      </w:pPr>
      <w:r>
        <w:t xml:space="preserve">The</w:t>
      </w:r>
      <w:r>
        <w:t xml:space="preserve"> </w:t>
      </w:r>
      <w:r>
        <w:rPr>
          <w:b/>
          <w:bCs/>
        </w:rPr>
        <w:t xml:space="preserve">Atua Matariri-style</w:t>
      </w:r>
      <w:r>
        <w:t xml:space="preserve"> </w:t>
      </w:r>
      <w:r>
        <w:t xml:space="preserve">pattern is explicitly observed on the</w:t>
      </w:r>
      <w:r>
        <w:t xml:space="preserve"> </w:t>
      </w:r>
      <w:r>
        <w:rPr>
          <w:b/>
          <w:bCs/>
        </w:rPr>
        <w:t xml:space="preserve">Santiago Staff</w:t>
      </w:r>
      <w:r>
        <w:t xml:space="preserve"> </w:t>
      </w:r>
      <w:r>
        <w:t xml:space="preserve">as noted above, and similar patterns are hypothesized in Tablet C (Mamari) and others that contain non-genealogical narratives. Steven Fischer long ago posited that the Staff is composed largely of these</w:t>
      </w:r>
      <w:r>
        <w:t xml:space="preserve"> </w:t>
      </w:r>
      <w:r>
        <w:rPr>
          <w:b/>
          <w:bCs/>
        </w:rPr>
        <w:t xml:space="preserve">“phallic triplets”</w:t>
      </w:r>
      <w:r>
        <w:t xml:space="preserve"> </w:t>
      </w:r>
      <w:r>
        <w:t xml:space="preserve">– sequences of three glyphs where glyph 76 attaches to a subject to indicate it mating with a following entity, yielding a third glyph as outcome</w:t>
      </w:r>
      <w:hyperlink r:id="rId33">
        <w:r>
          <w:rPr>
            <w:rStyle w:val="Hyperlink"/>
          </w:rPr>
          <w:t xml:space="preserve">[14]</w:t>
        </w:r>
      </w:hyperlink>
      <w:r>
        <w:t xml:space="preserve">. Modern decipherment confirms many of these triads on the Staff,</w:t>
      </w:r>
      <w:r>
        <w:t xml:space="preserve"> </w:t>
      </w:r>
      <w:r>
        <w:rPr>
          <w:i/>
          <w:iCs/>
        </w:rPr>
        <w:t xml:space="preserve">though not all segments strictly follow the formula</w:t>
      </w:r>
      <w:r>
        <w:t xml:space="preserve">, indicating some verses may be abbreviated or use alternate wording</w:t>
      </w:r>
      <w:hyperlink r:id="rId45">
        <w:r>
          <w:rPr>
            <w:rStyle w:val="Hyperlink"/>
          </w:rPr>
          <w:t xml:space="preserve">[26]</w:t>
        </w:r>
      </w:hyperlink>
      <w:r>
        <w:t xml:space="preserve">. Still, a substantial portion of Rongorongo texts can now be read as</w:t>
      </w:r>
      <w:r>
        <w:t xml:space="preserve"> </w:t>
      </w:r>
      <w:r>
        <w:rPr>
          <w:b/>
          <w:bCs/>
        </w:rPr>
        <w:t xml:space="preserve">Polynesian cosmogonic verses</w:t>
      </w:r>
      <w:r>
        <w:t xml:space="preserve">. For example, if we encounter a sequence like</w:t>
      </w:r>
      <w:r>
        <w:t xml:space="preserve"> </w:t>
      </w:r>
      <w:r>
        <w:rPr>
          <w:i/>
          <w:iCs/>
        </w:rPr>
        <w:t xml:space="preserve">A–76–B C</w:t>
      </w:r>
      <w:r>
        <w:t xml:space="preserve">, where A and B are non-human symbols (animals, elements) and C is another entity, we interpret it as</w:t>
      </w:r>
      <w:r>
        <w:t xml:space="preserve"> </w:t>
      </w:r>
      <w:r>
        <w:rPr>
          <w:i/>
          <w:iCs/>
        </w:rPr>
        <w:t xml:space="preserve">“A together with B produced C.”</w:t>
      </w:r>
      <w:r>
        <w:t xml:space="preserve"> </w:t>
      </w:r>
      <w:r>
        <w:t xml:space="preserve">This approach has yielded plausible readings: e.g., one segment appears to say</w:t>
      </w:r>
      <w:r>
        <w:t xml:space="preserve"> </w:t>
      </w:r>
      <w:r>
        <w:rPr>
          <w:i/>
          <w:iCs/>
        </w:rPr>
        <w:t xml:space="preserve">“the (mythic) fish and water begat the rocks”</w:t>
      </w:r>
      <w:r>
        <w:t xml:space="preserve"> </w:t>
      </w:r>
      <w:r>
        <w:t xml:space="preserve">(aligning with a creation tale of fish spawning land)</w:t>
      </w:r>
      <w:hyperlink r:id="rId46">
        <w:r>
          <w:rPr>
            <w:rStyle w:val="Hyperlink"/>
          </w:rPr>
          <w:t xml:space="preserve">[27]</w:t>
        </w:r>
      </w:hyperlink>
      <w:r>
        <w:t xml:space="preserve">. Each identified pairing often resonates with known Polynesian myths or local Rapa Nui lore, lending credence to these translations.</w:t>
      </w:r>
    </w:p>
    <w:p>
      <w:pPr>
        <w:pStyle w:val="BodyText"/>
      </w:pPr>
      <w:r>
        <w:t xml:space="preserve">In summary,</w:t>
      </w:r>
      <w:r>
        <w:t xml:space="preserve"> </w:t>
      </w:r>
      <w:r>
        <w:rPr>
          <w:b/>
          <w:bCs/>
        </w:rPr>
        <w:t xml:space="preserve">procreation chains</w:t>
      </w:r>
      <w:r>
        <w:t xml:space="preserve"> </w:t>
      </w:r>
      <w:r>
        <w:t xml:space="preserve">in Rongorongo are</w:t>
      </w:r>
      <w:r>
        <w:t xml:space="preserve"> </w:t>
      </w:r>
      <w:r>
        <w:rPr>
          <w:b/>
          <w:bCs/>
        </w:rPr>
        <w:t xml:space="preserve">cosmogonic genealogies</w:t>
      </w:r>
      <w:r>
        <w:t xml:space="preserve">: they enumerate how gods, animals, or forces engendered new creations. The texts achieve this with the same glyph 76 “procreate/begat” connector used in human genealogies</w:t>
      </w:r>
      <w:hyperlink r:id="rId47">
        <w:r>
          <w:rPr>
            <w:rStyle w:val="Hyperlink"/>
          </w:rPr>
          <w:t xml:space="preserve">[28]</w:t>
        </w:r>
      </w:hyperlink>
      <w:r>
        <w:t xml:space="preserve">. The difference is in the cast of characters: instead of father-son human succession, we see mythic couples and their offspring (sometimes even personified natural phenomena). By recognizing these recurring formulas and matching them with chants like Atua Matariri, researchers have begun to read Rongorongo’s</w:t>
      </w:r>
      <w:r>
        <w:t xml:space="preserve"> </w:t>
      </w:r>
      <w:r>
        <w:rPr>
          <w:b/>
          <w:bCs/>
        </w:rPr>
        <w:t xml:space="preserve">silent creation stories</w:t>
      </w:r>
      <w:r>
        <w:t xml:space="preserve"> </w:t>
      </w:r>
      <w:r>
        <w:t xml:space="preserve">– for instance, unraveling how</w:t>
      </w:r>
      <w:r>
        <w:t xml:space="preserve"> </w:t>
      </w:r>
      <w:r>
        <w:rPr>
          <w:i/>
          <w:iCs/>
        </w:rPr>
        <w:t xml:space="preserve">“all birds and fish together brought forth the Sun”</w:t>
      </w:r>
      <w:r>
        <w:t xml:space="preserve"> </w:t>
      </w:r>
      <w:r>
        <w:t xml:space="preserve">in the island’s own poetic register</w:t>
      </w:r>
      <w:hyperlink r:id="rId42">
        <w:r>
          <w:rPr>
            <w:rStyle w:val="Hyperlink"/>
          </w:rPr>
          <w:t xml:space="preserve">[22]</w:t>
        </w:r>
      </w:hyperlink>
      <w:r>
        <w:t xml:space="preserve">. These findings show that the script encodes not just lists of names, but the</w:t>
      </w:r>
      <w:r>
        <w:t xml:space="preserve"> </w:t>
      </w:r>
      <w:r>
        <w:rPr>
          <w:b/>
          <w:bCs/>
        </w:rPr>
        <w:t xml:space="preserve">Rapa Nui cosmology</w:t>
      </w:r>
      <w:r>
        <w:t xml:space="preserve"> </w:t>
      </w:r>
      <w:r>
        <w:t xml:space="preserve">– the genealogy of the gods, animals, and elements that populate their world.</w:t>
      </w:r>
    </w:p>
    <w:bookmarkEnd w:id="48"/>
    <w:bookmarkStart w:id="55" w:name="lunar-calendrical-sequences"/>
    <w:p>
      <w:pPr>
        <w:pStyle w:val="Heading2"/>
      </w:pPr>
      <w:r>
        <w:t xml:space="preserve">Lunar Calendrical Sequences</w:t>
      </w:r>
    </w:p>
    <w:p>
      <w:pPr>
        <w:pStyle w:val="FirstParagraph"/>
      </w:pPr>
      <w:r>
        <w:t xml:space="preserve">One of the earliest deciphered aspects of Rongorongo was its</w:t>
      </w:r>
      <w:r>
        <w:t xml:space="preserve"> </w:t>
      </w:r>
      <w:r>
        <w:rPr>
          <w:b/>
          <w:bCs/>
        </w:rPr>
        <w:t xml:space="preserve">calendrical content</w:t>
      </w:r>
      <w:r>
        <w:t xml:space="preserve">, specifically relating to the lunar month. Tablet C (</w:t>
      </w:r>
      <w:r>
        <w:rPr>
          <w:i/>
          <w:iCs/>
        </w:rPr>
        <w:t xml:space="preserve">Mamari</w:t>
      </w:r>
      <w:r>
        <w:t xml:space="preserve">) famously contains a sequence that scholars identified as a</w:t>
      </w:r>
      <w:r>
        <w:t xml:space="preserve"> </w:t>
      </w:r>
      <w:r>
        <w:rPr>
          <w:b/>
          <w:bCs/>
        </w:rPr>
        <w:t xml:space="preserve">lunar calendar</w:t>
      </w:r>
      <w:r>
        <w:t xml:space="preserve"> </w:t>
      </w:r>
      <w:r>
        <w:t xml:space="preserve">– the nights of a month, from new moon to full and back to new. This interpretation has been</w:t>
      </w:r>
      <w:r>
        <w:t xml:space="preserve"> </w:t>
      </w:r>
      <w:r>
        <w:rPr>
          <w:b/>
          <w:bCs/>
        </w:rPr>
        <w:t xml:space="preserve">confirmed and refined</w:t>
      </w:r>
      <w:r>
        <w:t xml:space="preserve"> </w:t>
      </w:r>
      <w:r>
        <w:t xml:space="preserve">by recent lexicon updates and cross-tablet analysis. In Mamari’s text, a cycle of ~30 glyphs corresponds to the 30 nights of a traditional Polynesian month</w:t>
      </w:r>
      <w:hyperlink r:id="rId49">
        <w:r>
          <w:rPr>
            <w:rStyle w:val="Hyperlink"/>
          </w:rPr>
          <w:t xml:space="preserve">[29]</w:t>
        </w:r>
      </w:hyperlink>
      <w:r>
        <w:t xml:space="preserve">. Certain glyphs within this cycle have been decoded as</w:t>
      </w:r>
      <w:r>
        <w:t xml:space="preserve"> </w:t>
      </w:r>
      <w:r>
        <w:rPr>
          <w:b/>
          <w:bCs/>
        </w:rPr>
        <w:t xml:space="preserve">lunar phase markers</w:t>
      </w:r>
      <w:r>
        <w:t xml:space="preserve"> </w:t>
      </w:r>
      <w:r>
        <w:t xml:space="preserve">with high confidence. For example,</w:t>
      </w:r>
      <w:r>
        <w:t xml:space="preserve"> </w:t>
      </w:r>
      <w:r>
        <w:rPr>
          <w:b/>
          <w:bCs/>
        </w:rPr>
        <w:t xml:space="preserve">glyph 74</w:t>
      </w:r>
      <w:r>
        <w:t xml:space="preserve"> </w:t>
      </w:r>
      <w:r>
        <w:t xml:space="preserve">is confirmed to represent the</w:t>
      </w:r>
      <w:r>
        <w:t xml:space="preserve"> </w:t>
      </w:r>
      <w:r>
        <w:rPr>
          <w:b/>
          <w:bCs/>
        </w:rPr>
        <w:t xml:space="preserve">New Moon</w:t>
      </w:r>
      <w:r>
        <w:t xml:space="preserve"> </w:t>
      </w:r>
      <w:r>
        <w:t xml:space="preserve">(a tiny crescent shape indicating the start of the lunar month)</w:t>
      </w:r>
      <w:hyperlink r:id="rId49">
        <w:r>
          <w:rPr>
            <w:rStyle w:val="Hyperlink"/>
          </w:rPr>
          <w:t xml:space="preserve">[29]</w:t>
        </w:r>
      </w:hyperlink>
      <w:r>
        <w:t xml:space="preserve">. Midway through the sequence, a distinctive round glyph –</w:t>
      </w:r>
      <w:r>
        <w:t xml:space="preserve"> </w:t>
      </w:r>
      <w:r>
        <w:rPr>
          <w:b/>
          <w:bCs/>
        </w:rPr>
        <w:t xml:space="preserve">glyph 152</w:t>
      </w:r>
      <w:r>
        <w:t xml:space="preserve"> </w:t>
      </w:r>
      <w:r>
        <w:t xml:space="preserve">– appears, which the lexicon identifies as the</w:t>
      </w:r>
      <w:r>
        <w:t xml:space="preserve"> </w:t>
      </w:r>
      <w:r>
        <w:rPr>
          <w:b/>
          <w:bCs/>
        </w:rPr>
        <w:t xml:space="preserve">Full Moon</w:t>
      </w:r>
      <w:r>
        <w:t xml:space="preserve"> </w:t>
      </w:r>
      <w:r>
        <w:t xml:space="preserve">symbol (literally meaning “complete/whole moon”)</w:t>
      </w:r>
      <w:hyperlink r:id="rId50">
        <w:r>
          <w:rPr>
            <w:rStyle w:val="Hyperlink"/>
          </w:rPr>
          <w:t xml:space="preserve">[30]</w:t>
        </w:r>
      </w:hyperlink>
      <w:r>
        <w:t xml:space="preserve">. After the full moon, the sequence of glyphs proceeds in reverse order, reflecting the</w:t>
      </w:r>
      <w:r>
        <w:t xml:space="preserve"> </w:t>
      </w:r>
      <w:r>
        <w:rPr>
          <w:b/>
          <w:bCs/>
        </w:rPr>
        <w:t xml:space="preserve">waning phases</w:t>
      </w:r>
      <w:r>
        <w:t xml:space="preserve"> </w:t>
      </w:r>
      <w:r>
        <w:t xml:space="preserve">of the moon</w:t>
      </w:r>
      <w:hyperlink r:id="rId51">
        <w:r>
          <w:rPr>
            <w:rStyle w:val="Hyperlink"/>
          </w:rPr>
          <w:t xml:space="preserve">[31]</w:t>
        </w:r>
      </w:hyperlink>
      <w:r>
        <w:t xml:space="preserve">. Another glyph,</w:t>
      </w:r>
      <w:r>
        <w:t xml:space="preserve"> </w:t>
      </w:r>
      <w:r>
        <w:rPr>
          <w:b/>
          <w:bCs/>
        </w:rPr>
        <w:t xml:space="preserve">78</w:t>
      </w:r>
      <w:r>
        <w:t xml:space="preserve">, has been read as a</w:t>
      </w:r>
      <w:r>
        <w:t xml:space="preserve"> </w:t>
      </w:r>
      <w:r>
        <w:rPr>
          <w:b/>
          <w:bCs/>
        </w:rPr>
        <w:t xml:space="preserve">waning gibbous moon</w:t>
      </w:r>
      <w:r>
        <w:t xml:space="preserve"> </w:t>
      </w:r>
      <w:r>
        <w:t xml:space="preserve">sign – a post-full phase indicator</w:t>
      </w:r>
      <w:hyperlink r:id="rId49">
        <w:r>
          <w:rPr>
            <w:rStyle w:val="Hyperlink"/>
          </w:rPr>
          <w:t xml:space="preserve">[29]</w:t>
        </w:r>
      </w:hyperlink>
      <w:r>
        <w:t xml:space="preserve">.</w:t>
      </w:r>
    </w:p>
    <w:p>
      <w:pPr>
        <w:pStyle w:val="BodyText"/>
      </w:pPr>
      <w:r>
        <w:rPr>
          <w:b/>
          <w:bCs/>
        </w:rPr>
        <w:t xml:space="preserve">Structure of the Lunar Sequence:</w:t>
      </w:r>
      <w:r>
        <w:t xml:space="preserve"> </w:t>
      </w:r>
      <w:r>
        <w:t xml:space="preserve">The Mamari calendar is structured in a deliberate way: it likely begins at the first night after the new moon and enumerates each night with a combination of glyphs, some indicating the</w:t>
      </w:r>
      <w:r>
        <w:t xml:space="preserve"> </w:t>
      </w:r>
      <w:r>
        <w:rPr>
          <w:b/>
          <w:bCs/>
        </w:rPr>
        <w:t xml:space="preserve">night count or name</w:t>
      </w:r>
      <w:r>
        <w:t xml:space="preserve"> </w:t>
      </w:r>
      <w:r>
        <w:t xml:space="preserve">and others indicating the moon’s shape/phase</w:t>
      </w:r>
      <w:hyperlink r:id="rId52">
        <w:r>
          <w:rPr>
            <w:rStyle w:val="Hyperlink"/>
          </w:rPr>
          <w:t xml:space="preserve">[32]</w:t>
        </w:r>
      </w:hyperlink>
      <w:r>
        <w:t xml:space="preserve">. The</w:t>
      </w:r>
      <w:r>
        <w:t xml:space="preserve"> </w:t>
      </w:r>
      <w:r>
        <w:rPr>
          <w:b/>
          <w:bCs/>
        </w:rPr>
        <w:t xml:space="preserve">full moon (glyph 152)</w:t>
      </w:r>
      <w:r>
        <w:t xml:space="preserve"> </w:t>
      </w:r>
      <w:r>
        <w:t xml:space="preserve">occurs at the middle, effectively dividing the month into waxing and waning halves</w:t>
      </w:r>
      <w:hyperlink r:id="rId53">
        <w:r>
          <w:rPr>
            <w:rStyle w:val="Hyperlink"/>
          </w:rPr>
          <w:t xml:space="preserve">[33]</w:t>
        </w:r>
      </w:hyperlink>
      <w:r>
        <w:t xml:space="preserve">. Notably, the full moon glyph appears to be flanked or followed by mirrored/reversed forms of certain glyphs to signal that the sequence is now in the waning phase</w:t>
      </w:r>
      <w:hyperlink r:id="rId51">
        <w:r>
          <w:rPr>
            <w:rStyle w:val="Hyperlink"/>
          </w:rPr>
          <w:t xml:space="preserve">[31]</w:t>
        </w:r>
      </w:hyperlink>
      <w:r>
        <w:t xml:space="preserve">. The end of the month sequence is marked by a return to a darkness/new moon glyph, sometimes accompanied by other symbols (one analysis notes a fish glyph at the very end, which might indicate a ceremonial closure of the cycle)</w:t>
      </w:r>
      <w:hyperlink r:id="rId54">
        <w:r>
          <w:rPr>
            <w:rStyle w:val="Hyperlink"/>
          </w:rPr>
          <w:t xml:space="preserve">[34]</w:t>
        </w:r>
      </w:hyperlink>
      <w:r>
        <w:t xml:space="preserve">. Overall, the Rongorongo calendar is highly systematic, confirming that the islanders tracked lunar nights closely – likely for religious or agricultural purposes (as in other Polynesian cultures, where each night has a name and significance).</w:t>
      </w:r>
    </w:p>
    <w:p>
      <w:pPr>
        <w:pStyle w:val="BodyText"/>
      </w:pPr>
      <w:r>
        <w:rPr>
          <w:b/>
          <w:bCs/>
        </w:rPr>
        <w:t xml:space="preserve">Key identified lunar glyphs include:</w:t>
      </w:r>
    </w:p>
    <w:p>
      <w:pPr>
        <w:numPr>
          <w:ilvl w:val="0"/>
          <w:numId w:val="1002"/>
        </w:numPr>
      </w:pPr>
      <w:r>
        <w:rPr>
          <w:b/>
          <w:bCs/>
        </w:rPr>
        <w:t xml:space="preserve">Glyph 74 – “New Moon”:</w:t>
      </w:r>
      <w:r>
        <w:t xml:space="preserve"> </w:t>
      </w:r>
      <w:r>
        <w:t xml:space="preserve">marks the start of the month (small crescent shape). This sign initiates the Mamari sequence, corresponding to the night of the new moon</w:t>
      </w:r>
      <w:hyperlink r:id="rId49">
        <w:r>
          <w:rPr>
            <w:rStyle w:val="Hyperlink"/>
          </w:rPr>
          <w:t xml:space="preserve">[29]</w:t>
        </w:r>
      </w:hyperlink>
      <w:r>
        <w:t xml:space="preserve">.</w:t>
      </w:r>
    </w:p>
    <w:p>
      <w:pPr>
        <w:numPr>
          <w:ilvl w:val="0"/>
          <w:numId w:val="1002"/>
        </w:numPr>
      </w:pPr>
      <w:r>
        <w:rPr>
          <w:b/>
          <w:bCs/>
        </w:rPr>
        <w:t xml:space="preserve">Glyph 152 – “Full Moon”:</w:t>
      </w:r>
      <w:r>
        <w:t xml:space="preserve"> </w:t>
      </w:r>
      <w:r>
        <w:t xml:space="preserve">a unique round anthropomorphic sign at mid-sequence, representing the full moon night (Rapanui term</w:t>
      </w:r>
      <w:r>
        <w:t xml:space="preserve"> </w:t>
      </w:r>
      <w:r>
        <w:rPr>
          <w:i/>
          <w:iCs/>
        </w:rPr>
        <w:t xml:space="preserve">rapu or te nuahine</w:t>
      </w:r>
      <w:r>
        <w:t xml:space="preserve"> </w:t>
      </w:r>
      <w:r>
        <w:t xml:space="preserve">kā). The updated lexicon confirms glyph 152 means</w:t>
      </w:r>
      <w:r>
        <w:t xml:space="preserve"> </w:t>
      </w:r>
      <w:r>
        <w:rPr>
          <w:i/>
          <w:iCs/>
        </w:rPr>
        <w:t xml:space="preserve">“full/complete moon”</w:t>
      </w:r>
      <w:r>
        <w:t xml:space="preserve"> </w:t>
      </w:r>
      <w:r>
        <w:t xml:space="preserve">with very high confidence</w:t>
      </w:r>
      <w:hyperlink r:id="rId50">
        <w:r>
          <w:rPr>
            <w:rStyle w:val="Hyperlink"/>
          </w:rPr>
          <w:t xml:space="preserve">[30]</w:t>
        </w:r>
      </w:hyperlink>
      <w:r>
        <w:t xml:space="preserve">.</w:t>
      </w:r>
    </w:p>
    <w:p>
      <w:pPr>
        <w:numPr>
          <w:ilvl w:val="0"/>
          <w:numId w:val="1002"/>
        </w:numPr>
      </w:pPr>
      <w:r>
        <w:rPr>
          <w:b/>
          <w:bCs/>
        </w:rPr>
        <w:t xml:space="preserve">Glyph 78 – “Waning Gibbous”:</w:t>
      </w:r>
      <w:r>
        <w:t xml:space="preserve"> </w:t>
      </w:r>
      <w:r>
        <w:t xml:space="preserve">appears after the full moon, indicating a late waning phase of the moon’s cycle</w:t>
      </w:r>
      <w:hyperlink r:id="rId49">
        <w:r>
          <w:rPr>
            <w:rStyle w:val="Hyperlink"/>
          </w:rPr>
          <w:t xml:space="preserve">[29]</w:t>
        </w:r>
      </w:hyperlink>
      <w:r>
        <w:t xml:space="preserve">. (By symmetry, a corresponding</w:t>
      </w:r>
      <w:r>
        <w:t xml:space="preserve"> </w:t>
      </w:r>
      <w:r>
        <w:rPr>
          <w:b/>
          <w:bCs/>
        </w:rPr>
        <w:t xml:space="preserve">waxing gibbous</w:t>
      </w:r>
      <w:r>
        <w:t xml:space="preserve"> </w:t>
      </w:r>
      <w:r>
        <w:t xml:space="preserve">marker is expected before full moon, possibly another variant glyph in the sequence.)</w:t>
      </w:r>
    </w:p>
    <w:p>
      <w:pPr>
        <w:numPr>
          <w:ilvl w:val="0"/>
          <w:numId w:val="1002"/>
        </w:numPr>
      </w:pPr>
      <w:r>
        <w:rPr>
          <w:b/>
          <w:bCs/>
        </w:rPr>
        <w:t xml:space="preserve">Glyph 17 or 18 – “First Quarter / Last Quarter”:</w:t>
      </w:r>
      <w:r>
        <w:t xml:space="preserve"> </w:t>
      </w:r>
      <w:r>
        <w:t xml:space="preserve">(Hypothesized) Crescent-shaped glyphs oriented differently may signify the first and last quarter moons. Researchers have observed that certain crescent signs flip orientation after the midpoint</w:t>
      </w:r>
      <w:hyperlink r:id="rId51">
        <w:r>
          <w:rPr>
            <w:rStyle w:val="Hyperlink"/>
          </w:rPr>
          <w:t xml:space="preserve">[31]</w:t>
        </w:r>
      </w:hyperlink>
      <w:r>
        <w:t xml:space="preserve">, likely to denote the moon now shrinking rather than growing.</w:t>
      </w:r>
    </w:p>
    <w:p>
      <w:pPr>
        <w:pStyle w:val="FirstParagraph"/>
      </w:pPr>
      <w:r>
        <w:rPr>
          <w:i/>
          <w:iCs/>
        </w:rPr>
        <w:t xml:space="preserve">(Note: The exact Barthel numbers for all nightly glyphs are beyond this summary, but the presence of a</w:t>
      </w:r>
      <w:r>
        <w:t xml:space="preserve"> </w:t>
      </w:r>
      <w:r>
        <w:rPr>
          <w:i/>
          <w:iCs/>
        </w:rPr>
        <w:t xml:space="preserve">30-night sequence</w:t>
      </w:r>
      <w:r>
        <w:t xml:space="preserve"> </w:t>
      </w:r>
      <w:r>
        <w:rPr>
          <w:i/>
          <w:iCs/>
        </w:rPr>
        <w:t xml:space="preserve">with these known phase markers securely identifies Mamari’s calendrical content</w:t>
      </w:r>
      <w:hyperlink r:id="rId49">
        <w:r>
          <w:rPr>
            <w:rStyle w:val="Hyperlink"/>
            <w:i/>
            <w:iCs/>
          </w:rPr>
          <w:t xml:space="preserve">[29]</w:t>
        </w:r>
      </w:hyperlink>
      <w:r>
        <w:rPr>
          <w:i/>
          <w:iCs/>
        </w:rPr>
        <w:t xml:space="preserve">.)</w:t>
      </w:r>
    </w:p>
    <w:p>
      <w:pPr>
        <w:pStyle w:val="BodyText"/>
      </w:pPr>
      <w:r>
        <w:t xml:space="preserve">Beyond Mamari, other tablets seem to contain</w:t>
      </w:r>
      <w:r>
        <w:t xml:space="preserve"> </w:t>
      </w:r>
      <w:r>
        <w:rPr>
          <w:b/>
          <w:bCs/>
        </w:rPr>
        <w:t xml:space="preserve">calendrical or ritual cycles</w:t>
      </w:r>
      <w:r>
        <w:t xml:space="preserve"> </w:t>
      </w:r>
      <w:r>
        <w:t xml:space="preserve">as well. Tablet E (</w:t>
      </w:r>
      <w:r>
        <w:rPr>
          <w:i/>
          <w:iCs/>
        </w:rPr>
        <w:t xml:space="preserve">Keiti</w:t>
      </w:r>
      <w:r>
        <w:t xml:space="preserve">), for instance, has a repeated 10-glyph sequence that might enumerate</w:t>
      </w:r>
      <w:r>
        <w:t xml:space="preserve"> </w:t>
      </w:r>
      <w:r>
        <w:rPr>
          <w:b/>
          <w:bCs/>
        </w:rPr>
        <w:t xml:space="preserve">ten lunar months or ritual periods</w:t>
      </w:r>
      <w:r>
        <w:t xml:space="preserve">, repeated in a cycle</w:t>
      </w:r>
      <w:hyperlink r:id="rId52">
        <w:r>
          <w:rPr>
            <w:rStyle w:val="Hyperlink"/>
          </w:rPr>
          <w:t xml:space="preserve">[32]</w:t>
        </w:r>
      </w:hyperlink>
      <w:r>
        <w:t xml:space="preserve">. Some glyphs in that sequence correspond to lunar symbols (glyph 74 and others), suggesting Keiti could encode a higher-order calendar (perhaps a year’s worth of months or a cycle of ceremonies)</w:t>
      </w:r>
      <w:hyperlink r:id="rId49">
        <w:r>
          <w:rPr>
            <w:rStyle w:val="Hyperlink"/>
          </w:rPr>
          <w:t xml:space="preserve">[35]</w:t>
        </w:r>
      </w:hyperlink>
      <w:r>
        <w:t xml:space="preserve">. In any case,</w:t>
      </w:r>
      <w:r>
        <w:t xml:space="preserve"> </w:t>
      </w:r>
      <w:r>
        <w:rPr>
          <w:b/>
          <w:bCs/>
        </w:rPr>
        <w:t xml:space="preserve">Rongorongo’s calendrical sequences</w:t>
      </w:r>
      <w:r>
        <w:t xml:space="preserve"> </w:t>
      </w:r>
      <w:r>
        <w:t xml:space="preserve">are the most concrete translations achieved so far. They demonstrate that the script was used to record the</w:t>
      </w:r>
      <w:r>
        <w:t xml:space="preserve"> </w:t>
      </w:r>
      <w:r>
        <w:rPr>
          <w:b/>
          <w:bCs/>
        </w:rPr>
        <w:t xml:space="preserve">astronomical knowledge</w:t>
      </w:r>
      <w:r>
        <w:t xml:space="preserve"> </w:t>
      </w:r>
      <w:r>
        <w:t xml:space="preserve">of the Rapa Nui – specifically, the waxing and waning of the moon across each month, which was crucial for timing agriculture, fishing, and festivals. This aligns perfectly with broader Polynesian practice, where the lunar calendar (lunar month names and moon phase observations) is integral to traditional life. The decipherment of the Mamari lunar calendar thus served as a Rosetta stone, giving researchers a foothold in understanding other parts of the texts.</w:t>
      </w:r>
    </w:p>
    <w:bookmarkEnd w:id="55"/>
    <w:bookmarkStart w:id="74" w:name="X3a622dec8a647c1a0304d0bdc080eccdee79e39"/>
    <w:p>
      <w:pPr>
        <w:pStyle w:val="Heading2"/>
      </w:pPr>
      <w:r>
        <w:t xml:space="preserve">Migration and Place-Name Travelogues (Voyage Accounts)</w:t>
      </w:r>
    </w:p>
    <w:p>
      <w:pPr>
        <w:pStyle w:val="FirstParagraph"/>
      </w:pPr>
      <w:r>
        <w:t xml:space="preserve">Several Rongorongo texts appear to preserve</w:t>
      </w:r>
      <w:r>
        <w:t xml:space="preserve"> </w:t>
      </w:r>
      <w:r>
        <w:rPr>
          <w:b/>
          <w:bCs/>
        </w:rPr>
        <w:t xml:space="preserve">narrative sequences of voyages</w:t>
      </w:r>
      <w:r>
        <w:t xml:space="preserve">, listing place-names or events in order – effectively</w:t>
      </w:r>
      <w:r>
        <w:t xml:space="preserve"> </w:t>
      </w:r>
      <w:r>
        <w:rPr>
          <w:b/>
          <w:bCs/>
        </w:rPr>
        <w:t xml:space="preserve">travelogues</w:t>
      </w:r>
      <w:r>
        <w:t xml:space="preserve"> </w:t>
      </w:r>
      <w:r>
        <w:t xml:space="preserve">of the Polynesian migrations. The clearest example is</w:t>
      </w:r>
      <w:r>
        <w:t xml:space="preserve"> </w:t>
      </w:r>
      <w:r>
        <w:rPr>
          <w:b/>
          <w:bCs/>
        </w:rPr>
        <w:t xml:space="preserve">Tablet B (Aruku Kurenga)</w:t>
      </w:r>
      <w:r>
        <w:t xml:space="preserve">, which contains three nearly parallel sequences of glyphs that modern analysis has linked to the famous Rapa Nui legend of the island’s settlement by</w:t>
      </w:r>
      <w:r>
        <w:t xml:space="preserve"> </w:t>
      </w:r>
      <w:r>
        <w:rPr>
          <w:b/>
          <w:bCs/>
        </w:rPr>
        <w:t xml:space="preserve">three voyages</w:t>
      </w:r>
      <w:hyperlink r:id="rId56">
        <w:r>
          <w:rPr>
            <w:rStyle w:val="Hyperlink"/>
          </w:rPr>
          <w:t xml:space="preserve">[36]</w:t>
        </w:r>
      </w:hyperlink>
      <w:r>
        <w:t xml:space="preserve">. Each sequence on Tablet B corresponds to one voyage in the oral tradition, and they are separated as distinct sections (likely by a section marker glyph)</w:t>
      </w:r>
      <w:hyperlink r:id="rId56">
        <w:r>
          <w:rPr>
            <w:rStyle w:val="Hyperlink"/>
          </w:rPr>
          <w:t xml:space="preserve">[37]</w:t>
        </w:r>
      </w:hyperlink>
      <w:hyperlink r:id="rId57">
        <w:r>
          <w:rPr>
            <w:rStyle w:val="Hyperlink"/>
          </w:rPr>
          <w:t xml:space="preserve">[38]</w:t>
        </w:r>
      </w:hyperlink>
      <w:r>
        <w:t xml:space="preserve">. Notably,</w:t>
      </w:r>
      <w:r>
        <w:t xml:space="preserve"> </w:t>
      </w:r>
      <w:r>
        <w:rPr>
          <w:b/>
          <w:bCs/>
        </w:rPr>
        <w:t xml:space="preserve">none of these sequences uses the “begat” glyph 76</w:t>
      </w:r>
      <w:r>
        <w:t xml:space="preserve">, meaning they are</w:t>
      </w:r>
      <w:r>
        <w:t xml:space="preserve"> </w:t>
      </w:r>
      <w:r>
        <w:rPr>
          <w:i/>
          <w:iCs/>
        </w:rPr>
        <w:t xml:space="preserve">not</w:t>
      </w:r>
      <w:r>
        <w:t xml:space="preserve"> </w:t>
      </w:r>
      <w:r>
        <w:t xml:space="preserve">genealogical lists but rather episodic narratives</w:t>
      </w:r>
      <w:hyperlink r:id="rId40">
        <w:r>
          <w:rPr>
            <w:rStyle w:val="Hyperlink"/>
          </w:rPr>
          <w:t xml:space="preserve">[21]</w:t>
        </w:r>
      </w:hyperlink>
      <w:r>
        <w:t xml:space="preserve">. Instead of lineage links, we see recurring</w:t>
      </w:r>
      <w:r>
        <w:t xml:space="preserve"> </w:t>
      </w:r>
      <w:r>
        <w:rPr>
          <w:b/>
          <w:bCs/>
        </w:rPr>
        <w:t xml:space="preserve">leader glyphs</w:t>
      </w:r>
      <w:r>
        <w:t xml:space="preserve"> </w:t>
      </w:r>
      <w:r>
        <w:t xml:space="preserve">and a progression of location or event glyphs. All three sequences</w:t>
      </w:r>
      <w:r>
        <w:t xml:space="preserve"> </w:t>
      </w:r>
      <w:r>
        <w:rPr>
          <w:i/>
          <w:iCs/>
        </w:rPr>
        <w:t xml:space="preserve">end</w:t>
      </w:r>
      <w:r>
        <w:t xml:space="preserve"> </w:t>
      </w:r>
      <w:r>
        <w:t xml:space="preserve">with a common glyph –</w:t>
      </w:r>
      <w:r>
        <w:t xml:space="preserve"> </w:t>
      </w:r>
      <w:r>
        <w:rPr>
          <w:b/>
          <w:bCs/>
        </w:rPr>
        <w:t xml:space="preserve">glyph 9</w:t>
      </w:r>
      <w:r>
        <w:t xml:space="preserve">, interpreted as</w:t>
      </w:r>
      <w:r>
        <w:t xml:space="preserve"> </w:t>
      </w:r>
      <w:r>
        <w:rPr>
          <w:i/>
          <w:iCs/>
        </w:rPr>
        <w:t xml:space="preserve">“sand/landfall (beach)”</w:t>
      </w:r>
      <w:r>
        <w:t xml:space="preserve"> </w:t>
      </w:r>
      <w:r>
        <w:t xml:space="preserve">– indicating arrival at</w:t>
      </w:r>
      <w:r>
        <w:t xml:space="preserve"> </w:t>
      </w:r>
      <w:r>
        <w:rPr>
          <w:b/>
          <w:bCs/>
        </w:rPr>
        <w:t xml:space="preserve">Anakena beach</w:t>
      </w:r>
      <w:r>
        <w:t xml:space="preserve">, the legendary landing site of the colonizers</w:t>
      </w:r>
      <w:hyperlink r:id="rId58">
        <w:r>
          <w:rPr>
            <w:rStyle w:val="Hyperlink"/>
          </w:rPr>
          <w:t xml:space="preserve">[39]</w:t>
        </w:r>
      </w:hyperlink>
      <w:hyperlink r:id="rId59">
        <w:r>
          <w:rPr>
            <w:rStyle w:val="Hyperlink"/>
          </w:rPr>
          <w:t xml:space="preserve">[40]</w:t>
        </w:r>
      </w:hyperlink>
      <w:r>
        <w:t xml:space="preserve">. In fact, Metoro (a 19th-c. native informant) read glyph</w:t>
      </w:r>
      <w:r>
        <w:t xml:space="preserve"> </w:t>
      </w:r>
      <w:r>
        <w:rPr>
          <w:i/>
          <w:iCs/>
        </w:rPr>
        <w:t xml:space="preserve">9</w:t>
      </w:r>
      <w:r>
        <w:t xml:space="preserve"> </w:t>
      </w:r>
      <w:r>
        <w:t xml:space="preserve">as</w:t>
      </w:r>
      <w:r>
        <w:t xml:space="preserve"> </w:t>
      </w:r>
      <w:r>
        <w:rPr>
          <w:i/>
          <w:iCs/>
        </w:rPr>
        <w:t xml:space="preserve">“one (sand)”</w:t>
      </w:r>
      <w:r>
        <w:t xml:space="preserve">, confirming it signifies the</w:t>
      </w:r>
      <w:r>
        <w:t xml:space="preserve"> </w:t>
      </w:r>
      <w:r>
        <w:rPr>
          <w:b/>
          <w:bCs/>
        </w:rPr>
        <w:t xml:space="preserve">sand beach of arrival</w:t>
      </w:r>
      <w:hyperlink r:id="rId59">
        <w:r>
          <w:rPr>
            <w:rStyle w:val="Hyperlink"/>
          </w:rPr>
          <w:t xml:space="preserve">[40]</w:t>
        </w:r>
      </w:hyperlink>
      <w:r>
        <w:t xml:space="preserve">. This provides a clear anchor point for each voyage account.</w:t>
      </w:r>
    </w:p>
    <w:p>
      <w:pPr>
        <w:pStyle w:val="BodyText"/>
      </w:pPr>
      <w:r>
        <w:t xml:space="preserve">The</w:t>
      </w:r>
      <w:r>
        <w:t xml:space="preserve"> </w:t>
      </w:r>
      <w:r>
        <w:rPr>
          <w:b/>
          <w:bCs/>
        </w:rPr>
        <w:t xml:space="preserve">three voyages recorded on Tablet B</w:t>
      </w:r>
      <w:r>
        <w:t xml:space="preserve"> </w:t>
      </w:r>
      <w:r>
        <w:t xml:space="preserve">can be summarized as follows:</w:t>
      </w:r>
    </w:p>
    <w:p>
      <w:pPr>
        <w:numPr>
          <w:ilvl w:val="0"/>
          <w:numId w:val="1003"/>
        </w:numPr>
      </w:pPr>
      <w:r>
        <w:rPr>
          <w:b/>
          <w:bCs/>
        </w:rPr>
        <w:t xml:space="preserve">First Voyage –</w:t>
      </w:r>
      <w:r>
        <w:t xml:space="preserve"> </w:t>
      </w:r>
      <w:r>
        <w:t xml:space="preserve">Hau-Maka’s Exploration</w:t>
      </w:r>
      <w:r>
        <w:rPr>
          <w:b/>
          <w:bCs/>
          <w:i/>
          <w:iCs/>
        </w:rPr>
        <w:t xml:space="preserve">*: The first sequence begins with a distinct leader glyph (scholars label it “A”), believed to represent the chief or seer</w:t>
      </w:r>
      <w:r>
        <w:rPr>
          <w:b/>
          <w:bCs/>
        </w:rPr>
        <w:t xml:space="preserve"> </w:t>
      </w:r>
      <w:r>
        <w:rPr>
          <w:b/>
          <w:bCs/>
        </w:rPr>
        <w:t xml:space="preserve">*Hau-Maka</w:t>
      </w:r>
      <w:hyperlink r:id="rId58">
        <w:r>
          <w:rPr>
            <w:rStyle w:val="Hyperlink"/>
          </w:rPr>
          <w:t xml:space="preserve">[39]</w:t>
        </w:r>
      </w:hyperlink>
      <w:r>
        <w:t xml:space="preserve">. In Rapa Nui tradition, Hau-Maka’s spirit traveled in a dream to find new land. The sequence proceeds with a series of place-name glyphs corresponding to landmarks Hau-Maka encountered around the island</w:t>
      </w:r>
      <w:hyperlink r:id="rId60">
        <w:r>
          <w:rPr>
            <w:rStyle w:val="Hyperlink"/>
          </w:rPr>
          <w:t xml:space="preserve">[41]</w:t>
        </w:r>
      </w:hyperlink>
      <w:r>
        <w:t xml:space="preserve"> </w:t>
      </w:r>
      <w:r>
        <w:t xml:space="preserve">– for example, signs that could denote the small islets (</w:t>
      </w:r>
      <w:r>
        <w:rPr>
          <w:i/>
          <w:iCs/>
        </w:rPr>
        <w:t xml:space="preserve">motu</w:t>
      </w:r>
      <w:r>
        <w:t xml:space="preserve">) off the coast, the Poike peninsula, etc., in the order the legend describes</w:t>
      </w:r>
      <w:hyperlink r:id="rId61">
        <w:r>
          <w:rPr>
            <w:rStyle w:val="Hyperlink"/>
          </w:rPr>
          <w:t xml:space="preserve">[42]</w:t>
        </w:r>
      </w:hyperlink>
      <w:r>
        <w:t xml:space="preserve">. Finally, it ends with</w:t>
      </w:r>
      <w:r>
        <w:t xml:space="preserve"> </w:t>
      </w:r>
      <w:r>
        <w:rPr>
          <w:b/>
          <w:bCs/>
        </w:rPr>
        <w:t xml:space="preserve">glyph 9 (sand)</w:t>
      </w:r>
      <w:r>
        <w:t xml:space="preserve">, marking Hau-Maka’s discovery of a sandy beach at</w:t>
      </w:r>
      <w:r>
        <w:t xml:space="preserve"> </w:t>
      </w:r>
      <w:r>
        <w:rPr>
          <w:b/>
          <w:bCs/>
        </w:rPr>
        <w:t xml:space="preserve">Anakena</w:t>
      </w:r>
      <w:hyperlink r:id="rId62">
        <w:r>
          <w:rPr>
            <w:rStyle w:val="Hyperlink"/>
          </w:rPr>
          <w:t xml:space="preserve">[43]</w:t>
        </w:r>
      </w:hyperlink>
      <w:r>
        <w:t xml:space="preserve">. In essence, this segment is read as an</w:t>
      </w:r>
      <w:r>
        <w:t xml:space="preserve"> </w:t>
      </w:r>
      <w:r>
        <w:rPr>
          <w:b/>
          <w:bCs/>
        </w:rPr>
        <w:t xml:space="preserve">exploration itinerary</w:t>
      </w:r>
      <w:r>
        <w:t xml:space="preserve">, tracing the coastline to the prime landing spot.</w:t>
      </w:r>
      <w:r>
        <w:t xml:space="preserve"> </w:t>
      </w:r>
      <w:r>
        <w:rPr>
          <w:i/>
          <w:iCs/>
        </w:rPr>
        <w:t xml:space="preserve">(E.g., “Hau-Maka (glyph A) … traveled past Motu Nui (glyph X), past Motu Iti (glyph Y), … and reached the sand (glyph 9 = beach at Anakena).”)</w:t>
      </w:r>
      <w:r>
        <w:t xml:space="preserve"> </w:t>
      </w:r>
      <w:r>
        <w:t xml:space="preserve">The consistent leader glyph indicates the subject (Hau-Maka) throughout this voyage.</w:t>
      </w:r>
    </w:p>
    <w:p>
      <w:pPr>
        <w:numPr>
          <w:ilvl w:val="0"/>
          <w:numId w:val="1003"/>
        </w:numPr>
      </w:pPr>
      <w:r>
        <w:rPr>
          <w:b/>
          <w:bCs/>
        </w:rPr>
        <w:t xml:space="preserve">Second Voyage –</w:t>
      </w:r>
      <w:r>
        <w:t xml:space="preserve"> </w:t>
      </w:r>
      <w:r>
        <w:t xml:space="preserve">The Scouts’ Expedition</w:t>
      </w:r>
      <w:r>
        <w:rPr>
          <w:b/>
          <w:bCs/>
          <w:i/>
          <w:iCs/>
        </w:rPr>
        <w:t xml:space="preserve">*: The second sequence on Tablet B corresponds to the journey of the</w:t>
      </w:r>
      <w:r>
        <w:rPr>
          <w:b/>
          <w:bCs/>
        </w:rPr>
        <w:t xml:space="preserve"> </w:t>
      </w:r>
      <w:r>
        <w:rPr>
          <w:b/>
          <w:bCs/>
        </w:rPr>
        <w:t xml:space="preserve">*seven young scouts</w:t>
      </w:r>
      <w:r>
        <w:t xml:space="preserve"> </w:t>
      </w:r>
      <w:r>
        <w:t xml:space="preserve">sent by the king to verify the new land, according to legend</w:t>
      </w:r>
      <w:hyperlink r:id="rId63">
        <w:r>
          <w:rPr>
            <w:rStyle w:val="Hyperlink"/>
          </w:rPr>
          <w:t xml:space="preserve">[44]</w:t>
        </w:r>
      </w:hyperlink>
      <w:r>
        <w:t xml:space="preserve">. This sequence opens with a different leader glyph (“B”), which likely represents the</w:t>
      </w:r>
      <w:r>
        <w:t xml:space="preserve"> </w:t>
      </w:r>
      <w:r>
        <w:rPr>
          <w:b/>
          <w:bCs/>
        </w:rPr>
        <w:t xml:space="preserve">group of youths</w:t>
      </w:r>
      <w:r>
        <w:t xml:space="preserve">. Notably, this sign seems to incorporate the</w:t>
      </w:r>
      <w:r>
        <w:t xml:space="preserve"> </w:t>
      </w:r>
      <w:r>
        <w:rPr>
          <w:b/>
          <w:bCs/>
        </w:rPr>
        <w:t xml:space="preserve">child/offspring glyph (7, “poki”)</w:t>
      </w:r>
      <w:r>
        <w:t xml:space="preserve"> </w:t>
      </w:r>
      <w:r>
        <w:t xml:space="preserve">in plural form, indicating “young descendants” or a band of people</w:t>
      </w:r>
      <w:hyperlink r:id="rId64">
        <w:r>
          <w:rPr>
            <w:rStyle w:val="Hyperlink"/>
          </w:rPr>
          <w:t xml:space="preserve">[45]</w:t>
        </w:r>
      </w:hyperlink>
      <w:hyperlink r:id="rId65">
        <w:r>
          <w:rPr>
            <w:rStyle w:val="Hyperlink"/>
          </w:rPr>
          <w:t xml:space="preserve">[46]</w:t>
        </w:r>
      </w:hyperlink>
      <w:r>
        <w:t xml:space="preserve">. (Metoro indeed read this glyph as</w:t>
      </w:r>
      <w:r>
        <w:t xml:space="preserve"> </w:t>
      </w:r>
      <w:r>
        <w:rPr>
          <w:i/>
          <w:iCs/>
        </w:rPr>
        <w:t xml:space="preserve">poki</w:t>
      </w:r>
      <w:r>
        <w:t xml:space="preserve">, meaning</w:t>
      </w:r>
      <w:r>
        <w:t xml:space="preserve"> </w:t>
      </w:r>
      <w:r>
        <w:rPr>
          <w:i/>
          <w:iCs/>
        </w:rPr>
        <w:t xml:space="preserve">child</w:t>
      </w:r>
      <w:r>
        <w:t xml:space="preserve">, but here it signifies multiple youngsters.) The scouts’ journey glyph string includes a unique element not seen in the other two: a</w:t>
      </w:r>
      <w:r>
        <w:t xml:space="preserve"> </w:t>
      </w:r>
      <w:r>
        <w:rPr>
          <w:b/>
          <w:bCs/>
        </w:rPr>
        <w:t xml:space="preserve">cave or tomb glyph (13)</w:t>
      </w:r>
      <w:hyperlink r:id="rId66">
        <w:r>
          <w:rPr>
            <w:rStyle w:val="Hyperlink"/>
          </w:rPr>
          <w:t xml:space="preserve">[47]</w:t>
        </w:r>
      </w:hyperlink>
      <w:r>
        <w:t xml:space="preserve">. This corresponds to the part of the legend where one of the scouts (named Kūkū‘u) dies on the island and is buried in a cave. The appearance of glyph 13 (interpreted as</w:t>
      </w:r>
      <w:r>
        <w:t xml:space="preserve"> </w:t>
      </w:r>
      <w:r>
        <w:rPr>
          <w:i/>
          <w:iCs/>
        </w:rPr>
        <w:t xml:space="preserve">ana</w:t>
      </w:r>
      <w:r>
        <w:t xml:space="preserve">, cave or burial chamber) in the second sequence beautifully</w:t>
      </w:r>
      <w:r>
        <w:t xml:space="preserve"> </w:t>
      </w:r>
      <w:r>
        <w:rPr>
          <w:b/>
          <w:bCs/>
        </w:rPr>
        <w:t xml:space="preserve">matches the oral history</w:t>
      </w:r>
      <w:hyperlink r:id="rId67">
        <w:r>
          <w:rPr>
            <w:rStyle w:val="Hyperlink"/>
          </w:rPr>
          <w:t xml:space="preserve">[48]</w:t>
        </w:r>
      </w:hyperlink>
      <w:r>
        <w:t xml:space="preserve">. After marking the cave incident, the sequence again concludes with the</w:t>
      </w:r>
      <w:r>
        <w:t xml:space="preserve"> </w:t>
      </w:r>
      <w:r>
        <w:rPr>
          <w:b/>
          <w:bCs/>
        </w:rPr>
        <w:t xml:space="preserve">beach (9)</w:t>
      </w:r>
      <w:r>
        <w:t xml:space="preserve">, indicating the scouts reached Anakena as well. Thus, the second sequence can be read as the</w:t>
      </w:r>
      <w:r>
        <w:t xml:space="preserve"> </w:t>
      </w:r>
      <w:r>
        <w:rPr>
          <w:b/>
          <w:bCs/>
        </w:rPr>
        <w:t xml:space="preserve">scouting mission</w:t>
      </w:r>
      <w:r>
        <w:t xml:space="preserve">:</w:t>
      </w:r>
      <w:r>
        <w:t xml:space="preserve"> </w:t>
      </w:r>
      <w:r>
        <w:rPr>
          <w:i/>
          <w:iCs/>
        </w:rPr>
        <w:t xml:space="preserve">“The Youths (glyph B) … came to a cave (glyph 13) [death and burial of one scout] … arrived at the sand/Anakena (glyph 9).”</w:t>
      </w:r>
    </w:p>
    <w:p>
      <w:pPr>
        <w:numPr>
          <w:ilvl w:val="0"/>
          <w:numId w:val="1003"/>
        </w:numPr>
      </w:pPr>
      <w:r>
        <w:rPr>
          <w:b/>
          <w:bCs/>
        </w:rPr>
        <w:t xml:space="preserve">Third Voyage –</w:t>
      </w:r>
      <w:r>
        <w:t xml:space="preserve"> </w:t>
      </w:r>
      <w:r>
        <w:t xml:space="preserve">Hotu Matuꞌa’s Landing</w:t>
      </w:r>
      <w:r>
        <w:rPr>
          <w:b/>
          <w:bCs/>
          <w:i/>
          <w:iCs/>
        </w:rPr>
        <w:t xml:space="preserve">*: The final sequence corresponds to the</w:t>
      </w:r>
      <w:r>
        <w:rPr>
          <w:b/>
          <w:bCs/>
        </w:rPr>
        <w:t xml:space="preserve"> </w:t>
      </w:r>
      <w:r>
        <w:rPr>
          <w:b/>
          <w:bCs/>
        </w:rPr>
        <w:t xml:space="preserve">*main migration led by Ariki Hotu Matuꞌa</w:t>
      </w:r>
      <w:r>
        <w:t xml:space="preserve">, the founding king of Rapa Nui</w:t>
      </w:r>
      <w:hyperlink r:id="rId68">
        <w:r>
          <w:rPr>
            <w:rStyle w:val="Hyperlink"/>
          </w:rPr>
          <w:t xml:space="preserve">[49]</w:t>
        </w:r>
      </w:hyperlink>
      <w:r>
        <w:t xml:space="preserve">. It begins with yet another leader glyph (“C”), which is identified as the</w:t>
      </w:r>
      <w:r>
        <w:t xml:space="preserve"> </w:t>
      </w:r>
      <w:r>
        <w:rPr>
          <w:b/>
          <w:bCs/>
        </w:rPr>
        <w:t xml:space="preserve">chief glyph (200)</w:t>
      </w:r>
      <w:r>
        <w:t xml:space="preserve"> </w:t>
      </w:r>
      <w:r>
        <w:t xml:space="preserve">– explicitly denoting an</w:t>
      </w:r>
      <w:r>
        <w:t xml:space="preserve"> </w:t>
      </w:r>
      <w:r>
        <w:rPr>
          <w:i/>
          <w:iCs/>
        </w:rPr>
        <w:t xml:space="preserve">ariki</w:t>
      </w:r>
      <w:r>
        <w:t xml:space="preserve"> </w:t>
      </w:r>
      <w:r>
        <w:t xml:space="preserve">or chief in Rongorongo</w:t>
      </w:r>
      <w:hyperlink r:id="rId69">
        <w:r>
          <w:rPr>
            <w:rStyle w:val="Hyperlink"/>
          </w:rPr>
          <w:t xml:space="preserve">[50]</w:t>
        </w:r>
      </w:hyperlink>
      <w:r>
        <w:t xml:space="preserve">. (The updated lexicon confirms that Barthel</w:t>
      </w:r>
      <w:r>
        <w:t xml:space="preserve"> </w:t>
      </w:r>
      <w:r>
        <w:rPr>
          <w:b/>
          <w:bCs/>
        </w:rPr>
        <w:t xml:space="preserve">glyph 200 means “ariki (chief)”</w:t>
      </w:r>
      <w:r>
        <w:t xml:space="preserve">, and its use here signals that Hotu Matuꞌa himself heads this voyage</w:t>
      </w:r>
      <w:hyperlink r:id="rId69">
        <w:r>
          <w:rPr>
            <w:rStyle w:val="Hyperlink"/>
          </w:rPr>
          <w:t xml:space="preserve">[50]</w:t>
        </w:r>
      </w:hyperlink>
      <w:r>
        <w:t xml:space="preserve">.) This third sequence closely parallels the route of the first two but contains a few extra glyphs, presumably reflecting</w:t>
      </w:r>
      <w:r>
        <w:t xml:space="preserve"> </w:t>
      </w:r>
      <w:r>
        <w:rPr>
          <w:b/>
          <w:bCs/>
        </w:rPr>
        <w:t xml:space="preserve">additional details</w:t>
      </w:r>
      <w:r>
        <w:t xml:space="preserve"> </w:t>
      </w:r>
      <w:r>
        <w:t xml:space="preserve">of the great migration</w:t>
      </w:r>
      <w:hyperlink r:id="rId70">
        <w:r>
          <w:rPr>
            <w:rStyle w:val="Hyperlink"/>
          </w:rPr>
          <w:t xml:space="preserve">[51]</w:t>
        </w:r>
      </w:hyperlink>
      <w:r>
        <w:t xml:space="preserve">. For example, one added sign is</w:t>
      </w:r>
      <w:r>
        <w:t xml:space="preserve"> </w:t>
      </w:r>
      <w:r>
        <w:rPr>
          <w:b/>
          <w:bCs/>
        </w:rPr>
        <w:t xml:space="preserve">glyph 8</w:t>
      </w:r>
      <w:r>
        <w:t xml:space="preserve">, the symbol for</w:t>
      </w:r>
      <w:r>
        <w:t xml:space="preserve"> </w:t>
      </w:r>
      <w:r>
        <w:rPr>
          <w:i/>
          <w:iCs/>
        </w:rPr>
        <w:t xml:space="preserve">sun or star</w:t>
      </w:r>
      <w:r>
        <w:t xml:space="preserve">, which does not appear in the earlier voyages</w:t>
      </w:r>
      <w:hyperlink r:id="rId70">
        <w:r>
          <w:rPr>
            <w:rStyle w:val="Hyperlink"/>
          </w:rPr>
          <w:t xml:space="preserve">[51]</w:t>
        </w:r>
      </w:hyperlink>
      <w:r>
        <w:t xml:space="preserve">. This might indicate a</w:t>
      </w:r>
      <w:r>
        <w:t xml:space="preserve"> </w:t>
      </w:r>
      <w:r>
        <w:rPr>
          <w:b/>
          <w:bCs/>
        </w:rPr>
        <w:t xml:space="preserve">celestial event or navigation aid</w:t>
      </w:r>
      <w:r>
        <w:t xml:space="preserve"> </w:t>
      </w:r>
      <w:r>
        <w:t xml:space="preserve">– perhaps noting that Hotu Matuꞌa’s departure or arrival was timed with a particular star or the rising sun (Polynesian navigation often used stars). Like the others, the third sequence terminates with</w:t>
      </w:r>
      <w:r>
        <w:t xml:space="preserve"> </w:t>
      </w:r>
      <w:r>
        <w:rPr>
          <w:b/>
          <w:bCs/>
        </w:rPr>
        <w:t xml:space="preserve">glyph 9 (beach)</w:t>
      </w:r>
      <w:r>
        <w:t xml:space="preserve">, marking the settlers’ landing at Anakena</w:t>
      </w:r>
      <w:hyperlink r:id="rId58">
        <w:r>
          <w:rPr>
            <w:rStyle w:val="Hyperlink"/>
          </w:rPr>
          <w:t xml:space="preserve">[39]</w:t>
        </w:r>
      </w:hyperlink>
      <w:r>
        <w:t xml:space="preserve">. A plausible reading of this segment is:</w:t>
      </w:r>
      <w:r>
        <w:t xml:space="preserve"> </w:t>
      </w:r>
      <w:r>
        <w:rPr>
          <w:i/>
          <w:iCs/>
        </w:rPr>
        <w:t xml:space="preserve">“The Chief (ariki Hotu Matuꞌa, glyph 200) … [sailed with his people] … under the sun/star (glyph 8) … until reaching the sand/shore (glyph 9 = Anakena).”</w:t>
      </w:r>
      <w:r>
        <w:t xml:space="preserve"> </w:t>
      </w:r>
      <w:r>
        <w:t xml:space="preserve">Minor variations in this sequence, such as the inclusion of a</w:t>
      </w:r>
      <w:r>
        <w:t xml:space="preserve"> </w:t>
      </w:r>
      <w:r>
        <w:rPr>
          <w:b/>
          <w:bCs/>
        </w:rPr>
        <w:t xml:space="preserve">ritual glyph or offering</w:t>
      </w:r>
      <w:r>
        <w:t xml:space="preserve"> </w:t>
      </w:r>
      <w:r>
        <w:t xml:space="preserve">(one cluster</w:t>
      </w:r>
      <w:r>
        <w:t xml:space="preserve"> </w:t>
      </w:r>
      <w:r>
        <w:rPr>
          <w:b/>
          <w:bCs/>
        </w:rPr>
        <w:t xml:space="preserve">9+40+700</w:t>
      </w:r>
      <w:r>
        <w:t xml:space="preserve"> </w:t>
      </w:r>
      <w:r>
        <w:t xml:space="preserve">is interpreted as canoe + arrival +</w:t>
      </w:r>
      <w:r>
        <w:t xml:space="preserve"> </w:t>
      </w:r>
      <w:r>
        <w:rPr>
          <w:b/>
          <w:bCs/>
        </w:rPr>
        <w:t xml:space="preserve">sacrifice</w:t>
      </w:r>
      <w:r>
        <w:t xml:space="preserve">) suggest that upon landfall the king conducted ceremonies or offerings to sanctify the new settlement</w:t>
      </w:r>
      <w:hyperlink r:id="rId71">
        <w:r>
          <w:rPr>
            <w:rStyle w:val="Hyperlink"/>
          </w:rPr>
          <w:t xml:space="preserve">[52]</w:t>
        </w:r>
      </w:hyperlink>
      <w:hyperlink r:id="rId71">
        <w:r>
          <w:rPr>
            <w:rStyle w:val="Hyperlink"/>
          </w:rPr>
          <w:t xml:space="preserve">[53]</w:t>
        </w:r>
      </w:hyperlink>
      <w:r>
        <w:t xml:space="preserve">.</w:t>
      </w:r>
    </w:p>
    <w:p>
      <w:pPr>
        <w:pStyle w:val="FirstParagraph"/>
      </w:pPr>
      <w:r>
        <w:t xml:space="preserve">These three parallel sequences on Tablet B, taken together, encode a</w:t>
      </w:r>
      <w:r>
        <w:t xml:space="preserve"> </w:t>
      </w:r>
      <w:r>
        <w:rPr>
          <w:b/>
          <w:bCs/>
        </w:rPr>
        <w:t xml:space="preserve">coherent migration legend</w:t>
      </w:r>
      <w:r>
        <w:t xml:space="preserve">: from the exploratory scouting of the land to the final colonization by the chief’s people</w:t>
      </w:r>
      <w:hyperlink r:id="rId56">
        <w:r>
          <w:rPr>
            <w:rStyle w:val="Hyperlink"/>
          </w:rPr>
          <w:t xml:space="preserve">[36]</w:t>
        </w:r>
      </w:hyperlink>
      <w:r>
        <w:t xml:space="preserve">. This interpretation is strongly supported by cross-references: the same sequences or phrases appear (in part) on other tablets, confirming their significance. For instance, segments of Aruku Kurenga’s text reappear on the Great Santiago (H) and Small St. Petersburg (Q) tablets, which contain the</w:t>
      </w:r>
      <w:r>
        <w:t xml:space="preserve"> </w:t>
      </w:r>
      <w:r>
        <w:rPr>
          <w:b/>
          <w:bCs/>
        </w:rPr>
        <w:t xml:space="preserve">Great Chant</w:t>
      </w:r>
      <w:hyperlink r:id="rId31">
        <w:r>
          <w:rPr>
            <w:rStyle w:val="Hyperlink"/>
          </w:rPr>
          <w:t xml:space="preserve">[54]</w:t>
        </w:r>
      </w:hyperlink>
      <w:r>
        <w:t xml:space="preserve">. In those instances, they form the</w:t>
      </w:r>
      <w:r>
        <w:t xml:space="preserve"> </w:t>
      </w:r>
      <w:r>
        <w:rPr>
          <w:b/>
          <w:bCs/>
        </w:rPr>
        <w:t xml:space="preserve">“Migration / Founding Voyage”</w:t>
      </w:r>
      <w:r>
        <w:t xml:space="preserve"> </w:t>
      </w:r>
      <w:r>
        <w:t xml:space="preserve">section of that grand composition, again featuring glyph</w:t>
      </w:r>
      <w:r>
        <w:t xml:space="preserve"> </w:t>
      </w:r>
      <w:r>
        <w:rPr>
          <w:b/>
          <w:bCs/>
        </w:rPr>
        <w:t xml:space="preserve">9 (landfall)</w:t>
      </w:r>
      <w:r>
        <w:t xml:space="preserve"> </w:t>
      </w:r>
      <w:r>
        <w:t xml:space="preserve">and</w:t>
      </w:r>
      <w:r>
        <w:t xml:space="preserve"> </w:t>
      </w:r>
      <w:r>
        <w:rPr>
          <w:b/>
          <w:bCs/>
        </w:rPr>
        <w:t xml:space="preserve">40 (canoe)</w:t>
      </w:r>
      <w:r>
        <w:t xml:space="preserve"> </w:t>
      </w:r>
      <w:r>
        <w:t xml:space="preserve">to mark the arrival on the island</w:t>
      </w:r>
      <w:hyperlink r:id="rId44">
        <w:r>
          <w:rPr>
            <w:rStyle w:val="Hyperlink"/>
          </w:rPr>
          <w:t xml:space="preserve">[55]</w:t>
        </w:r>
      </w:hyperlink>
      <w:r>
        <w:t xml:space="preserve">. The cluster of</w:t>
      </w:r>
      <w:r>
        <w:t xml:space="preserve"> </w:t>
      </w:r>
      <w:r>
        <w:rPr>
          <w:i/>
          <w:iCs/>
        </w:rPr>
        <w:t xml:space="preserve">9+40+700</w:t>
      </w:r>
      <w:r>
        <w:t xml:space="preserve"> </w:t>
      </w:r>
      <w:r>
        <w:t xml:space="preserve">in the Great Chant likewise indicates</w:t>
      </w:r>
      <w:r>
        <w:t xml:space="preserve"> </w:t>
      </w:r>
      <w:r>
        <w:rPr>
          <w:i/>
          <w:iCs/>
        </w:rPr>
        <w:t xml:space="preserve">“arrival of people by canoe and a ritual sacrifice at landfall”</w:t>
      </w:r>
      <w:hyperlink r:id="rId71">
        <w:r>
          <w:rPr>
            <w:rStyle w:val="Hyperlink"/>
          </w:rPr>
          <w:t xml:space="preserve">[56]</w:t>
        </w:r>
      </w:hyperlink>
      <w:r>
        <w:t xml:space="preserve">, echoing the detail that Hotu Matuꞌa made offerings upon arriving. Tablet A (Tahua) also shares passages with H/P/Q and likely includes some of this migration narrative interwoven with creation content</w:t>
      </w:r>
      <w:hyperlink r:id="rId31">
        <w:r>
          <w:rPr>
            <w:rStyle w:val="Hyperlink"/>
          </w:rPr>
          <w:t xml:space="preserve">[54]</w:t>
        </w:r>
      </w:hyperlink>
      <w:r>
        <w:t xml:space="preserve">. The consistency of these travelogue sequences across multiple artifacts underscores that they record a</w:t>
      </w:r>
      <w:r>
        <w:t xml:space="preserve"> </w:t>
      </w:r>
      <w:r>
        <w:rPr>
          <w:b/>
          <w:bCs/>
        </w:rPr>
        <w:t xml:space="preserve">widely known story</w:t>
      </w:r>
      <w:r>
        <w:t xml:space="preserve"> </w:t>
      </w:r>
      <w:r>
        <w:t xml:space="preserve">– presumably the</w:t>
      </w:r>
      <w:r>
        <w:t xml:space="preserve"> </w:t>
      </w:r>
      <w:r>
        <w:rPr>
          <w:i/>
          <w:iCs/>
        </w:rPr>
        <w:t xml:space="preserve">origins of the Rapa Nui people</w:t>
      </w:r>
      <w:r>
        <w:t xml:space="preserve">.</w:t>
      </w:r>
    </w:p>
    <w:p>
      <w:pPr>
        <w:pStyle w:val="BodyText"/>
      </w:pPr>
      <w:r>
        <w:t xml:space="preserve">In</w:t>
      </w:r>
      <w:r>
        <w:t xml:space="preserve"> </w:t>
      </w:r>
      <w:r>
        <w:rPr>
          <w:b/>
          <w:bCs/>
        </w:rPr>
        <w:t xml:space="preserve">conclusion</w:t>
      </w:r>
      <w:r>
        <w:t xml:space="preserve">, Rongorongo’s voyage texts function as</w:t>
      </w:r>
      <w:r>
        <w:t xml:space="preserve"> </w:t>
      </w:r>
      <w:r>
        <w:rPr>
          <w:b/>
          <w:bCs/>
        </w:rPr>
        <w:t xml:space="preserve">place-name itineraries and migration chronicles</w:t>
      </w:r>
      <w:r>
        <w:t xml:space="preserve">. They enumerate geographic points (often using iconic glyphs) in the order of travel, without the genealogical “begat” marker (signaling narrative rather than lineage)</w:t>
      </w:r>
      <w:hyperlink r:id="rId40">
        <w:r>
          <w:rPr>
            <w:rStyle w:val="Hyperlink"/>
          </w:rPr>
          <w:t xml:space="preserve">[21]</w:t>
        </w:r>
      </w:hyperlink>
      <w:r>
        <w:t xml:space="preserve">. Thanks to the identification of key glyphs – e.g.</w:t>
      </w:r>
      <w:r>
        <w:t xml:space="preserve"> </w:t>
      </w:r>
      <w:r>
        <w:rPr>
          <w:b/>
          <w:bCs/>
        </w:rPr>
        <w:t xml:space="preserve">glyph 9 for “beach/Anakena”</w:t>
      </w:r>
      <w:r>
        <w:t xml:space="preserve">,</w:t>
      </w:r>
      <w:r>
        <w:t xml:space="preserve"> </w:t>
      </w:r>
      <w:r>
        <w:rPr>
          <w:b/>
          <w:bCs/>
        </w:rPr>
        <w:t xml:space="preserve">glyph 40 for “canoe/voyage”</w:t>
      </w:r>
      <w:r>
        <w:t xml:space="preserve">,</w:t>
      </w:r>
      <w:r>
        <w:t xml:space="preserve"> </w:t>
      </w:r>
      <w:r>
        <w:rPr>
          <w:b/>
          <w:bCs/>
        </w:rPr>
        <w:t xml:space="preserve">glyph 200 for “chief/leader”</w:t>
      </w:r>
      <w:r>
        <w:t xml:space="preserve">,</w:t>
      </w:r>
      <w:r>
        <w:t xml:space="preserve"> </w:t>
      </w:r>
      <w:r>
        <w:rPr>
          <w:b/>
          <w:bCs/>
        </w:rPr>
        <w:t xml:space="preserve">glyph 13 for “cave/tomb”</w:t>
      </w:r>
      <w:r>
        <w:t xml:space="preserve">, etc. – we can map these sequences onto the landscape of Easter Island and its legends</w:t>
      </w:r>
      <w:hyperlink r:id="rId72">
        <w:r>
          <w:rPr>
            <w:rStyle w:val="Hyperlink"/>
          </w:rPr>
          <w:t xml:space="preserve">[57]</w:t>
        </w:r>
      </w:hyperlink>
      <w:hyperlink r:id="rId73">
        <w:r>
          <w:rPr>
            <w:rStyle w:val="Hyperlink"/>
          </w:rPr>
          <w:t xml:space="preserve">[58]</w:t>
        </w:r>
      </w:hyperlink>
      <w:r>
        <w:t xml:space="preserve">. The Aruku Kurenga tablet, in particular, stands out as a</w:t>
      </w:r>
      <w:r>
        <w:t xml:space="preserve"> </w:t>
      </w:r>
      <w:r>
        <w:rPr>
          <w:b/>
          <w:bCs/>
        </w:rPr>
        <w:t xml:space="preserve">record of the Great Migration</w:t>
      </w:r>
      <w:r>
        <w:t xml:space="preserve"> </w:t>
      </w:r>
      <w:r>
        <w:t xml:space="preserve">divided into three voyages, aligning perfectly with oral tradition. This demonstrates that the Rongorongo script was used not only for sacred cosmology and king lists, but also to</w:t>
      </w:r>
      <w:r>
        <w:t xml:space="preserve"> </w:t>
      </w:r>
      <w:r>
        <w:rPr>
          <w:b/>
          <w:bCs/>
        </w:rPr>
        <w:t xml:space="preserve">memorialize voyages and settlements</w:t>
      </w:r>
      <w:r>
        <w:t xml:space="preserve"> </w:t>
      </w:r>
      <w:r>
        <w:t xml:space="preserve">– a crucial aspect of Polynesian heritage. Each category of text (genealogy, myth, calendar, voyage) employs its own repeated structures and specialized glyph vocabulary, but all are now coming into focus as parts of a unified</w:t>
      </w:r>
      <w:r>
        <w:t xml:space="preserve"> </w:t>
      </w:r>
      <w:r>
        <w:rPr>
          <w:i/>
          <w:iCs/>
        </w:rPr>
        <w:t xml:space="preserve">corpus</w:t>
      </w:r>
      <w:r>
        <w:t xml:space="preserve"> </w:t>
      </w:r>
      <w:r>
        <w:t xml:space="preserve">reflecting the Rapa Nui world.</w:t>
      </w:r>
    </w:p>
    <w:p>
      <w:pPr>
        <w:pStyle w:val="SourceCode"/>
      </w:pPr>
      <w:r>
        <w:rPr>
          <w:rStyle w:val="VerbatimChar"/>
        </w:rPr>
        <w:t xml:space="preserve">[</w:t>
      </w:r>
      <w:r>
        <w:br/>
      </w:r>
      <w:r>
        <w:rPr>
          <w:rStyle w:val="VerbatimChar"/>
        </w:rPr>
        <w:t xml:space="preserve">  { "glyph_id": 6,   "meaning": "plural marker; \"many\" (collective suffix)" },</w:t>
      </w:r>
      <w:r>
        <w:br/>
      </w:r>
      <w:r>
        <w:rPr>
          <w:rStyle w:val="VerbatimChar"/>
        </w:rPr>
        <w:t xml:space="preserve">  { "glyph_id": 7,   "meaning": "child; offspring (poki)" },</w:t>
      </w:r>
      <w:r>
        <w:br/>
      </w:r>
      <w:r>
        <w:rPr>
          <w:rStyle w:val="VerbatimChar"/>
        </w:rPr>
        <w:t xml:space="preserve">  { "glyph_id": 8,   "meaning": "sun or star (ra‘a/hetu‘u symbol)" },</w:t>
      </w:r>
      <w:r>
        <w:br/>
      </w:r>
      <w:r>
        <w:rPr>
          <w:rStyle w:val="VerbatimChar"/>
        </w:rPr>
        <w:t xml:space="preserve">  { "glyph_id": 9,   "meaning": "sand, beach; landfall point (\"one\" = Anakena beach)" },</w:t>
      </w:r>
      <w:r>
        <w:br/>
      </w:r>
      <w:r>
        <w:rPr>
          <w:rStyle w:val="VerbatimChar"/>
        </w:rPr>
        <w:t xml:space="preserve">  { "glyph_id": 13,  "meaning": "cave or tomb (ana, burial cave)" },</w:t>
      </w:r>
      <w:r>
        <w:br/>
      </w:r>
      <w:r>
        <w:rPr>
          <w:rStyle w:val="VerbatimChar"/>
        </w:rPr>
        <w:t xml:space="preserve">  { "glyph_id": 33,  "meaning": "sky, heaven (rangi)" },</w:t>
      </w:r>
      <w:r>
        <w:br/>
      </w:r>
      <w:r>
        <w:rPr>
          <w:rStyle w:val="VerbatimChar"/>
        </w:rPr>
        <w:t xml:space="preserve">  { "glyph_id": 40,  "meaning": "canoe; voyage (waka)" },</w:t>
      </w:r>
      <w:r>
        <w:br/>
      </w:r>
      <w:r>
        <w:rPr>
          <w:rStyle w:val="VerbatimChar"/>
        </w:rPr>
        <w:t xml:space="preserve">  { "glyph_id": 74,  "meaning": "new moon (first night of lunar month)" },</w:t>
      </w:r>
      <w:r>
        <w:br/>
      </w:r>
      <w:r>
        <w:rPr>
          <w:rStyle w:val="VerbatimChar"/>
        </w:rPr>
        <w:t xml:space="preserve">  { "glyph_id": 76,  "meaning": "to beget, copulate; genealogical connector (\"begat/son of\")" },</w:t>
      </w:r>
      <w:r>
        <w:br/>
      </w:r>
      <w:r>
        <w:rPr>
          <w:rStyle w:val="VerbatimChar"/>
        </w:rPr>
        <w:t xml:space="preserve">  { "glyph_id": 78,  "meaning": "waning gibbous moon (post-full lunar phase)" },</w:t>
      </w:r>
      <w:r>
        <w:br/>
      </w:r>
      <w:r>
        <w:rPr>
          <w:rStyle w:val="VerbatimChar"/>
        </w:rPr>
        <w:t xml:space="preserve">  { "glyph_id": 152, "meaning": "full moon (complete/whole moon)" },</w:t>
      </w:r>
      <w:r>
        <w:br/>
      </w:r>
      <w:r>
        <w:rPr>
          <w:rStyle w:val="VerbatimChar"/>
        </w:rPr>
        <w:t xml:space="preserve">  { "glyph_id": 200, "meaning": "ariki (chief, king; high-status person)" },</w:t>
      </w:r>
      <w:r>
        <w:br/>
      </w:r>
      <w:r>
        <w:rPr>
          <w:rStyle w:val="VerbatimChar"/>
        </w:rPr>
        <w:t xml:space="preserve">  { "glyph_id": 600, "meaning": "frigatebird (manu tavake; sacred bird/divider)" },</w:t>
      </w:r>
      <w:r>
        <w:br/>
      </w:r>
      <w:r>
        <w:rPr>
          <w:rStyle w:val="VerbatimChar"/>
        </w:rPr>
        <w:t xml:space="preserve">  { "glyph_id": 606, "meaning": "flock of birds; spirits (bird-man glyph with plural)" },</w:t>
      </w:r>
      <w:r>
        <w:br/>
      </w:r>
      <w:r>
        <w:rPr>
          <w:rStyle w:val="VerbatimChar"/>
        </w:rPr>
        <w:t xml:space="preserve">  { "glyph_id": 700, "meaning": "fish; offering or sacrifice (ika)" },</w:t>
      </w:r>
      <w:r>
        <w:br/>
      </w:r>
      <w:r>
        <w:rPr>
          <w:rStyle w:val="VerbatimChar"/>
        </w:rPr>
        <w:t xml:space="preserve">  { "glyph_id": 750, "meaning": "turtle; old/ancient (symbol of antiquity)" }</w:t>
      </w:r>
      <w:r>
        <w:br/>
      </w:r>
      <w:r>
        <w:rPr>
          <w:rStyle w:val="VerbatimChar"/>
        </w:rPr>
        <w:t xml:space="preserve">]</w:t>
      </w:r>
    </w:p>
    <w:bookmarkEnd w:id="74"/>
    <w:bookmarkEnd w:id="75"/>
    <w:bookmarkEnd w:id="76"/>
    <w:p>
      <w:r>
        <w:pict>
          <v:rect style="width:0;height:1.5pt" o:hralign="center" o:hrstd="t" o:hr="t"/>
        </w:pict>
      </w:r>
    </w:p>
    <w:bookmarkStart w:id="8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2">
        <w:r>
          <w:rPr>
            <w:rStyle w:val="Hyperlink"/>
          </w:rPr>
          <w:t xml:space="preserve">[8]</w:t>
        </w:r>
      </w:hyperlink>
      <w:r>
        <w:t xml:space="preserve"> </w:t>
      </w:r>
      <w:hyperlink r:id="rId28">
        <w:r>
          <w:rPr>
            <w:rStyle w:val="Hyperlink"/>
          </w:rPr>
          <w:t xml:space="preserve">[9]</w:t>
        </w:r>
      </w:hyperlink>
      <w:r>
        <w:t xml:space="preserve"> </w:t>
      </w:r>
      <w:hyperlink r:id="rId29">
        <w:r>
          <w:rPr>
            <w:rStyle w:val="Hyperlink"/>
          </w:rPr>
          <w:t xml:space="preserve">[10]</w:t>
        </w:r>
      </w:hyperlink>
      <w:r>
        <w:t xml:space="preserve"> </w:t>
      </w:r>
      <w:hyperlink r:id="rId30">
        <w:r>
          <w:rPr>
            <w:rStyle w:val="Hyperlink"/>
          </w:rPr>
          <w:t xml:space="preserve">[11]</w:t>
        </w:r>
      </w:hyperlink>
      <w:r>
        <w:t xml:space="preserve"> </w:t>
      </w:r>
      <w:hyperlink r:id="rId31">
        <w:r>
          <w:rPr>
            <w:rStyle w:val="Hyperlink"/>
          </w:rPr>
          <w:t xml:space="preserve">[12]</w:t>
        </w:r>
      </w:hyperlink>
      <w:r>
        <w:t xml:space="preserve"> </w:t>
      </w:r>
      <w:hyperlink r:id="rId32">
        <w:r>
          <w:rPr>
            <w:rStyle w:val="Hyperlink"/>
          </w:rPr>
          <w:t xml:space="preserve">[13]</w:t>
        </w:r>
      </w:hyperlink>
      <w:r>
        <w:t xml:space="preserve"> </w:t>
      </w:r>
      <w:hyperlink r:id="rId34">
        <w:r>
          <w:rPr>
            <w:rStyle w:val="Hyperlink"/>
          </w:rPr>
          <w:t xml:space="preserve">[15]</w:t>
        </w:r>
      </w:hyperlink>
      <w:r>
        <w:t xml:space="preserve"> </w:t>
      </w:r>
      <w:hyperlink r:id="rId35">
        <w:r>
          <w:rPr>
            <w:rStyle w:val="Hyperlink"/>
          </w:rPr>
          <w:t xml:space="preserve">[16]</w:t>
        </w:r>
      </w:hyperlink>
      <w:r>
        <w:t xml:space="preserve"> </w:t>
      </w:r>
      <w:hyperlink r:id="rId44">
        <w:r>
          <w:rPr>
            <w:rStyle w:val="Hyperlink"/>
          </w:rPr>
          <w:t xml:space="preserve">[24]</w:t>
        </w:r>
      </w:hyperlink>
      <w:r>
        <w:t xml:space="preserve"> </w:t>
      </w:r>
      <w:hyperlink r:id="rId44">
        <w:r>
          <w:rPr>
            <w:rStyle w:val="Hyperlink"/>
          </w:rPr>
          <w:t xml:space="preserve">[25]</w:t>
        </w:r>
      </w:hyperlink>
      <w:r>
        <w:t xml:space="preserve"> </w:t>
      </w:r>
      <w:hyperlink r:id="rId49">
        <w:r>
          <w:rPr>
            <w:rStyle w:val="Hyperlink"/>
          </w:rPr>
          <w:t xml:space="preserve">[29]</w:t>
        </w:r>
      </w:hyperlink>
      <w:r>
        <w:t xml:space="preserve"> </w:t>
      </w:r>
      <w:hyperlink r:id="rId52">
        <w:r>
          <w:rPr>
            <w:rStyle w:val="Hyperlink"/>
          </w:rPr>
          <w:t xml:space="preserve">[32]</w:t>
        </w:r>
      </w:hyperlink>
      <w:r>
        <w:t xml:space="preserve"> </w:t>
      </w:r>
      <w:hyperlink r:id="rId49">
        <w:r>
          <w:rPr>
            <w:rStyle w:val="Hyperlink"/>
          </w:rPr>
          <w:t xml:space="preserve">[35]</w:t>
        </w:r>
      </w:hyperlink>
      <w:r>
        <w:t xml:space="preserve"> </w:t>
      </w:r>
      <w:hyperlink r:id="rId71">
        <w:r>
          <w:rPr>
            <w:rStyle w:val="Hyperlink"/>
          </w:rPr>
          <w:t xml:space="preserve">[52]</w:t>
        </w:r>
      </w:hyperlink>
      <w:r>
        <w:t xml:space="preserve"> </w:t>
      </w:r>
      <w:hyperlink r:id="rId71">
        <w:r>
          <w:rPr>
            <w:rStyle w:val="Hyperlink"/>
          </w:rPr>
          <w:t xml:space="preserve">[53]</w:t>
        </w:r>
      </w:hyperlink>
      <w:r>
        <w:t xml:space="preserve"> </w:t>
      </w:r>
      <w:hyperlink r:id="rId31">
        <w:r>
          <w:rPr>
            <w:rStyle w:val="Hyperlink"/>
          </w:rPr>
          <w:t xml:space="preserve">[54]</w:t>
        </w:r>
      </w:hyperlink>
      <w:r>
        <w:t xml:space="preserve"> </w:t>
      </w:r>
      <w:hyperlink r:id="rId44">
        <w:r>
          <w:rPr>
            <w:rStyle w:val="Hyperlink"/>
          </w:rPr>
          <w:t xml:space="preserve">[55]</w:t>
        </w:r>
      </w:hyperlink>
      <w:r>
        <w:t xml:space="preserve"> </w:t>
      </w:r>
      <w:hyperlink r:id="rId71">
        <w:r>
          <w:rPr>
            <w:rStyle w:val="Hyperlink"/>
          </w:rPr>
          <w:t xml:space="preserve">[56]</w:t>
        </w:r>
      </w:hyperlink>
      <w:r>
        <w:t xml:space="preserve"> </w:t>
      </w:r>
      <w:r>
        <w:t xml:space="preserve">Phase 6: Decipherment of Remaining Rongorongo Tablets | Lackadaisical Security</w:t>
      </w:r>
    </w:p>
    <w:p>
      <w:pPr>
        <w:pStyle w:val="BodyText"/>
      </w:pPr>
      <w:hyperlink r:id="rId77">
        <w:r>
          <w:rPr>
            <w:rStyle w:val="Hyperlink"/>
          </w:rPr>
          <w:t xml:space="preserve">https://lackadaisical-security.com/rongorongo-research/rongorongo-phase6-remaining-tablets.html</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33">
        <w:r>
          <w:rPr>
            <w:rStyle w:val="Hyperlink"/>
          </w:rPr>
          <w:t xml:space="preserve">[14]</w:t>
        </w:r>
      </w:hyperlink>
      <w:r>
        <w:t xml:space="preserve"> </w:t>
      </w:r>
      <w:hyperlink r:id="rId36">
        <w:r>
          <w:rPr>
            <w:rStyle w:val="Hyperlink"/>
          </w:rPr>
          <w:t xml:space="preserve">[17]</w:t>
        </w:r>
      </w:hyperlink>
      <w:r>
        <w:t xml:space="preserve"> </w:t>
      </w:r>
      <w:hyperlink r:id="rId37">
        <w:r>
          <w:rPr>
            <w:rStyle w:val="Hyperlink"/>
          </w:rPr>
          <w:t xml:space="preserve">[18]</w:t>
        </w:r>
      </w:hyperlink>
      <w:r>
        <w:t xml:space="preserve"> </w:t>
      </w:r>
      <w:hyperlink r:id="rId38">
        <w:r>
          <w:rPr>
            <w:rStyle w:val="Hyperlink"/>
          </w:rPr>
          <w:t xml:space="preserve">[19]</w:t>
        </w:r>
      </w:hyperlink>
      <w:r>
        <w:t xml:space="preserve"> </w:t>
      </w:r>
      <w:hyperlink r:id="rId39">
        <w:r>
          <w:rPr>
            <w:rStyle w:val="Hyperlink"/>
          </w:rPr>
          <w:t xml:space="preserve">[20]</w:t>
        </w:r>
      </w:hyperlink>
      <w:r>
        <w:t xml:space="preserve"> </w:t>
      </w:r>
      <w:hyperlink r:id="rId40">
        <w:r>
          <w:rPr>
            <w:rStyle w:val="Hyperlink"/>
          </w:rPr>
          <w:t xml:space="preserve">[21]</w:t>
        </w:r>
      </w:hyperlink>
      <w:r>
        <w:t xml:space="preserve"> </w:t>
      </w:r>
      <w:hyperlink r:id="rId47">
        <w:r>
          <w:rPr>
            <w:rStyle w:val="Hyperlink"/>
          </w:rPr>
          <w:t xml:space="preserve">[28]</w:t>
        </w:r>
      </w:hyperlink>
      <w:r>
        <w:t xml:space="preserve"> </w:t>
      </w:r>
      <w:r>
        <w:t xml:space="preserve">rongorongo-secondpass-phase9.pdf</w:t>
      </w:r>
    </w:p>
    <w:p>
      <w:pPr>
        <w:pStyle w:val="BodyText"/>
      </w:pPr>
      <w:hyperlink r:id="rId78">
        <w:r>
          <w:rPr>
            <w:rStyle w:val="Hyperlink"/>
          </w:rPr>
          <w:t xml:space="preserve">file://file-QAjpXRiQGwksUNtG1Nx8Xh</w:t>
        </w:r>
      </w:hyperlink>
    </w:p>
    <w:p>
      <w:pPr>
        <w:pStyle w:val="BodyText"/>
      </w:pPr>
      <w:hyperlink r:id="rId42">
        <w:r>
          <w:rPr>
            <w:rStyle w:val="Hyperlink"/>
          </w:rPr>
          <w:t xml:space="preserve">[22]</w:t>
        </w:r>
      </w:hyperlink>
      <w:r>
        <w:t xml:space="preserve"> </w:t>
      </w:r>
      <w:hyperlink r:id="rId43">
        <w:r>
          <w:rPr>
            <w:rStyle w:val="Hyperlink"/>
          </w:rPr>
          <w:t xml:space="preserve">[23]</w:t>
        </w:r>
      </w:hyperlink>
      <w:r>
        <w:t xml:space="preserve"> </w:t>
      </w:r>
      <w:hyperlink r:id="rId45">
        <w:r>
          <w:rPr>
            <w:rStyle w:val="Hyperlink"/>
          </w:rPr>
          <w:t xml:space="preserve">[26]</w:t>
        </w:r>
      </w:hyperlink>
      <w:r>
        <w:t xml:space="preserve"> </w:t>
      </w:r>
      <w:hyperlink r:id="rId46">
        <w:r>
          <w:rPr>
            <w:rStyle w:val="Hyperlink"/>
          </w:rPr>
          <w:t xml:space="preserve">[27]</w:t>
        </w:r>
      </w:hyperlink>
      <w:r>
        <w:t xml:space="preserve"> </w:t>
      </w:r>
      <w:hyperlink r:id="rId50">
        <w:r>
          <w:rPr>
            <w:rStyle w:val="Hyperlink"/>
          </w:rPr>
          <w:t xml:space="preserve">[30]</w:t>
        </w:r>
      </w:hyperlink>
      <w:r>
        <w:t xml:space="preserve"> </w:t>
      </w:r>
      <w:hyperlink r:id="rId51">
        <w:r>
          <w:rPr>
            <w:rStyle w:val="Hyperlink"/>
          </w:rPr>
          <w:t xml:space="preserve">[31]</w:t>
        </w:r>
      </w:hyperlink>
      <w:r>
        <w:t xml:space="preserve"> </w:t>
      </w:r>
      <w:hyperlink r:id="rId53">
        <w:r>
          <w:rPr>
            <w:rStyle w:val="Hyperlink"/>
          </w:rPr>
          <w:t xml:space="preserve">[33]</w:t>
        </w:r>
      </w:hyperlink>
      <w:r>
        <w:t xml:space="preserve"> </w:t>
      </w:r>
      <w:hyperlink r:id="rId54">
        <w:r>
          <w:rPr>
            <w:rStyle w:val="Hyperlink"/>
          </w:rPr>
          <w:t xml:space="preserve">[34]</w:t>
        </w:r>
      </w:hyperlink>
      <w:r>
        <w:t xml:space="preserve"> </w:t>
      </w:r>
      <w:r>
        <w:t xml:space="preserve">Deciphering the Mamari Tablet (Text C) - Multi-Method Analysis | Lackadaisical Security</w:t>
      </w:r>
    </w:p>
    <w:p>
      <w:pPr>
        <w:pStyle w:val="BodyText"/>
      </w:pPr>
      <w:hyperlink r:id="rId79">
        <w:r>
          <w:rPr>
            <w:rStyle w:val="Hyperlink"/>
          </w:rPr>
          <w:t xml:space="preserve">https://lackadaisical-security.com/rongorongo-research/rongorongo13.html</w:t>
        </w:r>
      </w:hyperlink>
    </w:p>
    <w:p>
      <w:pPr>
        <w:pStyle w:val="BodyText"/>
      </w:pPr>
      <w:hyperlink r:id="rId56">
        <w:r>
          <w:rPr>
            <w:rStyle w:val="Hyperlink"/>
          </w:rPr>
          <w:t xml:space="preserve">[36]</w:t>
        </w:r>
      </w:hyperlink>
      <w:r>
        <w:t xml:space="preserve"> </w:t>
      </w:r>
      <w:hyperlink r:id="rId56">
        <w:r>
          <w:rPr>
            <w:rStyle w:val="Hyperlink"/>
          </w:rPr>
          <w:t xml:space="preserve">[37]</w:t>
        </w:r>
      </w:hyperlink>
      <w:r>
        <w:t xml:space="preserve"> </w:t>
      </w:r>
      <w:hyperlink r:id="rId57">
        <w:r>
          <w:rPr>
            <w:rStyle w:val="Hyperlink"/>
          </w:rPr>
          <w:t xml:space="preserve">[38]</w:t>
        </w:r>
      </w:hyperlink>
      <w:r>
        <w:t xml:space="preserve"> </w:t>
      </w:r>
      <w:hyperlink r:id="rId58">
        <w:r>
          <w:rPr>
            <w:rStyle w:val="Hyperlink"/>
          </w:rPr>
          <w:t xml:space="preserve">[39]</w:t>
        </w:r>
      </w:hyperlink>
      <w:r>
        <w:t xml:space="preserve"> </w:t>
      </w:r>
      <w:hyperlink r:id="rId59">
        <w:r>
          <w:rPr>
            <w:rStyle w:val="Hyperlink"/>
          </w:rPr>
          <w:t xml:space="preserve">[40]</w:t>
        </w:r>
      </w:hyperlink>
      <w:r>
        <w:t xml:space="preserve"> </w:t>
      </w:r>
      <w:hyperlink r:id="rId60">
        <w:r>
          <w:rPr>
            <w:rStyle w:val="Hyperlink"/>
          </w:rPr>
          <w:t xml:space="preserve">[41]</w:t>
        </w:r>
      </w:hyperlink>
      <w:r>
        <w:t xml:space="preserve"> </w:t>
      </w:r>
      <w:hyperlink r:id="rId61">
        <w:r>
          <w:rPr>
            <w:rStyle w:val="Hyperlink"/>
          </w:rPr>
          <w:t xml:space="preserve">[42]</w:t>
        </w:r>
      </w:hyperlink>
      <w:r>
        <w:t xml:space="preserve"> </w:t>
      </w:r>
      <w:hyperlink r:id="rId62">
        <w:r>
          <w:rPr>
            <w:rStyle w:val="Hyperlink"/>
          </w:rPr>
          <w:t xml:space="preserve">[43]</w:t>
        </w:r>
      </w:hyperlink>
      <w:r>
        <w:t xml:space="preserve"> </w:t>
      </w:r>
      <w:hyperlink r:id="rId63">
        <w:r>
          <w:rPr>
            <w:rStyle w:val="Hyperlink"/>
          </w:rPr>
          <w:t xml:space="preserve">[44]</w:t>
        </w:r>
      </w:hyperlink>
      <w:r>
        <w:t xml:space="preserve"> </w:t>
      </w:r>
      <w:hyperlink r:id="rId64">
        <w:r>
          <w:rPr>
            <w:rStyle w:val="Hyperlink"/>
          </w:rPr>
          <w:t xml:space="preserve">[45]</w:t>
        </w:r>
      </w:hyperlink>
      <w:r>
        <w:t xml:space="preserve"> </w:t>
      </w:r>
      <w:hyperlink r:id="rId65">
        <w:r>
          <w:rPr>
            <w:rStyle w:val="Hyperlink"/>
          </w:rPr>
          <w:t xml:space="preserve">[46]</w:t>
        </w:r>
      </w:hyperlink>
      <w:r>
        <w:t xml:space="preserve"> </w:t>
      </w:r>
      <w:hyperlink r:id="rId66">
        <w:r>
          <w:rPr>
            <w:rStyle w:val="Hyperlink"/>
          </w:rPr>
          <w:t xml:space="preserve">[47]</w:t>
        </w:r>
      </w:hyperlink>
      <w:r>
        <w:t xml:space="preserve"> </w:t>
      </w:r>
      <w:hyperlink r:id="rId67">
        <w:r>
          <w:rPr>
            <w:rStyle w:val="Hyperlink"/>
          </w:rPr>
          <w:t xml:space="preserve">[48]</w:t>
        </w:r>
      </w:hyperlink>
      <w:r>
        <w:t xml:space="preserve"> </w:t>
      </w:r>
      <w:hyperlink r:id="rId68">
        <w:r>
          <w:rPr>
            <w:rStyle w:val="Hyperlink"/>
          </w:rPr>
          <w:t xml:space="preserve">[49]</w:t>
        </w:r>
      </w:hyperlink>
      <w:r>
        <w:t xml:space="preserve"> </w:t>
      </w:r>
      <w:hyperlink r:id="rId69">
        <w:r>
          <w:rPr>
            <w:rStyle w:val="Hyperlink"/>
          </w:rPr>
          <w:t xml:space="preserve">[50]</w:t>
        </w:r>
      </w:hyperlink>
      <w:r>
        <w:t xml:space="preserve"> </w:t>
      </w:r>
      <w:hyperlink r:id="rId70">
        <w:r>
          <w:rPr>
            <w:rStyle w:val="Hyperlink"/>
          </w:rPr>
          <w:t xml:space="preserve">[51]</w:t>
        </w:r>
      </w:hyperlink>
      <w:r>
        <w:t xml:space="preserve"> </w:t>
      </w:r>
      <w:hyperlink r:id="rId72">
        <w:r>
          <w:rPr>
            <w:rStyle w:val="Hyperlink"/>
          </w:rPr>
          <w:t xml:space="preserve">[57]</w:t>
        </w:r>
      </w:hyperlink>
      <w:r>
        <w:t xml:space="preserve"> </w:t>
      </w:r>
      <w:hyperlink r:id="rId73">
        <w:r>
          <w:rPr>
            <w:rStyle w:val="Hyperlink"/>
          </w:rPr>
          <w:t xml:space="preserve">[58]</w:t>
        </w:r>
      </w:hyperlink>
      <w:r>
        <w:t xml:space="preserve"> </w:t>
      </w:r>
      <w:r>
        <w:t xml:space="preserve"> </w:t>
      </w:r>
      <w:r>
        <w:t xml:space="preserve">BREAKTHROUGH: Aruku Kurenga Tablet Decipherment - Rongorongo Research | Lackadaisical Security</w:t>
      </w:r>
    </w:p>
    <w:p>
      <w:pPr>
        <w:pStyle w:val="BodyText"/>
      </w:pPr>
      <w:hyperlink r:id="rId80">
        <w:r>
          <w:rPr>
            <w:rStyle w:val="Hyperlink"/>
          </w:rPr>
          <w:t xml:space="preserve">https://lackadaisical-security.com/rongorongo-research/rongorongo17.html</w:t>
        </w:r>
      </w:hyperlink>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8" Target="file://file-QAjpXRiQGwksUNtG1Nx8Xh" TargetMode="External" /><Relationship Type="http://schemas.openxmlformats.org/officeDocument/2006/relationships/hyperlink" Id="rId38" Target="file://file-QAjpXRiQGwksUNtG1Nx8Xh#:~:text=Importantly%2C%20the%20presence%20or%20absence,Katherine%20Routledge%20was%20told%20that" TargetMode="External" /><Relationship Type="http://schemas.openxmlformats.org/officeDocument/2006/relationships/hyperlink" Id="rId36" Target="file://file-QAjpXRiQGwksUNtG1Nx8Xh#:~:text=Kurenga%20tablet%20,In%20summary%2C%20whenever" TargetMode="External" /><Relationship Type="http://schemas.openxmlformats.org/officeDocument/2006/relationships/hyperlink" Id="rId39" Target="file://file-QAjpXRiQGwksUNtG1Nx8Xh#:~:text=Routledge%20was%20told%20that%20Mamari%E2%80%99s,76%20%E2%80%9Cchild%20of%E2%80%9D%20links" TargetMode="External" /><Relationship Type="http://schemas.openxmlformats.org/officeDocument/2006/relationships/hyperlink" Id="rId24" Target="file://file-QAjpXRiQGwksUNtG1Nx8Xh#:~:text=across%20texts%20,serve" TargetMode="External" /><Relationship Type="http://schemas.openxmlformats.org/officeDocument/2006/relationships/hyperlink" Id="rId40" Target="file://file-QAjpXRiQGwksUNtG1Nx8Xh#:~:text=contrast%2C%20the%20%20Aruku%20Kurenga,In%20summary%2C%20whenever" TargetMode="External" /><Relationship Type="http://schemas.openxmlformats.org/officeDocument/2006/relationships/hyperlink" Id="rId33" Target="file://file-QAjpXRiQGwksUNtG1Nx8Xh#:~:text=nearly%20%20every%20%20section,glyph%2076%20is%20glossed%20with" TargetMode="External" /><Relationship Type="http://schemas.openxmlformats.org/officeDocument/2006/relationships/hyperlink" Id="rId47" Target="file://file-QAjpXRiQGwksUNtG1Nx8Xh#:~:text=observed%20that%20the%20Staff%E2%80%99s%20text,confidence%20as%20the" TargetMode="External" /><Relationship Type="http://schemas.openxmlformats.org/officeDocument/2006/relationships/hyperlink" Id="rId23" Target="file://file-QAjpXRiQGwksUNtG1Nx8Xh#:~:text=offspring%20,serve" TargetMode="External" /><Relationship Type="http://schemas.openxmlformats.org/officeDocument/2006/relationships/hyperlink" Id="rId37" Target="file://file-QAjpXRiQGwksUNtG1Nx8Xh#:~:text=stories%20,Santiago%2C%20and%20other%20tablets" TargetMode="External" /><Relationship Type="http://schemas.openxmlformats.org/officeDocument/2006/relationships/hyperlink" Id="rId77" Target="https://lackadaisical-security.com/rongorongo-research/rongorongo-phase6-remaining-tablets.html" TargetMode="External" /><Relationship Type="http://schemas.openxmlformats.org/officeDocument/2006/relationships/hyperlink" Id="rId44" Target="https://lackadaisical-security.com/rongorongo-research/rongorongo-phase6-remaining-tablets.html#:~:text=" TargetMode="External" /><Relationship Type="http://schemas.openxmlformats.org/officeDocument/2006/relationships/hyperlink" Id="rId31" Target="https://lackadaisical-security.com/rongorongo-research/rongorongo-phase6-remaining-tablets.html#:~:text=Cross" TargetMode="External" /><Relationship Type="http://schemas.openxmlformats.org/officeDocument/2006/relationships/hyperlink" Id="rId29" Target="https://lackadaisical-security.com/rongorongo-research/rongorongo-phase6-remaining-tablets.html#:~:text=Cultural%20Context" TargetMode="External" /><Relationship Type="http://schemas.openxmlformats.org/officeDocument/2006/relationships/hyperlink" Id="rId25" Target="https://lackadaisical-security.com/rongorongo-research/rongorongo-phase6-remaining-tablets.html#:~:text=Despite%20,each%20holding%20emblems%20of%20office" TargetMode="External" /><Relationship Type="http://schemas.openxmlformats.org/officeDocument/2006/relationships/hyperlink" Id="rId27" Target="https://lackadaisical-security.com/rongorongo-research/rongorongo-phase6-remaining-tablets.html#:~:text=Genealogical%20Structure" TargetMode="External" /><Relationship Type="http://schemas.openxmlformats.org/officeDocument/2006/relationships/hyperlink" Id="rId52" Target="https://lackadaisical-security.com/rongorongo-research/rongorongo-phase6-remaining-tablets.html#:~:text=Hypothesized%20Content" TargetMode="External" /><Relationship Type="http://schemas.openxmlformats.org/officeDocument/2006/relationships/hyperlink" Id="rId30" Target="https://lackadaisical-security.com/rongorongo-research/rongorongo-phase6-remaining-tablets.html#:~:text=Likely%20records%20royal%20lineage%20of,Man%20cult%20association" TargetMode="External" /><Relationship Type="http://schemas.openxmlformats.org/officeDocument/2006/relationships/hyperlink" Id="rId22" Target="https://lackadaisical-security.com/rongorongo-research/rongorongo-phase6-remaining-tablets.html#:~:text=On%20G%27s%20verso%20,%E2%80%93%20genealogies%20list%20titled%20individuals" TargetMode="External" /><Relationship Type="http://schemas.openxmlformats.org/officeDocument/2006/relationships/hyperlink" Id="rId49" Target="https://lackadaisical-security.com/rongorongo-research/rongorongo-phase6-remaining-tablets.html#:~:text=One%20interpretation%3A%20Keiti%27s%20repeated%20sequence,glyph%2078%20%3D%20waning%20gibbous" TargetMode="External" /><Relationship Type="http://schemas.openxmlformats.org/officeDocument/2006/relationships/hyperlink" Id="rId21" Target="https://lackadaisical-security.com/rongorongo-research/rongorongo-phase6-remaining-tablets.html#:~:text=Presence%20of%20glyph%20200%20and,genealogical%20list%20or%20king%20list" TargetMode="External" /><Relationship Type="http://schemas.openxmlformats.org/officeDocument/2006/relationships/hyperlink" Id="rId71" Target="https://lackadaisical-security.com/rongorongo-research/rongorongo-phase6-remaining-tablets.html#:~:text=Sequences%20associated%20with%20navigation%2Fmigration,and%20ritual%20sacrifices%20at%20landfall" TargetMode="External" /><Relationship Type="http://schemas.openxmlformats.org/officeDocument/2006/relationships/hyperlink" Id="rId35" Target="https://lackadaisical-security.com/rongorongo-research/rongorongo-phase6-remaining-tablets.html#:~:text=Staff%27s%20genealogy%20covers%20extensive%20time,genealogy%20of%20all%20important%20bloodlines" TargetMode="External" /><Relationship Type="http://schemas.openxmlformats.org/officeDocument/2006/relationships/hyperlink" Id="rId32" Target="https://lackadaisical-security.com/rongorongo-research/rongorongo-phase6-remaining-tablets.html#:~:text=Staff%27s%20text%20%3D%20sequence%20of,flock%20of%20birds%2Fspirits" TargetMode="External" /><Relationship Type="http://schemas.openxmlformats.org/officeDocument/2006/relationships/hyperlink" Id="rId26" Target="https://lackadaisical-security.com/rongorongo-research/rongorongo-phase6-remaining-tablets.html#:~:text=chiefs%2C%20each%20holding%20emblems%20of,office" TargetMode="External" /><Relationship Type="http://schemas.openxmlformats.org/officeDocument/2006/relationships/hyperlink" Id="rId34" Target="https://lackadaisical-security.com/rongorongo-research/rongorongo-phase6-remaining-tablets.html#:~:text=for%20,flock%20of%20birds%2Fspirits" TargetMode="External" /><Relationship Type="http://schemas.openxmlformats.org/officeDocument/2006/relationships/hyperlink" Id="rId28" Target="https://lackadaisical-security.com/rongorongo-research/rongorongo-phase6-remaining-tablets.html#:~:text=genealogies%20list%20titled%20individuals" TargetMode="External" /><Relationship Type="http://schemas.openxmlformats.org/officeDocument/2006/relationships/hyperlink" Id="rId79" Target="https://lackadaisical-security.com/rongorongo-research/rongorongo13.html" TargetMode="External" /><Relationship Type="http://schemas.openxmlformats.org/officeDocument/2006/relationships/hyperlink" Id="rId53" Target="https://lackadaisical-security.com/rongorongo-research/rongorongo13.html#:~:text=,Lunar%20Phases" TargetMode="External" /><Relationship Type="http://schemas.openxmlformats.org/officeDocument/2006/relationships/hyperlink" Id="rId42" Target="https://lackadaisical-security.com/rongorongo-research/rongorongo13.html#:~:text=Cross,and%20suggests%20a%20cosmogonic%20narrative" TargetMode="External" /><Relationship Type="http://schemas.openxmlformats.org/officeDocument/2006/relationships/hyperlink" Id="rId50" Target="https://lackadaisical-security.com/rongorongo-research/rongorongo13.html#:~:text=In%20Mamari%27s%20calendar%2C%20the%20glyph,te%20nuahine%20k%C3%A3" TargetMode="External" /><Relationship Type="http://schemas.openxmlformats.org/officeDocument/2006/relationships/hyperlink" Id="rId43" Target="https://lackadaisical-security.com/rongorongo-research/rongorongo13.html#:~:text=Matariri%20chant%20recorded%20by%20Thomson,Taporo%2C%20ka%20p%C3%BA%20te%20poporo" TargetMode="External" /><Relationship Type="http://schemas.openxmlformats.org/officeDocument/2006/relationships/hyperlink" Id="rId51" Target="https://lackadaisical-security.com/rongorongo-research/rongorongo13.html#:~:text=glyph%20in%20the%20calendar%20appears,signal%20of%20the%20waning%20sequence" TargetMode="External" /><Relationship Type="http://schemas.openxmlformats.org/officeDocument/2006/relationships/hyperlink" Id="rId45" Target="https://lackadaisical-security.com/rongorongo-research/rongorongo13.html#:~:text=hypothesized%20readings%2C%20Fischer%20found%20support,76%20or%20have%20it%20in" TargetMode="External" /><Relationship Type="http://schemas.openxmlformats.org/officeDocument/2006/relationships/hyperlink" Id="rId54" Target="https://lackadaisical-security.com/rongorongo-research/rongorongo13.html#:~:text=match%20at%20L378%20segment,glyph%20700%20on%20a%20baseline" TargetMode="External" /><Relationship Type="http://schemas.openxmlformats.org/officeDocument/2006/relationships/hyperlink" Id="rId46" Target="https://lackadaisical-security.com/rongorongo-research/rongorongo13.html#:~:text=match%20at%20L483%20origin%20of,8%29%20or%20other" TargetMode="External" /><Relationship Type="http://schemas.openxmlformats.org/officeDocument/2006/relationships/hyperlink" Id="rId80" Target="https://lackadaisical-security.com/rongorongo-research/rongorongo17.html" TargetMode="External" /><Relationship Type="http://schemas.openxmlformats.org/officeDocument/2006/relationships/hyperlink" Id="rId60" Target="https://lackadaisical-security.com/rongorongo-research/rongorongo17.html#:~:text=%23%23%201.%20Hau,Voyage" TargetMode="External" /><Relationship Type="http://schemas.openxmlformats.org/officeDocument/2006/relationships/hyperlink" Id="rId63" Target="https://lackadaisical-security.com/rongorongo-research/rongorongo17.html#:~:text=,Second%20Voyage" TargetMode="External" /><Relationship Type="http://schemas.openxmlformats.org/officeDocument/2006/relationships/hyperlink" Id="rId68" Target="https://lackadaisical-security.com/rongorongo-research/rongorongo17.html#:~:text=,Third%20Voyage" TargetMode="External" /><Relationship Type="http://schemas.openxmlformats.org/officeDocument/2006/relationships/hyperlink" Id="rId73" Target="https://lackadaisical-security.com/rongorongo-research/rongorongo17.html#:~:text=,plural%29%20A%20bird%20glyph" TargetMode="External" /><Relationship Type="http://schemas.openxmlformats.org/officeDocument/2006/relationships/hyperlink" Id="rId59" Target="https://lackadaisical-security.com/rongorongo-research/rongorongo17.html#:~:text=9%20%28,grave%20or%20cave%20of%20burial" TargetMode="External" /><Relationship Type="http://schemas.openxmlformats.org/officeDocument/2006/relationships/hyperlink" Id="rId72" Target="https://lackadaisical-security.com/rongorongo-research/rongorongo17.html#:~:text=9%20%28,star%20for%20Hotu%20Matu%CA%BBa%27s%20voyage" TargetMode="External" /><Relationship Type="http://schemas.openxmlformats.org/officeDocument/2006/relationships/hyperlink" Id="rId56" Target="https://lackadaisical-security.com/rongorongo-research/rongorongo17.html#:~:text=Aruku%20Kurenga%27s%20text%20is%20organized,oral%20tradition%20of%20Easter%20Island" TargetMode="External" /><Relationship Type="http://schemas.openxmlformats.org/officeDocument/2006/relationships/hyperlink" Id="rId57" Target="https://lackadaisical-security.com/rongorongo-research/rongorongo17.html#:~:text=Glyph%2FCluster%20Likely%20Meaning%20Context%20in,uses%20a%20child%2Foffspring" TargetMode="External" /><Relationship Type="http://schemas.openxmlformats.org/officeDocument/2006/relationships/hyperlink" Id="rId69" Target="https://lackadaisical-security.com/rongorongo-research/rongorongo17.html#:~:text=Hotu%20Matu%CA%BBa%2C%20who%20brought%20his,chief%29%20with%20high%20confidence" TargetMode="External" /><Relationship Type="http://schemas.openxmlformats.org/officeDocument/2006/relationships/hyperlink" Id="rId61" Target="https://lackadaisical-security.com/rongorongo-research/rongorongo17.html#:~:text=In%20the%20legend%2C%20the%20chief,sandy%20beach%20at%20Anakena%20Bay" TargetMode="External" /><Relationship Type="http://schemas.openxmlformats.org/officeDocument/2006/relationships/hyperlink" Id="rId66" Target="https://lackadaisical-security.com/rongorongo-research/rongorongo17.html#:~:text=Notably%2C%20this%20glyph%20is%20treated,was%20buried%20in%20a%20cave" TargetMode="External" /><Relationship Type="http://schemas.openxmlformats.org/officeDocument/2006/relationships/hyperlink" Id="rId58" Target="https://lackadaisical-security.com/rongorongo-research/rongorongo17.html#:~:text=The%20Aruku%20Kurenga%27s%20first%20sequence,to%20signify%20Anakena" TargetMode="External" /><Relationship Type="http://schemas.openxmlformats.org/officeDocument/2006/relationships/hyperlink" Id="rId70" Target="https://lackadaisical-security.com/rongorongo-research/rongorongo17.html#:~:text=There%20are%20minor%20extra%20glyphs,timing%20for%20the%20king%27s%20departure" TargetMode="External" /><Relationship Type="http://schemas.openxmlformats.org/officeDocument/2006/relationships/hyperlink" Id="rId67" Target="https://lackadaisical-security.com/rongorongo-research/rongorongo17.html#:~:text=conceptually%20refers%20to%20a%20band,was%20buried%20in%20a%20cave" TargetMode="External" /><Relationship Type="http://schemas.openxmlformats.org/officeDocument/2006/relationships/hyperlink" Id="rId64" Target="https://lackadaisical-security.com/rongorongo-research/rongorongo17.html#:~:text=different%20constant%20glyph%20,the%20youths%2Fdescendants" TargetMode="External" /><Relationship Type="http://schemas.openxmlformats.org/officeDocument/2006/relationships/hyperlink" Id="rId65" Target="https://lackadaisical-security.com/rongorongo-research/rongorongo17.html#:~:text=for%20second%20voyage%3B%20denotes%20the,and%20possibly%20other%20plural%20concepts" TargetMode="External" /><Relationship Type="http://schemas.openxmlformats.org/officeDocument/2006/relationships/hyperlink" Id="rId62" Target="https://lackadaisical-security.com/rongorongo-research/rongorongo17.html#:~:text=traversed%20along%20the%20coast%20past,sandy%20beach%20at%20Anakena%20Bay" TargetMode="External" /></Relationships>
</file>

<file path=word/_rels/footnotes.xml.rels><?xml version="1.0" encoding="UTF-8"?><Relationships xmlns="http://schemas.openxmlformats.org/package/2006/relationships"><Relationship Type="http://schemas.openxmlformats.org/officeDocument/2006/relationships/hyperlink" Id="rId78" Target="file://file-QAjpXRiQGwksUNtG1Nx8Xh" TargetMode="External" /><Relationship Type="http://schemas.openxmlformats.org/officeDocument/2006/relationships/hyperlink" Id="rId38" Target="file://file-QAjpXRiQGwksUNtG1Nx8Xh#:~:text=Importantly%2C%20the%20presence%20or%20absence,Katherine%20Routledge%20was%20told%20that" TargetMode="External" /><Relationship Type="http://schemas.openxmlformats.org/officeDocument/2006/relationships/hyperlink" Id="rId36" Target="file://file-QAjpXRiQGwksUNtG1Nx8Xh#:~:text=Kurenga%20tablet%20,In%20summary%2C%20whenever" TargetMode="External" /><Relationship Type="http://schemas.openxmlformats.org/officeDocument/2006/relationships/hyperlink" Id="rId39" Target="file://file-QAjpXRiQGwksUNtG1Nx8Xh#:~:text=Routledge%20was%20told%20that%20Mamari%E2%80%99s,76%20%E2%80%9Cchild%20of%E2%80%9D%20links" TargetMode="External" /><Relationship Type="http://schemas.openxmlformats.org/officeDocument/2006/relationships/hyperlink" Id="rId24" Target="file://file-QAjpXRiQGwksUNtG1Nx8Xh#:~:text=across%20texts%20,serve" TargetMode="External" /><Relationship Type="http://schemas.openxmlformats.org/officeDocument/2006/relationships/hyperlink" Id="rId40" Target="file://file-QAjpXRiQGwksUNtG1Nx8Xh#:~:text=contrast%2C%20the%20%20Aruku%20Kurenga,In%20summary%2C%20whenever" TargetMode="External" /><Relationship Type="http://schemas.openxmlformats.org/officeDocument/2006/relationships/hyperlink" Id="rId33" Target="file://file-QAjpXRiQGwksUNtG1Nx8Xh#:~:text=nearly%20%20every%20%20section,glyph%2076%20is%20glossed%20with" TargetMode="External" /><Relationship Type="http://schemas.openxmlformats.org/officeDocument/2006/relationships/hyperlink" Id="rId47" Target="file://file-QAjpXRiQGwksUNtG1Nx8Xh#:~:text=observed%20that%20the%20Staff%E2%80%99s%20text,confidence%20as%20the" TargetMode="External" /><Relationship Type="http://schemas.openxmlformats.org/officeDocument/2006/relationships/hyperlink" Id="rId23" Target="file://file-QAjpXRiQGwksUNtG1Nx8Xh#:~:text=offspring%20,serve" TargetMode="External" /><Relationship Type="http://schemas.openxmlformats.org/officeDocument/2006/relationships/hyperlink" Id="rId37" Target="file://file-QAjpXRiQGwksUNtG1Nx8Xh#:~:text=stories%20,Santiago%2C%20and%20other%20tablets" TargetMode="External" /><Relationship Type="http://schemas.openxmlformats.org/officeDocument/2006/relationships/hyperlink" Id="rId77" Target="https://lackadaisical-security.com/rongorongo-research/rongorongo-phase6-remaining-tablets.html" TargetMode="External" /><Relationship Type="http://schemas.openxmlformats.org/officeDocument/2006/relationships/hyperlink" Id="rId44" Target="https://lackadaisical-security.com/rongorongo-research/rongorongo-phase6-remaining-tablets.html#:~:text=" TargetMode="External" /><Relationship Type="http://schemas.openxmlformats.org/officeDocument/2006/relationships/hyperlink" Id="rId31" Target="https://lackadaisical-security.com/rongorongo-research/rongorongo-phase6-remaining-tablets.html#:~:text=Cross" TargetMode="External" /><Relationship Type="http://schemas.openxmlformats.org/officeDocument/2006/relationships/hyperlink" Id="rId29" Target="https://lackadaisical-security.com/rongorongo-research/rongorongo-phase6-remaining-tablets.html#:~:text=Cultural%20Context" TargetMode="External" /><Relationship Type="http://schemas.openxmlformats.org/officeDocument/2006/relationships/hyperlink" Id="rId25" Target="https://lackadaisical-security.com/rongorongo-research/rongorongo-phase6-remaining-tablets.html#:~:text=Despite%20,each%20holding%20emblems%20of%20office" TargetMode="External" /><Relationship Type="http://schemas.openxmlformats.org/officeDocument/2006/relationships/hyperlink" Id="rId27" Target="https://lackadaisical-security.com/rongorongo-research/rongorongo-phase6-remaining-tablets.html#:~:text=Genealogical%20Structure" TargetMode="External" /><Relationship Type="http://schemas.openxmlformats.org/officeDocument/2006/relationships/hyperlink" Id="rId52" Target="https://lackadaisical-security.com/rongorongo-research/rongorongo-phase6-remaining-tablets.html#:~:text=Hypothesized%20Content" TargetMode="External" /><Relationship Type="http://schemas.openxmlformats.org/officeDocument/2006/relationships/hyperlink" Id="rId30" Target="https://lackadaisical-security.com/rongorongo-research/rongorongo-phase6-remaining-tablets.html#:~:text=Likely%20records%20royal%20lineage%20of,Man%20cult%20association" TargetMode="External" /><Relationship Type="http://schemas.openxmlformats.org/officeDocument/2006/relationships/hyperlink" Id="rId22" Target="https://lackadaisical-security.com/rongorongo-research/rongorongo-phase6-remaining-tablets.html#:~:text=On%20G%27s%20verso%20,%E2%80%93%20genealogies%20list%20titled%20individuals" TargetMode="External" /><Relationship Type="http://schemas.openxmlformats.org/officeDocument/2006/relationships/hyperlink" Id="rId49" Target="https://lackadaisical-security.com/rongorongo-research/rongorongo-phase6-remaining-tablets.html#:~:text=One%20interpretation%3A%20Keiti%27s%20repeated%20sequence,glyph%2078%20%3D%20waning%20gibbous" TargetMode="External" /><Relationship Type="http://schemas.openxmlformats.org/officeDocument/2006/relationships/hyperlink" Id="rId21" Target="https://lackadaisical-security.com/rongorongo-research/rongorongo-phase6-remaining-tablets.html#:~:text=Presence%20of%20glyph%20200%20and,genealogical%20list%20or%20king%20list" TargetMode="External" /><Relationship Type="http://schemas.openxmlformats.org/officeDocument/2006/relationships/hyperlink" Id="rId71" Target="https://lackadaisical-security.com/rongorongo-research/rongorongo-phase6-remaining-tablets.html#:~:text=Sequences%20associated%20with%20navigation%2Fmigration,and%20ritual%20sacrifices%20at%20landfall" TargetMode="External" /><Relationship Type="http://schemas.openxmlformats.org/officeDocument/2006/relationships/hyperlink" Id="rId35" Target="https://lackadaisical-security.com/rongorongo-research/rongorongo-phase6-remaining-tablets.html#:~:text=Staff%27s%20genealogy%20covers%20extensive%20time,genealogy%20of%20all%20important%20bloodlines" TargetMode="External" /><Relationship Type="http://schemas.openxmlformats.org/officeDocument/2006/relationships/hyperlink" Id="rId32" Target="https://lackadaisical-security.com/rongorongo-research/rongorongo-phase6-remaining-tablets.html#:~:text=Staff%27s%20text%20%3D%20sequence%20of,flock%20of%20birds%2Fspirits" TargetMode="External" /><Relationship Type="http://schemas.openxmlformats.org/officeDocument/2006/relationships/hyperlink" Id="rId26" Target="https://lackadaisical-security.com/rongorongo-research/rongorongo-phase6-remaining-tablets.html#:~:text=chiefs%2C%20each%20holding%20emblems%20of,office" TargetMode="External" /><Relationship Type="http://schemas.openxmlformats.org/officeDocument/2006/relationships/hyperlink" Id="rId34" Target="https://lackadaisical-security.com/rongorongo-research/rongorongo-phase6-remaining-tablets.html#:~:text=for%20,flock%20of%20birds%2Fspirits" TargetMode="External" /><Relationship Type="http://schemas.openxmlformats.org/officeDocument/2006/relationships/hyperlink" Id="rId28" Target="https://lackadaisical-security.com/rongorongo-research/rongorongo-phase6-remaining-tablets.html#:~:text=genealogies%20list%20titled%20individuals" TargetMode="External" /><Relationship Type="http://schemas.openxmlformats.org/officeDocument/2006/relationships/hyperlink" Id="rId79" Target="https://lackadaisical-security.com/rongorongo-research/rongorongo13.html" TargetMode="External" /><Relationship Type="http://schemas.openxmlformats.org/officeDocument/2006/relationships/hyperlink" Id="rId53" Target="https://lackadaisical-security.com/rongorongo-research/rongorongo13.html#:~:text=,Lunar%20Phases" TargetMode="External" /><Relationship Type="http://schemas.openxmlformats.org/officeDocument/2006/relationships/hyperlink" Id="rId42" Target="https://lackadaisical-security.com/rongorongo-research/rongorongo13.html#:~:text=Cross,and%20suggests%20a%20cosmogonic%20narrative" TargetMode="External" /><Relationship Type="http://schemas.openxmlformats.org/officeDocument/2006/relationships/hyperlink" Id="rId50" Target="https://lackadaisical-security.com/rongorongo-research/rongorongo13.html#:~:text=In%20Mamari%27s%20calendar%2C%20the%20glyph,te%20nuahine%20k%C3%A3" TargetMode="External" /><Relationship Type="http://schemas.openxmlformats.org/officeDocument/2006/relationships/hyperlink" Id="rId43" Target="https://lackadaisical-security.com/rongorongo-research/rongorongo13.html#:~:text=Matariri%20chant%20recorded%20by%20Thomson,Taporo%2C%20ka%20p%C3%BA%20te%20poporo" TargetMode="External" /><Relationship Type="http://schemas.openxmlformats.org/officeDocument/2006/relationships/hyperlink" Id="rId51" Target="https://lackadaisical-security.com/rongorongo-research/rongorongo13.html#:~:text=glyph%20in%20the%20calendar%20appears,signal%20of%20the%20waning%20sequence" TargetMode="External" /><Relationship Type="http://schemas.openxmlformats.org/officeDocument/2006/relationships/hyperlink" Id="rId45" Target="https://lackadaisical-security.com/rongorongo-research/rongorongo13.html#:~:text=hypothesized%20readings%2C%20Fischer%20found%20support,76%20or%20have%20it%20in" TargetMode="External" /><Relationship Type="http://schemas.openxmlformats.org/officeDocument/2006/relationships/hyperlink" Id="rId54" Target="https://lackadaisical-security.com/rongorongo-research/rongorongo13.html#:~:text=match%20at%20L378%20segment,glyph%20700%20on%20a%20baseline" TargetMode="External" /><Relationship Type="http://schemas.openxmlformats.org/officeDocument/2006/relationships/hyperlink" Id="rId46" Target="https://lackadaisical-security.com/rongorongo-research/rongorongo13.html#:~:text=match%20at%20L483%20origin%20of,8%29%20or%20other" TargetMode="External" /><Relationship Type="http://schemas.openxmlformats.org/officeDocument/2006/relationships/hyperlink" Id="rId80" Target="https://lackadaisical-security.com/rongorongo-research/rongorongo17.html" TargetMode="External" /><Relationship Type="http://schemas.openxmlformats.org/officeDocument/2006/relationships/hyperlink" Id="rId60" Target="https://lackadaisical-security.com/rongorongo-research/rongorongo17.html#:~:text=%23%23%201.%20Hau,Voyage" TargetMode="External" /><Relationship Type="http://schemas.openxmlformats.org/officeDocument/2006/relationships/hyperlink" Id="rId63" Target="https://lackadaisical-security.com/rongorongo-research/rongorongo17.html#:~:text=,Second%20Voyage" TargetMode="External" /><Relationship Type="http://schemas.openxmlformats.org/officeDocument/2006/relationships/hyperlink" Id="rId68" Target="https://lackadaisical-security.com/rongorongo-research/rongorongo17.html#:~:text=,Third%20Voyage" TargetMode="External" /><Relationship Type="http://schemas.openxmlformats.org/officeDocument/2006/relationships/hyperlink" Id="rId73" Target="https://lackadaisical-security.com/rongorongo-research/rongorongo17.html#:~:text=,plural%29%20A%20bird%20glyph" TargetMode="External" /><Relationship Type="http://schemas.openxmlformats.org/officeDocument/2006/relationships/hyperlink" Id="rId59" Target="https://lackadaisical-security.com/rongorongo-research/rongorongo17.html#:~:text=9%20%28,grave%20or%20cave%20of%20burial" TargetMode="External" /><Relationship Type="http://schemas.openxmlformats.org/officeDocument/2006/relationships/hyperlink" Id="rId72" Target="https://lackadaisical-security.com/rongorongo-research/rongorongo17.html#:~:text=9%20%28,star%20for%20Hotu%20Matu%CA%BBa%27s%20voyage" TargetMode="External" /><Relationship Type="http://schemas.openxmlformats.org/officeDocument/2006/relationships/hyperlink" Id="rId56" Target="https://lackadaisical-security.com/rongorongo-research/rongorongo17.html#:~:text=Aruku%20Kurenga%27s%20text%20is%20organized,oral%20tradition%20of%20Easter%20Island" TargetMode="External" /><Relationship Type="http://schemas.openxmlformats.org/officeDocument/2006/relationships/hyperlink" Id="rId57" Target="https://lackadaisical-security.com/rongorongo-research/rongorongo17.html#:~:text=Glyph%2FCluster%20Likely%20Meaning%20Context%20in,uses%20a%20child%2Foffspring" TargetMode="External" /><Relationship Type="http://schemas.openxmlformats.org/officeDocument/2006/relationships/hyperlink" Id="rId69" Target="https://lackadaisical-security.com/rongorongo-research/rongorongo17.html#:~:text=Hotu%20Matu%CA%BBa%2C%20who%20brought%20his,chief%29%20with%20high%20confidence" TargetMode="External" /><Relationship Type="http://schemas.openxmlformats.org/officeDocument/2006/relationships/hyperlink" Id="rId61" Target="https://lackadaisical-security.com/rongorongo-research/rongorongo17.html#:~:text=In%20the%20legend%2C%20the%20chief,sandy%20beach%20at%20Anakena%20Bay" TargetMode="External" /><Relationship Type="http://schemas.openxmlformats.org/officeDocument/2006/relationships/hyperlink" Id="rId66" Target="https://lackadaisical-security.com/rongorongo-research/rongorongo17.html#:~:text=Notably%2C%20this%20glyph%20is%20treated,was%20buried%20in%20a%20cave" TargetMode="External" /><Relationship Type="http://schemas.openxmlformats.org/officeDocument/2006/relationships/hyperlink" Id="rId58" Target="https://lackadaisical-security.com/rongorongo-research/rongorongo17.html#:~:text=The%20Aruku%20Kurenga%27s%20first%20sequence,to%20signify%20Anakena" TargetMode="External" /><Relationship Type="http://schemas.openxmlformats.org/officeDocument/2006/relationships/hyperlink" Id="rId70" Target="https://lackadaisical-security.com/rongorongo-research/rongorongo17.html#:~:text=There%20are%20minor%20extra%20glyphs,timing%20for%20the%20king%27s%20departure" TargetMode="External" /><Relationship Type="http://schemas.openxmlformats.org/officeDocument/2006/relationships/hyperlink" Id="rId67" Target="https://lackadaisical-security.com/rongorongo-research/rongorongo17.html#:~:text=conceptually%20refers%20to%20a%20band,was%20buried%20in%20a%20cave" TargetMode="External" /><Relationship Type="http://schemas.openxmlformats.org/officeDocument/2006/relationships/hyperlink" Id="rId64" Target="https://lackadaisical-security.com/rongorongo-research/rongorongo17.html#:~:text=different%20constant%20glyph%20,the%20youths%2Fdescendants" TargetMode="External" /><Relationship Type="http://schemas.openxmlformats.org/officeDocument/2006/relationships/hyperlink" Id="rId65" Target="https://lackadaisical-security.com/rongorongo-research/rongorongo17.html#:~:text=for%20second%20voyage%3B%20denotes%20the,and%20possibly%20other%20plural%20concepts" TargetMode="External" /><Relationship Type="http://schemas.openxmlformats.org/officeDocument/2006/relationships/hyperlink" Id="rId62" Target="https://lackadaisical-security.com/rongorongo-research/rongorongo17.html#:~:text=traversed%20along%20the%20coast%20past,sandy%20beach%20at%20Anakena%20Ba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2025-12-20T22:39:00Z</dcterms:created>
  <dcterms:modified xsi:type="dcterms:W3CDTF">2025-12-20T22:39:00Z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