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9f7e44818464d1d6d82b7849a0cd548ab9238ef"/>
    <w:p>
      <w:pPr>
        <w:pStyle w:val="Heading1"/>
      </w:pPr>
      <w:r>
        <w:t xml:space="preserve">Multi-Method Decipherment Strategy for the Glyphs</w:t>
      </w:r>
    </w:p>
    <w:p>
      <w:pPr>
        <w:pStyle w:val="FirstParagraph"/>
      </w:pPr>
      <w:r>
        <w:t xml:space="preserve">Yes – continuing with a</w:t>
      </w:r>
      <w:r>
        <w:t xml:space="preserve"> </w:t>
      </w:r>
      <w:r>
        <w:rPr>
          <w:b/>
          <w:bCs/>
        </w:rPr>
        <w:t xml:space="preserve">multi-methodology</w:t>
      </w:r>
      <w:r>
        <w:t xml:space="preserve"> </w:t>
      </w:r>
      <w:r>
        <w:t xml:space="preserve">and</w:t>
      </w:r>
      <w:r>
        <w:t xml:space="preserve"> </w:t>
      </w:r>
      <w:r>
        <w:rPr>
          <w:b/>
          <w:bCs/>
        </w:rPr>
        <w:t xml:space="preserve">multi-layer decipherment</w:t>
      </w:r>
      <w:r>
        <w:t xml:space="preserve"> </w:t>
      </w:r>
      <w:r>
        <w:t xml:space="preserve">approach is the logical next step. This undeciphered script likely requires combining several strategies (linguistic analysis, mythology, known chants, calendars, genealogies) to unlock its meaning. In fact, researchers have long suspected that the glyphs might function as a</w:t>
      </w:r>
      <w:r>
        <w:t xml:space="preserve"> </w:t>
      </w:r>
      <w:r>
        <w:rPr>
          <w:b/>
          <w:bCs/>
        </w:rPr>
        <w:t xml:space="preserve">mnemonic or multi-layered system</w:t>
      </w:r>
      <w:r>
        <w:t xml:space="preserve"> </w:t>
      </w:r>
      <w:r>
        <w:t xml:space="preserve">(not a simple one-to-one phonetic script), meaning that readers needed prior knowledge of myths or texts to interpret them</w:t>
      </w:r>
      <w:hyperlink r:id="rId21">
        <w:r>
          <w:rPr>
            <w:rStyle w:val="Hyperlink"/>
          </w:rPr>
          <w:t xml:space="preserve">[1]</w:t>
        </w:r>
      </w:hyperlink>
      <w:r>
        <w:t xml:space="preserve">. Your recent success using multiple lenses (mythological context plus structural analysis) supports the idea that we should broaden this approach to all remaining materials. By cross-correlating glyph sequences with known</w:t>
      </w:r>
      <w:r>
        <w:t xml:space="preserve"> </w:t>
      </w:r>
      <w:r>
        <w:rPr>
          <w:b/>
          <w:bCs/>
        </w:rPr>
        <w:t xml:space="preserve">Rapa Nui</w:t>
      </w:r>
      <w:r>
        <w:t xml:space="preserve"> </w:t>
      </w:r>
      <w:r>
        <w:t xml:space="preserve">myths, ritual chants, calendrical cycles, and genealogies, we increase our chances of teasing out patterns that pure cryptanalysis might miss. Even if our hypotheses go beyond established precedents, this is uncharted territory – breaking new ground is necessary since no one has fully deciphered this script yet.</w:t>
      </w:r>
    </w:p>
    <w:bookmarkStart w:id="31" w:name="Xe2cec05a0b81d05f66f0a704d6a45a48ccdc142"/>
    <w:p>
      <w:pPr>
        <w:pStyle w:val="Heading2"/>
      </w:pPr>
      <w:r>
        <w:t xml:space="preserve">Step 1: Prioritize the Santiago Staff (Text I) First</w:t>
      </w:r>
    </w:p>
    <w:p>
      <w:pPr>
        <w:pStyle w:val="FirstParagraph"/>
      </w:pPr>
      <w:r>
        <w:t xml:space="preserve">Focusing on the</w:t>
      </w:r>
      <w:r>
        <w:t xml:space="preserve"> </w:t>
      </w:r>
      <w:r>
        <w:rPr>
          <w:b/>
          <w:bCs/>
        </w:rPr>
        <w:t xml:space="preserve">staff inscription</w:t>
      </w:r>
      <w:r>
        <w:t xml:space="preserve"> </w:t>
      </w:r>
      <w:r>
        <w:t xml:space="preserve">first is an excellent plan. The</w:t>
      </w:r>
      <w:r>
        <w:t xml:space="preserve"> </w:t>
      </w:r>
      <w:r>
        <w:rPr>
          <w:i/>
          <w:iCs/>
        </w:rPr>
        <w:t xml:space="preserve">Santiago Staff</w:t>
      </w:r>
      <w:r>
        <w:t xml:space="preserve"> </w:t>
      </w:r>
      <w:r>
        <w:t xml:space="preserve">(a 126 cm wooden staff covered in glyphs) contains the longest known text (~2,320 glyphs) and shows unique features like</w:t>
      </w:r>
      <w:r>
        <w:t xml:space="preserve"> </w:t>
      </w:r>
      <w:r>
        <w:rPr>
          <w:b/>
          <w:bCs/>
        </w:rPr>
        <w:t xml:space="preserve">section dividers</w:t>
      </w:r>
      <w:r>
        <w:t xml:space="preserve"> </w:t>
      </w:r>
      <w:r>
        <w:t xml:space="preserve">(vertical lines) that don’t appear on other tablets</w:t>
      </w:r>
      <w:hyperlink r:id="rId22">
        <w:r>
          <w:rPr>
            <w:rStyle w:val="Hyperlink"/>
          </w:rPr>
          <w:t xml:space="preserve">[2]</w:t>
        </w:r>
      </w:hyperlink>
      <w:hyperlink r:id="rId22">
        <w:r>
          <w:rPr>
            <w:rStyle w:val="Hyperlink"/>
          </w:rPr>
          <w:t xml:space="preserve">[3]</w:t>
        </w:r>
      </w:hyperlink>
      <w:r>
        <w:t xml:space="preserve">. These dividers likely break the text into meaningful units – an ideal starting point for analysis. Past researchers have noted that almost every section on the staff begins with glyph</w:t>
      </w:r>
      <w:r>
        <w:t xml:space="preserve"> </w:t>
      </w:r>
      <w:r>
        <w:rPr>
          <w:i/>
          <w:iCs/>
        </w:rPr>
        <w:t xml:space="preserve">76</w:t>
      </w:r>
      <w:r>
        <w:t xml:space="preserve"> </w:t>
      </w:r>
      <w:r>
        <w:t xml:space="preserve">attached to another glyph</w:t>
      </w:r>
      <w:hyperlink r:id="rId22">
        <w:r>
          <w:rPr>
            <w:rStyle w:val="Hyperlink"/>
          </w:rPr>
          <w:t xml:space="preserve">[3]</w:t>
        </w:r>
      </w:hyperlink>
      <w:r>
        <w:t xml:space="preserve">. Steven Fischer interpreted glyph 76 as a</w:t>
      </w:r>
      <w:r>
        <w:t xml:space="preserve"> </w:t>
      </w:r>
      <w:r>
        <w:rPr>
          <w:i/>
          <w:iCs/>
        </w:rPr>
        <w:t xml:space="preserve">“phallus”</w:t>
      </w:r>
      <w:r>
        <w:t xml:space="preserve"> </w:t>
      </w:r>
      <w:r>
        <w:t xml:space="preserve">and thought the staff was a</w:t>
      </w:r>
      <w:r>
        <w:t xml:space="preserve"> </w:t>
      </w:r>
      <w:r>
        <w:rPr>
          <w:b/>
          <w:bCs/>
        </w:rPr>
        <w:t xml:space="preserve">creation chant</w:t>
      </w:r>
      <w:r>
        <w:t xml:space="preserve"> </w:t>
      </w:r>
      <w:r>
        <w:t xml:space="preserve">with repeating triads (X–76–Y Z meaning “X copulated with Y; there issued Z”)</w:t>
      </w:r>
      <w:hyperlink r:id="rId23">
        <w:r>
          <w:rPr>
            <w:rStyle w:val="Hyperlink"/>
          </w:rPr>
          <w:t xml:space="preserve">[4]</w:t>
        </w:r>
      </w:hyperlink>
      <w:hyperlink r:id="rId24">
        <w:r>
          <w:rPr>
            <w:rStyle w:val="Hyperlink"/>
          </w:rPr>
          <w:t xml:space="preserve">[5]</w:t>
        </w:r>
      </w:hyperlink>
      <w:r>
        <w:t xml:space="preserve">. For example, one recurring sequence 606-76-700-8 Fischer read as</w:t>
      </w:r>
      <w:r>
        <w:t xml:space="preserve"> </w:t>
      </w:r>
      <w:r>
        <w:rPr>
          <w:i/>
          <w:iCs/>
        </w:rPr>
        <w:t xml:space="preserve">“All the birds copulated with the fish; there issued forth the sun”</w:t>
      </w:r>
      <w:r>
        <w:t xml:space="preserve">, drawing direct analogy to a known creation chant called</w:t>
      </w:r>
      <w:r>
        <w:t xml:space="preserve"> </w:t>
      </w:r>
      <w:r>
        <w:rPr>
          <w:i/>
          <w:iCs/>
        </w:rPr>
        <w:t xml:space="preserve">Atua Matariri</w:t>
      </w:r>
      <w:r>
        <w:t xml:space="preserve"> </w:t>
      </w:r>
      <w:r>
        <w:t xml:space="preserve">recorded in Rapa Nui oral tradition</w:t>
      </w:r>
      <w:hyperlink r:id="rId24">
        <w:r>
          <w:rPr>
            <w:rStyle w:val="Hyperlink"/>
          </w:rPr>
          <w:t xml:space="preserve">[5]</w:t>
        </w:r>
      </w:hyperlink>
      <w:r>
        <w:t xml:space="preserve">. This shows the value of comparing glyph clusters to mythic</w:t>
      </w:r>
      <w:r>
        <w:t xml:space="preserve"> </w:t>
      </w:r>
      <w:r>
        <w:rPr>
          <w:b/>
          <w:bCs/>
        </w:rPr>
        <w:t xml:space="preserve">chants</w:t>
      </w:r>
      <w:r>
        <w:t xml:space="preserve"> </w:t>
      </w:r>
      <w:r>
        <w:t xml:space="preserve">– Fischer only recognized that pattern by recalling the chant’s repetitive structure.</w:t>
      </w:r>
    </w:p>
    <w:p>
      <w:pPr>
        <w:pStyle w:val="BodyText"/>
      </w:pPr>
      <w:r>
        <w:t xml:space="preserve">However, an alternative reading by other scholars (Butinov, Knorozov, and later Jacques Guy) suggests a very different layer of meaning: they see glyph 76 not as a literal “copulation” symbol but as a</w:t>
      </w:r>
      <w:r>
        <w:t xml:space="preserve"> </w:t>
      </w:r>
      <w:r>
        <w:rPr>
          <w:b/>
          <w:bCs/>
        </w:rPr>
        <w:t xml:space="preserve">patronymic marker</w:t>
      </w:r>
      <w:r>
        <w:t xml:space="preserve"> </w:t>
      </w:r>
      <w:r>
        <w:t xml:space="preserve">meaning “</w:t>
      </w:r>
      <w:r>
        <w:rPr>
          <w:i/>
          <w:iCs/>
        </w:rPr>
        <w:t xml:space="preserve">son of</w:t>
      </w:r>
      <w:r>
        <w:t xml:space="preserve">” in genealogical lists</w:t>
      </w:r>
      <w:hyperlink r:id="rId25">
        <w:r>
          <w:rPr>
            <w:rStyle w:val="Hyperlink"/>
          </w:rPr>
          <w:t xml:space="preserve">[6]</w:t>
        </w:r>
      </w:hyperlink>
      <w:r>
        <w:t xml:space="preserve">. Under this lens, the same sequence that Fischer saw as erotic or cosmic (birds, fish, sun) could encode lineage or events: e.g.</w:t>
      </w:r>
      <w:r>
        <w:t xml:space="preserve"> </w:t>
      </w:r>
      <w:r>
        <w:rPr>
          <w:i/>
          <w:iCs/>
        </w:rPr>
        <w:t xml:space="preserve">“[So-and-so] son of [bird] was killed”</w:t>
      </w:r>
      <w:r>
        <w:t xml:space="preserve"> </w:t>
      </w:r>
      <w:r>
        <w:t xml:space="preserve">with</w:t>
      </w:r>
      <w:r>
        <w:t xml:space="preserve"> </w:t>
      </w:r>
      <w:r>
        <w:rPr>
          <w:i/>
          <w:iCs/>
        </w:rPr>
        <w:t xml:space="preserve">“fish”</w:t>
      </w:r>
      <w:r>
        <w:t xml:space="preserve"> </w:t>
      </w:r>
      <w:r>
        <w:t xml:space="preserve">being a metaphor for a war casualty</w:t>
      </w:r>
      <w:hyperlink r:id="rId25">
        <w:r>
          <w:rPr>
            <w:rStyle w:val="Hyperlink"/>
          </w:rPr>
          <w:t xml:space="preserve">[6]</w:t>
        </w:r>
      </w:hyperlink>
      <w:r>
        <w:t xml:space="preserve">. In fact, the small</w:t>
      </w:r>
      <w:r>
        <w:t xml:space="preserve"> </w:t>
      </w:r>
      <w:r>
        <w:rPr>
          <w:i/>
          <w:iCs/>
        </w:rPr>
        <w:t xml:space="preserve">Santiago Tablet Gv</w:t>
      </w:r>
      <w:r>
        <w:t xml:space="preserve"> </w:t>
      </w:r>
      <w:r>
        <w:t xml:space="preserve">has a repetitive sequence that was hypothesized to read as a genealogy (“King A, B’s son; King B, C’s son…” etc.)</w:t>
      </w:r>
      <w:hyperlink r:id="rId26">
        <w:r>
          <w:rPr>
            <w:rStyle w:val="Hyperlink"/>
          </w:rPr>
          <w:t xml:space="preserve">[7]</w:t>
        </w:r>
      </w:hyperlink>
      <w:r>
        <w:t xml:space="preserve">. If that’s true, glyph 200 might be a title like “king” and glyph 76 marks “offspring of,” forming a lineage list</w:t>
      </w:r>
      <w:hyperlink r:id="rId26">
        <w:r>
          <w:rPr>
            <w:rStyle w:val="Hyperlink"/>
          </w:rPr>
          <w:t xml:space="preserve">[7]</w:t>
        </w:r>
      </w:hyperlink>
      <w:r>
        <w:t xml:space="preserve">. This genealogical interpretation is considered plausible by many experts</w:t>
      </w:r>
      <w:hyperlink r:id="rId27">
        <w:r>
          <w:rPr>
            <w:rStyle w:val="Hyperlink"/>
          </w:rPr>
          <w:t xml:space="preserve">[8]</w:t>
        </w:r>
      </w:hyperlink>
      <w:r>
        <w:t xml:space="preserve">. Notably, the staff contains glyph 76 a whopping 564 times (about 1/4 of all its signs)</w:t>
      </w:r>
      <w:hyperlink r:id="rId28">
        <w:r>
          <w:rPr>
            <w:rStyle w:val="Hyperlink"/>
          </w:rPr>
          <w:t xml:space="preserve">[9]</w:t>
        </w:r>
      </w:hyperlink>
      <w:r>
        <w:t xml:space="preserve">, consistent with a text full of personal names (“X son of Y” repeated) or a formulaic chant with a repeating grammatical marker. Thus,</w:t>
      </w:r>
      <w:r>
        <w:t xml:space="preserve"> </w:t>
      </w:r>
      <w:r>
        <w:rPr>
          <w:b/>
          <w:bCs/>
        </w:rPr>
        <w:t xml:space="preserve">both</w:t>
      </w:r>
      <w:r>
        <w:t xml:space="preserve"> </w:t>
      </w:r>
      <w:r>
        <w:t xml:space="preserve">interpretations – cosmic chant vs. genealogy/chronicle – are on the table, indicating a possible multi-layered encoding.</w:t>
      </w:r>
    </w:p>
    <w:p>
      <w:pPr>
        <w:pStyle w:val="BodyText"/>
      </w:pPr>
      <w:r>
        <w:rPr>
          <w:b/>
          <w:bCs/>
        </w:rPr>
        <w:t xml:space="preserve">Approach for the Staff:</w:t>
      </w:r>
      <w:r>
        <w:t xml:space="preserve"> </w:t>
      </w:r>
      <w:r>
        <w:t xml:space="preserve">We should systematically test both possibilities using cross-correlation with known cultural data:</w:t>
      </w:r>
    </w:p>
    <w:p>
      <w:pPr>
        <w:pStyle w:val="Compact"/>
        <w:numPr>
          <w:ilvl w:val="0"/>
          <w:numId w:val="1001"/>
        </w:numPr>
      </w:pPr>
      <w:r>
        <w:rPr>
          <w:b/>
          <w:bCs/>
        </w:rPr>
        <w:t xml:space="preserve">Identify recurring patterns or sections:</w:t>
      </w:r>
      <w:r>
        <w:t xml:space="preserve"> </w:t>
      </w:r>
      <w:r>
        <w:t xml:space="preserve">Using the vertical dividers and repeated glyph clusters on the staff, list out distinct sequences or “phrases.” Check if they follow a triadic pattern (as Fischer suggested) or a lineage pattern (pairs of names with a relationship marker) – or perhaps both, in different sections.</w:t>
      </w:r>
    </w:p>
    <w:p>
      <w:pPr>
        <w:pStyle w:val="Compact"/>
        <w:numPr>
          <w:ilvl w:val="0"/>
          <w:numId w:val="1001"/>
        </w:numPr>
      </w:pPr>
      <w:r>
        <w:rPr>
          <w:b/>
          <w:bCs/>
        </w:rPr>
        <w:t xml:space="preserve">Compare with known chants:</w:t>
      </w:r>
      <w:r>
        <w:t xml:space="preserve"> </w:t>
      </w:r>
      <w:r>
        <w:t xml:space="preserve">Look at Rapa Nui cosmogonic or procreation chants (like Atua Matariri and others). Do the glyph sequences appear to map onto any mythic pairings (e.g. sky/earth, bird/fish, etc.) that produce something (sun, stars, etc.)? Many Pacific creation chants have a repetitive structure; if the staff encodes one, we might find parallel sequences. For instance, if one section’s glyphs correspond to</w:t>
      </w:r>
      <w:r>
        <w:t xml:space="preserve"> </w:t>
      </w:r>
      <w:r>
        <w:rPr>
          <w:i/>
          <w:iCs/>
        </w:rPr>
        <w:t xml:space="preserve">“Land copulated with Sea, produced X”</w:t>
      </w:r>
      <w:r>
        <w:t xml:space="preserve">, see if the glyph imagery aligns (land could be a turtle glyph, sea a fish glyph, etc. – checking if those pairs occur with the 76 symbol in between).</w:t>
      </w:r>
    </w:p>
    <w:p>
      <w:pPr>
        <w:pStyle w:val="Compact"/>
        <w:numPr>
          <w:ilvl w:val="0"/>
          <w:numId w:val="1001"/>
        </w:numPr>
      </w:pPr>
      <w:r>
        <w:rPr>
          <w:b/>
          <w:bCs/>
        </w:rPr>
        <w:t xml:space="preserve">Compare with known genealogies:</w:t>
      </w:r>
      <w:r>
        <w:t xml:space="preserve"> </w:t>
      </w:r>
      <w:r>
        <w:t xml:space="preserve">Alternatively, compile the king lists or genealogical lore recorded by missionaries. Does the staff’s sequence length or structure match a known lineage (e.g., the sequence of Easter Island kings or mythic ancestors)? If glyph 200 is “ariki” (chief/king) as hypothesized</w:t>
      </w:r>
      <w:hyperlink r:id="rId26">
        <w:r>
          <w:rPr>
            <w:rStyle w:val="Hyperlink"/>
          </w:rPr>
          <w:t xml:space="preserve">[7]</w:t>
        </w:r>
      </w:hyperlink>
      <w:r>
        <w:t xml:space="preserve">, then each occurrence might precede a personal name. We should look for patterns like</w:t>
      </w:r>
      <w:r>
        <w:t xml:space="preserve"> </w:t>
      </w:r>
      <w:r>
        <w:rPr>
          <w:b/>
          <w:bCs/>
        </w:rPr>
        <w:t xml:space="preserve">Name – 76 – Name</w:t>
      </w:r>
      <w:r>
        <w:t xml:space="preserve"> </w:t>
      </w:r>
      <w:r>
        <w:t xml:space="preserve">repeating, and see if the count matches the number of generations in any oral genealogy. If we have candidate personal names (from oral history) for certain glyph clusters, we can attempt to map them.</w:t>
      </w:r>
    </w:p>
    <w:p>
      <w:pPr>
        <w:pStyle w:val="Compact"/>
        <w:numPr>
          <w:ilvl w:val="0"/>
          <w:numId w:val="1001"/>
        </w:numPr>
      </w:pPr>
      <w:r>
        <w:rPr>
          <w:b/>
          <w:bCs/>
        </w:rPr>
        <w:t xml:space="preserve">Look for context clues:</w:t>
      </w:r>
      <w:r>
        <w:t xml:space="preserve"> </w:t>
      </w:r>
      <w:r>
        <w:t xml:space="preserve">The staff was reportedly treated with great reverence by 19th-century islanders (even shown “to the sky” as if sacred</w:t>
      </w:r>
      <w:hyperlink r:id="rId29">
        <w:r>
          <w:rPr>
            <w:rStyle w:val="Hyperlink"/>
          </w:rPr>
          <w:t xml:space="preserve">[10]</w:t>
        </w:r>
      </w:hyperlink>
      <w:r>
        <w:t xml:space="preserve">). This hints its content could be sacred history or mythology. As we decipher portions, check if the emerging narrative (if any) feels like a chant (lots of natural or divine references) or a chronicle (lots of personal names and events). Any sign that a section ends with a glyph meaning “death” or “victory” (for example, the fish glyph was a known symbol for</w:t>
      </w:r>
      <w:r>
        <w:t xml:space="preserve"> </w:t>
      </w:r>
      <w:r>
        <w:rPr>
          <w:i/>
          <w:iCs/>
        </w:rPr>
        <w:t xml:space="preserve">îka</w:t>
      </w:r>
      <w:r>
        <w:t xml:space="preserve"> </w:t>
      </w:r>
      <w:r>
        <w:t xml:space="preserve">or “victim” in the war context</w:t>
      </w:r>
      <w:hyperlink r:id="rId30">
        <w:r>
          <w:rPr>
            <w:rStyle w:val="Hyperlink"/>
          </w:rPr>
          <w:t xml:space="preserve">[11]</w:t>
        </w:r>
      </w:hyperlink>
      <w:r>
        <w:t xml:space="preserve">) would support the historical record angle.</w:t>
      </w:r>
    </w:p>
    <w:p>
      <w:pPr>
        <w:pStyle w:val="FirstParagraph"/>
      </w:pPr>
      <w:r>
        <w:t xml:space="preserve">By thoroughly analyzing the Santiago Staff with these cross-references, we’ll either validate one theory or find that</w:t>
      </w:r>
      <w:r>
        <w:t xml:space="preserve"> </w:t>
      </w:r>
      <w:r>
        <w:rPr>
          <w:i/>
          <w:iCs/>
        </w:rPr>
        <w:t xml:space="preserve">both</w:t>
      </w:r>
      <w:r>
        <w:t xml:space="preserve"> </w:t>
      </w:r>
      <w:r>
        <w:t xml:space="preserve">layers exist (perhaps a mythic story told through allegorical genealogy). Even if our reading remains hypothetical, confirming consistent patterns (e.g. every</w:t>
      </w:r>
      <w:r>
        <w:t xml:space="preserve"> </w:t>
      </w:r>
      <w:r>
        <w:rPr>
          <w:i/>
          <w:iCs/>
        </w:rPr>
        <w:t xml:space="preserve">76</w:t>
      </w:r>
      <w:r>
        <w:t xml:space="preserve">-marked phrase corresponds to either a chant verse or a kin relationship) will be a huge step forward.</w:t>
      </w:r>
    </w:p>
    <w:bookmarkEnd w:id="31"/>
    <w:bookmarkStart w:id="40" w:name="X61fdd5bba4b3c6865b5d82eab6bb66c2c031c55"/>
    <w:p>
      <w:pPr>
        <w:pStyle w:val="Heading2"/>
      </w:pPr>
      <w:r>
        <w:t xml:space="preserve">Step 2: Decode the Key Tablet (Mamari) and Known Calendars</w:t>
      </w:r>
    </w:p>
    <w:p>
      <w:pPr>
        <w:pStyle w:val="FirstParagraph"/>
      </w:pPr>
      <w:r>
        <w:t xml:space="preserve">After gleaning as much as possible from the staff, the next priority is to tackle a major</w:t>
      </w:r>
      <w:r>
        <w:t xml:space="preserve"> </w:t>
      </w:r>
      <w:r>
        <w:rPr>
          <w:i/>
          <w:iCs/>
        </w:rPr>
        <w:t xml:space="preserve">tablet</w:t>
      </w:r>
      <w:r>
        <w:t xml:space="preserve"> </w:t>
      </w:r>
      <w:r>
        <w:t xml:space="preserve">inscription – specifically one that contains known reference points. The prime candidate is</w:t>
      </w:r>
      <w:r>
        <w:t xml:space="preserve"> </w:t>
      </w:r>
      <w:r>
        <w:rPr>
          <w:b/>
          <w:bCs/>
        </w:rPr>
        <w:t xml:space="preserve">Tablet C (Mamari)</w:t>
      </w:r>
      <w:r>
        <w:t xml:space="preserve">, which is famous for containing a</w:t>
      </w:r>
      <w:r>
        <w:t xml:space="preserve"> </w:t>
      </w:r>
      <w:r>
        <w:rPr>
          <w:b/>
          <w:bCs/>
        </w:rPr>
        <w:t xml:space="preserve">lunar calendar</w:t>
      </w:r>
      <w:r>
        <w:t xml:space="preserve"> </w:t>
      </w:r>
      <w:r>
        <w:t xml:space="preserve">sequence</w:t>
      </w:r>
      <w:hyperlink r:id="rId32">
        <w:r>
          <w:rPr>
            <w:rStyle w:val="Hyperlink"/>
          </w:rPr>
          <w:t xml:space="preserve">[12]</w:t>
        </w:r>
      </w:hyperlink>
      <w:r>
        <w:t xml:space="preserve">. Thomas Barthel identified three lines on the Mamari tablet as a sequence of the nights of the lunar month</w:t>
      </w:r>
      <w:hyperlink r:id="rId32">
        <w:r>
          <w:rPr>
            <w:rStyle w:val="Hyperlink"/>
          </w:rPr>
          <w:t xml:space="preserve">[12]</w:t>
        </w:r>
      </w:hyperlink>
      <w:r>
        <w:t xml:space="preserve">, and later researchers confirmed that the pattern of glyphs matches the structure of the traditional Rapa Nui</w:t>
      </w:r>
      <w:r>
        <w:t xml:space="preserve"> </w:t>
      </w:r>
      <w:r>
        <w:rPr>
          <w:b/>
          <w:bCs/>
        </w:rPr>
        <w:t xml:space="preserve">lunar calendar</w:t>
      </w:r>
      <w:r>
        <w:t xml:space="preserve"> </w:t>
      </w:r>
      <w:r>
        <w:t xml:space="preserve">(with 28–30 nights grouped and marked by special glyphs for new moon, full moon, etc.)</w:t>
      </w:r>
      <w:hyperlink r:id="rId33">
        <w:r>
          <w:rPr>
            <w:rStyle w:val="Hyperlink"/>
          </w:rPr>
          <w:t xml:space="preserve">[13]</w:t>
        </w:r>
      </w:hyperlink>
      <w:hyperlink r:id="rId34">
        <w:r>
          <w:rPr>
            <w:rStyle w:val="Hyperlink"/>
          </w:rPr>
          <w:t xml:space="preserve">[14]</w:t>
        </w:r>
      </w:hyperlink>
      <w:r>
        <w:t xml:space="preserve">. In fact, ethnographer William Thomson had recorded the native names of the nights of the month and months of the year during his 1886 visit, and these proved</w:t>
      </w:r>
      <w:r>
        <w:t xml:space="preserve"> </w:t>
      </w:r>
      <w:r>
        <w:rPr>
          <w:i/>
          <w:iCs/>
        </w:rPr>
        <w:t xml:space="preserve">key</w:t>
      </w:r>
      <w:r>
        <w:t xml:space="preserve"> </w:t>
      </w:r>
      <w:r>
        <w:t xml:space="preserve">to interpreting that one sequence – it lined up with the 28-night month and even revealed an extra intercalary month in the calendar</w:t>
      </w:r>
      <w:hyperlink r:id="rId35">
        <w:r>
          <w:rPr>
            <w:rStyle w:val="Hyperlink"/>
          </w:rPr>
          <w:t xml:space="preserve">[15]</w:t>
        </w:r>
      </w:hyperlink>
      <w:r>
        <w:t xml:space="preserve">. This</w:t>
      </w:r>
      <w:r>
        <w:t xml:space="preserve"> </w:t>
      </w:r>
      <w:r>
        <w:rPr>
          <w:b/>
          <w:bCs/>
        </w:rPr>
        <w:t xml:space="preserve">Mamari lunar calendar</w:t>
      </w:r>
      <w:r>
        <w:t xml:space="preserve"> </w:t>
      </w:r>
      <w:r>
        <w:t xml:space="preserve">segment is so far the only part of a tablet universally accepted as understood (at least in function)</w:t>
      </w:r>
      <w:hyperlink r:id="rId32">
        <w:r>
          <w:rPr>
            <w:rStyle w:val="Hyperlink"/>
          </w:rPr>
          <w:t xml:space="preserve">[12]</w:t>
        </w:r>
      </w:hyperlink>
      <w:r>
        <w:t xml:space="preserve">. We should use it as a Rosetta Stone of sorts:</w:t>
      </w:r>
    </w:p>
    <w:p>
      <w:pPr>
        <w:pStyle w:val="Compact"/>
        <w:numPr>
          <w:ilvl w:val="0"/>
          <w:numId w:val="1002"/>
        </w:numPr>
      </w:pPr>
      <w:r>
        <w:rPr>
          <w:b/>
          <w:bCs/>
        </w:rPr>
        <w:t xml:space="preserve">Verify and learn the calendar glyphs:</w:t>
      </w:r>
      <w:r>
        <w:t xml:space="preserve"> </w:t>
      </w:r>
      <w:r>
        <w:t xml:space="preserve">First, ensure we understand which glyphs in the Mamari lines correspond to known terms (for example, the glyph for</w:t>
      </w:r>
      <w:r>
        <w:t xml:space="preserve"> </w:t>
      </w:r>
      <w:r>
        <w:rPr>
          <w:i/>
          <w:iCs/>
        </w:rPr>
        <w:t xml:space="preserve">full moon</w:t>
      </w:r>
      <w:r>
        <w:t xml:space="preserve"> </w:t>
      </w:r>
      <w:r>
        <w:t xml:space="preserve">– a round shape – and those marking groups of nights)</w:t>
      </w:r>
      <w:hyperlink r:id="rId33">
        <w:r>
          <w:rPr>
            <w:rStyle w:val="Hyperlink"/>
          </w:rPr>
          <w:t xml:space="preserve">[13]</w:t>
        </w:r>
      </w:hyperlink>
      <w:hyperlink r:id="rId34">
        <w:r>
          <w:rPr>
            <w:rStyle w:val="Hyperlink"/>
          </w:rPr>
          <w:t xml:space="preserve">[14]</w:t>
        </w:r>
      </w:hyperlink>
      <w:r>
        <w:t xml:space="preserve">. By confirming these identifications, we add a few deciphered symbols to our toolkit (e.g., glyph 17 might mean “moon” or glyph 67 might depict a specific phase</w:t>
      </w:r>
      <w:hyperlink r:id="rId33">
        <w:r>
          <w:rPr>
            <w:rStyle w:val="Hyperlink"/>
          </w:rPr>
          <w:t xml:space="preserve">[16]</w:t>
        </w:r>
      </w:hyperlink>
      <w:r>
        <w:t xml:space="preserve">).</w:t>
      </w:r>
    </w:p>
    <w:p>
      <w:pPr>
        <w:pStyle w:val="Compact"/>
        <w:numPr>
          <w:ilvl w:val="0"/>
          <w:numId w:val="1002"/>
        </w:numPr>
      </w:pPr>
      <w:r>
        <w:rPr>
          <w:b/>
          <w:bCs/>
        </w:rPr>
        <w:t xml:space="preserve">Expand around the calendar:</w:t>
      </w:r>
      <w:r>
        <w:t xml:space="preserve"> </w:t>
      </w:r>
      <w:r>
        <w:t xml:space="preserve">The Mamari tablet likely contains more than just the calendar. Barthel and others suspect that adjoining lines could be instructions or myths related to the calendar (perhaps ceremonies for certain lunar events)</w:t>
      </w:r>
      <w:hyperlink r:id="rId32">
        <w:r>
          <w:rPr>
            <w:rStyle w:val="Hyperlink"/>
          </w:rPr>
          <w:t xml:space="preserve">[12]</w:t>
        </w:r>
      </w:hyperlink>
      <w:hyperlink r:id="rId33">
        <w:r>
          <w:rPr>
            <w:rStyle w:val="Hyperlink"/>
          </w:rPr>
          <w:t xml:space="preserve">[16]</w:t>
        </w:r>
      </w:hyperlink>
      <w:r>
        <w:t xml:space="preserve">. After the clearly identifiable calendar portion, we should attempt to read the following sections by applying what we know: do any glyphs repeat in patterns that might say “add a night” or reference the moon goddess, etc., as Guy and others have hypothesized</w:t>
      </w:r>
      <w:hyperlink r:id="rId36">
        <w:r>
          <w:rPr>
            <w:rStyle w:val="Hyperlink"/>
          </w:rPr>
          <w:t xml:space="preserve">[17]</w:t>
        </w:r>
      </w:hyperlink>
      <w:hyperlink r:id="rId33">
        <w:r>
          <w:rPr>
            <w:rStyle w:val="Hyperlink"/>
          </w:rPr>
          <w:t xml:space="preserve">[16]</w:t>
        </w:r>
      </w:hyperlink>
      <w:r>
        <w:t xml:space="preserve">. If the calendar glyph sequence is followed by a text explaining intercalation rules (as some researchers propose</w:t>
      </w:r>
      <w:hyperlink r:id="rId36">
        <w:r>
          <w:rPr>
            <w:rStyle w:val="Hyperlink"/>
          </w:rPr>
          <w:t xml:space="preserve">[17]</w:t>
        </w:r>
      </w:hyperlink>
      <w:r>
        <w:t xml:space="preserve">), we might decipher words like “insert” or “before/after” if we can guess them from context. Cross-check these with Rapa Nui terms for those concepts (in the old language, if recorded).</w:t>
      </w:r>
    </w:p>
    <w:p>
      <w:pPr>
        <w:pStyle w:val="Compact"/>
        <w:numPr>
          <w:ilvl w:val="0"/>
          <w:numId w:val="1002"/>
        </w:numPr>
      </w:pPr>
      <w:r>
        <w:rPr>
          <w:b/>
          <w:bCs/>
        </w:rPr>
        <w:t xml:space="preserve">Use calendar as cultural cross-check:</w:t>
      </w:r>
      <w:r>
        <w:t xml:space="preserve"> </w:t>
      </w:r>
      <w:r>
        <w:t xml:space="preserve">Because the lunar calendar is tied to mythology (e.g., the</w:t>
      </w:r>
      <w:r>
        <w:t xml:space="preserve"> </w:t>
      </w:r>
      <w:r>
        <w:rPr>
          <w:i/>
          <w:iCs/>
        </w:rPr>
        <w:t xml:space="preserve">Man in the Moon</w:t>
      </w:r>
      <w:r>
        <w:t xml:space="preserve"> </w:t>
      </w:r>
      <w:r>
        <w:t xml:space="preserve">legend is encoded via a glyph of an old woman lighting an oven – symbolizing the moon</w:t>
      </w:r>
      <w:hyperlink r:id="rId33">
        <w:r>
          <w:rPr>
            <w:rStyle w:val="Hyperlink"/>
          </w:rPr>
          <w:t xml:space="preserve">[16]</w:t>
        </w:r>
      </w:hyperlink>
      <w:r>
        <w:t xml:space="preserve">), this shows the script uses</w:t>
      </w:r>
      <w:r>
        <w:t xml:space="preserve"> </w:t>
      </w:r>
      <w:r>
        <w:rPr>
          <w:b/>
          <w:bCs/>
        </w:rPr>
        <w:t xml:space="preserve">mythic references for practical data</w:t>
      </w:r>
      <w:r>
        <w:t xml:space="preserve">. Keep this in mind: a glyph might not directly spell a word but depict a figure from myth to signify an idea. This supports the multi-layer notion: e.g., using a</w:t>
      </w:r>
      <w:r>
        <w:t xml:space="preserve"> </w:t>
      </w:r>
      <w:r>
        <w:rPr>
          <w:i/>
          <w:iCs/>
        </w:rPr>
        <w:t xml:space="preserve">fish</w:t>
      </w:r>
      <w:r>
        <w:t xml:space="preserve"> </w:t>
      </w:r>
      <w:r>
        <w:t xml:space="preserve">glyph to mean “victim” (relying on the metaphor of slain enemies as “fish”)</w:t>
      </w:r>
      <w:hyperlink r:id="rId30">
        <w:r>
          <w:rPr>
            <w:rStyle w:val="Hyperlink"/>
          </w:rPr>
          <w:t xml:space="preserve">[11]</w:t>
        </w:r>
      </w:hyperlink>
      <w:r>
        <w:t xml:space="preserve">. So, for the calendar and beyond, consider symbolic meanings of glyphs rooted in culture. We should compile known Rapa Nui metaphors or symbolic associations (fish = enemy, frigatebird = god Makemake, turtle = earth, etc.)</w:t>
      </w:r>
      <w:hyperlink r:id="rId37">
        <w:r>
          <w:rPr>
            <w:rStyle w:val="Hyperlink"/>
          </w:rPr>
          <w:t xml:space="preserve">[18]</w:t>
        </w:r>
      </w:hyperlink>
      <w:hyperlink r:id="rId38">
        <w:r>
          <w:rPr>
            <w:rStyle w:val="Hyperlink"/>
          </w:rPr>
          <w:t xml:space="preserve">[19]</w:t>
        </w:r>
      </w:hyperlink>
      <w:r>
        <w:t xml:space="preserve"> </w:t>
      </w:r>
      <w:r>
        <w:t xml:space="preserve">and see if those glyphs appear where expected.</w:t>
      </w:r>
    </w:p>
    <w:p>
      <w:pPr>
        <w:pStyle w:val="FirstParagraph"/>
      </w:pPr>
      <w:r>
        <w:t xml:space="preserve">After Mamari, another tablet to analyze could be</w:t>
      </w:r>
      <w:r>
        <w:t xml:space="preserve"> </w:t>
      </w:r>
      <w:r>
        <w:rPr>
          <w:b/>
          <w:bCs/>
        </w:rPr>
        <w:t xml:space="preserve">Aruku Kurenga (Tablet B)</w:t>
      </w:r>
      <w:r>
        <w:t xml:space="preserve"> </w:t>
      </w:r>
      <w:r>
        <w:t xml:space="preserve">or others that are well-preserved. Some tablets might contain genealogies or hymns – for example, the</w:t>
      </w:r>
      <w:r>
        <w:t xml:space="preserve"> </w:t>
      </w:r>
      <w:r>
        <w:rPr>
          <w:i/>
          <w:iCs/>
        </w:rPr>
        <w:t xml:space="preserve">Small Santiago Tablet (G)</w:t>
      </w:r>
      <w:r>
        <w:t xml:space="preserve"> </w:t>
      </w:r>
      <w:r>
        <w:t xml:space="preserve">that Butinov and Knorozov studied for lineage patterns</w:t>
      </w:r>
      <w:hyperlink r:id="rId39">
        <w:r>
          <w:rPr>
            <w:rStyle w:val="Hyperlink"/>
          </w:rPr>
          <w:t xml:space="preserve">[20]</w:t>
        </w:r>
      </w:hyperlink>
      <w:hyperlink r:id="rId26">
        <w:r>
          <w:rPr>
            <w:rStyle w:val="Hyperlink"/>
          </w:rPr>
          <w:t xml:space="preserve">[7]</w:t>
        </w:r>
      </w:hyperlink>
      <w:r>
        <w:t xml:space="preserve">. We should apply what we’ve learned:</w:t>
      </w:r>
    </w:p>
    <w:p>
      <w:pPr>
        <w:pStyle w:val="Compact"/>
        <w:numPr>
          <w:ilvl w:val="0"/>
          <w:numId w:val="1003"/>
        </w:numPr>
      </w:pPr>
      <w:r>
        <w:t xml:space="preserve">If from the staff we tentatively decipher personal name markers (like glyph 76 meaning</w:t>
      </w:r>
      <w:r>
        <w:t xml:space="preserve"> </w:t>
      </w:r>
      <w:r>
        <w:rPr>
          <w:i/>
          <w:iCs/>
        </w:rPr>
        <w:t xml:space="preserve">“son of”</w:t>
      </w:r>
      <w:hyperlink r:id="rId26">
        <w:r>
          <w:rPr>
            <w:rStyle w:val="Hyperlink"/>
          </w:rPr>
          <w:t xml:space="preserve">[7]</w:t>
        </w:r>
      </w:hyperlink>
      <w:r>
        <w:t xml:space="preserve">), look for those in other texts. Does Tablet G show the same pattern of 76 linking pairs of glyphs? If yes, and if we suspect those are names, perhaps match them to known names of Rapa Nui ancestors or heroes. For instance, if a certain glyph cluster repeats but always with different preceding glyphs plus 76, it might be a generic term like “child” or a patronymic indicator.</w:t>
      </w:r>
    </w:p>
    <w:p>
      <w:pPr>
        <w:pStyle w:val="Compact"/>
        <w:numPr>
          <w:ilvl w:val="0"/>
          <w:numId w:val="1003"/>
        </w:numPr>
      </w:pPr>
      <w:r>
        <w:t xml:space="preserve">If we identified any glyph as a deity or elemental symbol from the staff or Mamari (say a glyph that likely means “sun” or a particular god), see if that glyph appears on other tablets that might recount myths (like tablet A</w:t>
      </w:r>
      <w:r>
        <w:t xml:space="preserve"> </w:t>
      </w:r>
      <w:r>
        <w:rPr>
          <w:i/>
          <w:iCs/>
        </w:rPr>
        <w:t xml:space="preserve">Tahua</w:t>
      </w:r>
      <w:r>
        <w:t xml:space="preserve"> </w:t>
      </w:r>
      <w:r>
        <w:t xml:space="preserve">or E</w:t>
      </w:r>
      <w:r>
        <w:t xml:space="preserve"> </w:t>
      </w:r>
      <w:r>
        <w:rPr>
          <w:i/>
          <w:iCs/>
        </w:rPr>
        <w:t xml:space="preserve">Keiti</w:t>
      </w:r>
      <w:r>
        <w:t xml:space="preserve"> </w:t>
      </w:r>
      <w:r>
        <w:t xml:space="preserve">were sometimes thought to be chants). Cross-reference those occurrences with myth: e.g., if a glyph meaning “sun” appears in another text, is that text possibly a song about the sun or time-keeping?</w:t>
      </w:r>
    </w:p>
    <w:p>
      <w:pPr>
        <w:pStyle w:val="FirstParagraph"/>
      </w:pPr>
      <w:r>
        <w:t xml:space="preserve">By deeply analyzing one tablet at a time (the staff, then Mamari, then others), we’ll gradually build a</w:t>
      </w:r>
      <w:r>
        <w:t xml:space="preserve"> </w:t>
      </w:r>
      <w:r>
        <w:rPr>
          <w:b/>
          <w:bCs/>
        </w:rPr>
        <w:t xml:space="preserve">glossary of glyphs</w:t>
      </w:r>
      <w:r>
        <w:t xml:space="preserve"> </w:t>
      </w:r>
      <w:r>
        <w:t xml:space="preserve">and their plausible meanings or sounds. At each stage, it’s crucial to</w:t>
      </w:r>
      <w:r>
        <w:t xml:space="preserve"> </w:t>
      </w:r>
      <w:r>
        <w:rPr>
          <w:b/>
          <w:bCs/>
        </w:rPr>
        <w:t xml:space="preserve">cross-validate</w:t>
      </w:r>
      <w:r>
        <w:t xml:space="preserve">: whenever we assign a value (like “bird” or “king” or a phonetic syllable) to a glyph, check it against another context to see if it still makes sense. For example, if glyph 700 seemed to mean “fish” (or metaphorically “victim”) on the staff</w:t>
      </w:r>
      <w:hyperlink r:id="rId30">
        <w:r>
          <w:rPr>
            <w:rStyle w:val="Hyperlink"/>
          </w:rPr>
          <w:t xml:space="preserve">[11]</w:t>
        </w:r>
      </w:hyperlink>
      <w:r>
        <w:t xml:space="preserve">, does glyph 700 appear in Mamari or Aruku Kurenga? If yes, does its context there allow “fish” or “victim”? Consistency will strengthen our hypothesis that we’re on the right track.</w:t>
      </w:r>
    </w:p>
    <w:bookmarkEnd w:id="40"/>
    <w:bookmarkStart w:id="43" w:name="X0e420cf9cb8552f233ad27a1b1b5817a7f721a7"/>
    <w:p>
      <w:pPr>
        <w:pStyle w:val="Heading2"/>
      </w:pPr>
      <w:r>
        <w:t xml:space="preserve">Step 3: Cross-Reference All Glyph Segments with Myths, Chants, and Genealogies</w:t>
      </w:r>
    </w:p>
    <w:p>
      <w:pPr>
        <w:pStyle w:val="FirstParagraph"/>
      </w:pPr>
      <w:r>
        <w:t xml:space="preserve">Once we have tackled the staff and the key tablet(s), we should broaden the analysis to</w:t>
      </w:r>
      <w:r>
        <w:t xml:space="preserve"> </w:t>
      </w:r>
      <w:r>
        <w:rPr>
          <w:b/>
          <w:bCs/>
        </w:rPr>
        <w:t xml:space="preserve">all remaining inscriptions and all relevant cultural texts</w:t>
      </w:r>
      <w:r>
        <w:t xml:space="preserve"> </w:t>
      </w:r>
      <w:r>
        <w:t xml:space="preserve">in parallel. This is where the true multi-layer, cross-correlation methodology shines – essentially using every clue in the Rapa Nui cultural corpus to inform the decipherment:</w:t>
      </w:r>
    </w:p>
    <w:p>
      <w:pPr>
        <w:pStyle w:val="Compact"/>
        <w:numPr>
          <w:ilvl w:val="0"/>
          <w:numId w:val="1004"/>
        </w:numPr>
      </w:pPr>
      <w:r>
        <w:rPr>
          <w:b/>
          <w:bCs/>
        </w:rPr>
        <w:t xml:space="preserve">Gather the corpus of myths/chants:</w:t>
      </w:r>
      <w:r>
        <w:t xml:space="preserve"> </w:t>
      </w:r>
      <w:r>
        <w:t xml:space="preserve">Compile the transcriptions or summaries of Easter Island’s known oral literature – creation chants (like Atua Matariri and others recorded by missionaries), legends of gods (Makemake, etc.), and famous prayers or songs. Also gather king lists or genealogical recitations noted by early ethnographers. These texts are our hypothesized “content” of the glyphs. Even though none is confirmed as what’s on a tablet, many investigators have speculated the tablets contained</w:t>
      </w:r>
      <w:r>
        <w:t xml:space="preserve"> </w:t>
      </w:r>
      <w:r>
        <w:rPr>
          <w:b/>
          <w:bCs/>
        </w:rPr>
        <w:t xml:space="preserve">genealogies, navigation lore, astronomical knowledge, agriculture rituals</w:t>
      </w:r>
      <w:r>
        <w:t xml:space="preserve">, etc.</w:t>
      </w:r>
      <w:hyperlink r:id="rId41">
        <w:r>
          <w:rPr>
            <w:rStyle w:val="Hyperlink"/>
          </w:rPr>
          <w:t xml:space="preserve">[21]</w:t>
        </w:r>
      </w:hyperlink>
      <w:r>
        <w:t xml:space="preserve">. We will test each possibility.</w:t>
      </w:r>
    </w:p>
    <w:p>
      <w:pPr>
        <w:pStyle w:val="Compact"/>
        <w:numPr>
          <w:ilvl w:val="0"/>
          <w:numId w:val="1004"/>
        </w:numPr>
      </w:pPr>
      <w:r>
        <w:rPr>
          <w:b/>
          <w:bCs/>
        </w:rPr>
        <w:t xml:space="preserve">Segment the remaining tablets:</w:t>
      </w:r>
      <w:r>
        <w:t xml:space="preserve"> </w:t>
      </w:r>
      <w:r>
        <w:t xml:space="preserve">For each of the other tablets (there are about two dozen in total, though some are small or fragmentary), break them into sections or recurring sequences. Use Barthel’s catalog of glyphs and any concordances available to identify when a sequence from one tablet reappears in another. A repeated sequence across tablets is a strong hint of a common refrain or list (perhaps a standard chant chorus or a genealogical formula).</w:t>
      </w:r>
    </w:p>
    <w:p>
      <w:pPr>
        <w:pStyle w:val="Compact"/>
        <w:numPr>
          <w:ilvl w:val="0"/>
          <w:numId w:val="1004"/>
        </w:numPr>
      </w:pPr>
      <w:r>
        <w:rPr>
          <w:b/>
          <w:bCs/>
        </w:rPr>
        <w:t xml:space="preserve">Match sequences to known texts:</w:t>
      </w:r>
      <w:r>
        <w:t xml:space="preserve"> </w:t>
      </w:r>
      <w:r>
        <w:t xml:space="preserve">Take each candidate sequence and see if it matches something in the oral texts. For example:</w:t>
      </w:r>
    </w:p>
    <w:p>
      <w:pPr>
        <w:pStyle w:val="Compact"/>
        <w:numPr>
          <w:ilvl w:val="0"/>
          <w:numId w:val="1004"/>
        </w:numPr>
      </w:pPr>
      <w:r>
        <w:t xml:space="preserve">A long repetitive sequence with variations might correspond to a genealogical list (e.g., “... son of X, X son of Y, Y son of Z...” as in some Polynesian chants). Does the pattern of repetition on a tablet resemble the structure “Name1 76 Name2, Name2 76 Name3...” that we expect from a genealogy? If so, try plugging in the actual ancestor names from Rapa Nui traditions to see if counts and known relationships align</w:t>
      </w:r>
      <w:hyperlink r:id="rId26">
        <w:r>
          <w:rPr>
            <w:rStyle w:val="Hyperlink"/>
          </w:rPr>
          <w:t xml:space="preserve">[7]</w:t>
        </w:r>
      </w:hyperlink>
      <w:r>
        <w:t xml:space="preserve">.</w:t>
      </w:r>
    </w:p>
    <w:p>
      <w:pPr>
        <w:pStyle w:val="Compact"/>
        <w:numPr>
          <w:ilvl w:val="0"/>
          <w:numId w:val="1004"/>
        </w:numPr>
      </w:pPr>
      <w:r>
        <w:t xml:space="preserve">A sequence where two or three glyphs repeat in a pattern might correspond to a song chorus or invocation. For instance, if a tablet has periodic repeats of a particular glyph (say a figure with arms raised, possibly an invocation to a god), check if any known chant has a refrain invoking a deity at intervals.</w:t>
      </w:r>
    </w:p>
    <w:p>
      <w:pPr>
        <w:pStyle w:val="Compact"/>
        <w:numPr>
          <w:ilvl w:val="0"/>
          <w:numId w:val="1004"/>
        </w:numPr>
      </w:pPr>
      <w:r>
        <w:t xml:space="preserve">Look specifically for</w:t>
      </w:r>
      <w:r>
        <w:t xml:space="preserve"> </w:t>
      </w:r>
      <w:r>
        <w:rPr>
          <w:b/>
          <w:bCs/>
        </w:rPr>
        <w:t xml:space="preserve">calendar or astronomy references</w:t>
      </w:r>
      <w:r>
        <w:t xml:space="preserve"> </w:t>
      </w:r>
      <w:r>
        <w:t xml:space="preserve">beyond Mamari: perhaps other tablets mention stars or seasons. If we find the glyph that meant “full moon” on Mamari, and it appears on another tablet next to a</w:t>
      </w:r>
      <w:r>
        <w:t xml:space="preserve"> </w:t>
      </w:r>
      <w:r>
        <w:rPr>
          <w:i/>
          <w:iCs/>
        </w:rPr>
        <w:t xml:space="preserve">sun</w:t>
      </w:r>
      <w:r>
        <w:t xml:space="preserve"> </w:t>
      </w:r>
      <w:r>
        <w:t xml:space="preserve">glyph, that could hint at an astronomical context (maybe an eclipse myth or a ritual timing).</w:t>
      </w:r>
    </w:p>
    <w:p>
      <w:pPr>
        <w:numPr>
          <w:ilvl w:val="0"/>
          <w:numId w:val="1004"/>
        </w:numPr>
      </w:pPr>
      <w:r>
        <w:rPr>
          <w:b/>
          <w:bCs/>
        </w:rPr>
        <w:t xml:space="preserve">Genealogies and myths often intersect</w:t>
      </w:r>
      <w:r>
        <w:t xml:space="preserve">: Polynesian mythic genealogies list not just people but gods begatting gods, etc. It’s possible a text could be a myth written in genealogical style. So even if we see “X son of Y”, X or Y could be gods or personifications (like “Moon son of Earth” in metaphor). Keep an open mind that myth and lineage might be intertwined in the script.</w:t>
      </w:r>
    </w:p>
    <w:p>
      <w:pPr>
        <w:numPr>
          <w:ilvl w:val="0"/>
          <w:numId w:val="1004"/>
        </w:numPr>
      </w:pPr>
      <w:r>
        <w:rPr>
          <w:b/>
          <w:bCs/>
        </w:rPr>
        <w:t xml:space="preserve">Leverage computing for pattern finding:</w:t>
      </w:r>
      <w:r>
        <w:t xml:space="preserve"> </w:t>
      </w:r>
      <w:r>
        <w:t xml:space="preserve">Given the complexity, we might use a simple software tool or manual coding to search for all instances of key glyph combinations across the corpus. For example, find all places where glyph 76 occurs – do those tablets share context (maybe all are lists)? Or find all instances of a particular glyph thought to be a deity to see if it’s often preceded/followed by a certain other glyph (perhaps a possessive or action marker). This can reveal grammar-like structures (like a possessive “of” or a verb marker) if any.</w:t>
      </w:r>
    </w:p>
    <w:p>
      <w:pPr>
        <w:numPr>
          <w:ilvl w:val="0"/>
          <w:numId w:val="1004"/>
        </w:numPr>
      </w:pPr>
      <w:r>
        <w:rPr>
          <w:b/>
          <w:bCs/>
        </w:rPr>
        <w:t xml:space="preserve">Iterate between hypothesis and evidence:</w:t>
      </w:r>
      <w:r>
        <w:t xml:space="preserve"> </w:t>
      </w:r>
      <w:r>
        <w:t xml:space="preserve">Each time we think we’ve deciphered something (say, “glyph X =</w:t>
      </w:r>
      <w:r>
        <w:t xml:space="preserve"> </w:t>
      </w:r>
      <w:r>
        <w:rPr>
          <w:i/>
          <w:iCs/>
        </w:rPr>
        <w:t xml:space="preserve">atua</w:t>
      </w:r>
      <w:r>
        <w:t xml:space="preserve"> </w:t>
      </w:r>
      <w:r>
        <w:t xml:space="preserve">(god)”), we should see it through: does reading</w:t>
      </w:r>
      <w:r>
        <w:t xml:space="preserve"> </w:t>
      </w:r>
      <w:r>
        <w:rPr>
          <w:i/>
          <w:iCs/>
        </w:rPr>
        <w:t xml:space="preserve">atua</w:t>
      </w:r>
      <w:r>
        <w:t xml:space="preserve"> </w:t>
      </w:r>
      <w:r>
        <w:t xml:space="preserve">for glyph X make the surrounding text coherent (are other glyphs names of gods or actions that make sense in a myth)? If a hypothesis falls apart (e.g., yields a nonsensical or contradictory reading on another tablet), note it and adjust. The key is to refine the hypothesis continuously with cross-references. Remember, as one scholar quipped, any proposed decipherment must</w:t>
      </w:r>
      <w:r>
        <w:t xml:space="preserve"> </w:t>
      </w:r>
      <w:r>
        <w:rPr>
          <w:b/>
          <w:bCs/>
        </w:rPr>
        <w:t xml:space="preserve">work consistently across different texts</w:t>
      </w:r>
      <w:r>
        <w:t xml:space="preserve"> </w:t>
      </w:r>
      <w:r>
        <w:t xml:space="preserve">to be credible</w:t>
      </w:r>
      <w:hyperlink r:id="rId42">
        <w:r>
          <w:rPr>
            <w:rStyle w:val="Hyperlink"/>
          </w:rPr>
          <w:t xml:space="preserve">[22]</w:t>
        </w:r>
      </w:hyperlink>
      <w:r>
        <w:t xml:space="preserve">. So we will constantly cross-check new decipherments against</w:t>
      </w:r>
      <w:r>
        <w:t xml:space="preserve"> </w:t>
      </w:r>
      <w:r>
        <w:rPr>
          <w:i/>
          <w:iCs/>
        </w:rPr>
        <w:t xml:space="preserve">all</w:t>
      </w:r>
      <w:r>
        <w:t xml:space="preserve"> </w:t>
      </w:r>
      <w:r>
        <w:t xml:space="preserve">tablets to ensure we’re not overfitting to one artifact.</w:t>
      </w:r>
    </w:p>
    <w:bookmarkEnd w:id="43"/>
    <w:bookmarkStart w:id="48" w:name="Xca3a7ea68ee50fc93d37af84381cf709949a68c"/>
    <w:p>
      <w:pPr>
        <w:pStyle w:val="Heading2"/>
      </w:pPr>
      <w:r>
        <w:t xml:space="preserve">Building and Testing Hypotheses – Breaking New Ground</w:t>
      </w:r>
    </w:p>
    <w:p>
      <w:pPr>
        <w:pStyle w:val="FirstParagraph"/>
      </w:pPr>
      <w:r>
        <w:t xml:space="preserve">Throughout this process, we must embrace the fact that we are formulating hypotheses in uncharted territory. It’s important to document each hypothesis and the supporting evidence from glyph patterns and cultural parallels. We should remain</w:t>
      </w:r>
      <w:r>
        <w:t xml:space="preserve"> </w:t>
      </w:r>
      <w:r>
        <w:rPr>
          <w:b/>
          <w:bCs/>
        </w:rPr>
        <w:t xml:space="preserve">open-minded</w:t>
      </w:r>
      <w:r>
        <w:t xml:space="preserve">: the script might not be purely phonetic writing at all, but a system where each glyph or compound had several layers (sound, symbol, concept) that only someone versed in the chants or lore could interpret</w:t>
      </w:r>
      <w:hyperlink r:id="rId21">
        <w:r>
          <w:rPr>
            <w:rStyle w:val="Hyperlink"/>
          </w:rPr>
          <w:t xml:space="preserve">[1]</w:t>
        </w:r>
      </w:hyperlink>
      <w:r>
        <w:t xml:space="preserve">. This means our multi-layer approach isn’t just optional – it may be the</w:t>
      </w:r>
      <w:r>
        <w:t xml:space="preserve"> </w:t>
      </w:r>
      <w:r>
        <w:rPr>
          <w:i/>
          <w:iCs/>
        </w:rPr>
        <w:t xml:space="preserve">only</w:t>
      </w:r>
      <w:r>
        <w:t xml:space="preserve"> </w:t>
      </w:r>
      <w:r>
        <w:t xml:space="preserve">way to make progress.</w:t>
      </w:r>
    </w:p>
    <w:p>
      <w:pPr>
        <w:pStyle w:val="BodyText"/>
      </w:pPr>
      <w:r>
        <w:t xml:space="preserve">A few guiding principles as we push into new territory:</w:t>
      </w:r>
    </w:p>
    <w:p>
      <w:pPr>
        <w:pStyle w:val="Compact"/>
        <w:numPr>
          <w:ilvl w:val="0"/>
          <w:numId w:val="1005"/>
        </w:numPr>
      </w:pPr>
      <w:r>
        <w:rPr>
          <w:b/>
          <w:bCs/>
        </w:rPr>
        <w:t xml:space="preserve">Stay rigorous with evidence:</w:t>
      </w:r>
      <w:r>
        <w:t xml:space="preserve"> </w:t>
      </w:r>
      <w:r>
        <w:t xml:space="preserve">Whenever possible, back up an interpretation with at least two angles of evidence – for example, a structural pattern</w:t>
      </w:r>
      <w:r>
        <w:t xml:space="preserve"> </w:t>
      </w:r>
      <w:r>
        <w:rPr>
          <w:b/>
          <w:bCs/>
        </w:rPr>
        <w:t xml:space="preserve">and</w:t>
      </w:r>
      <w:r>
        <w:t xml:space="preserve"> </w:t>
      </w:r>
      <w:r>
        <w:t xml:space="preserve">a mythological reference. We saw how Fischer’s single-pattern theory (the copulation triads) was met with skepticism because it produced some unnatural readings elsewhere</w:t>
      </w:r>
      <w:hyperlink r:id="rId44">
        <w:r>
          <w:rPr>
            <w:rStyle w:val="Hyperlink"/>
          </w:rPr>
          <w:t xml:space="preserve">[23]</w:t>
        </w:r>
      </w:hyperlink>
      <w:hyperlink r:id="rId45">
        <w:r>
          <w:rPr>
            <w:rStyle w:val="Hyperlink"/>
          </w:rPr>
          <w:t xml:space="preserve">[24]</w:t>
        </w:r>
      </w:hyperlink>
      <w:r>
        <w:t xml:space="preserve">. To avoid that, any reading we propose (say, identifying a glyph as a certain word) should ideally clarify</w:t>
      </w:r>
      <w:r>
        <w:t xml:space="preserve"> </w:t>
      </w:r>
      <w:r>
        <w:rPr>
          <w:i/>
          <w:iCs/>
        </w:rPr>
        <w:t xml:space="preserve">multiple</w:t>
      </w:r>
      <w:r>
        <w:t xml:space="preserve"> </w:t>
      </w:r>
      <w:r>
        <w:t xml:space="preserve">occurrences in a meaningful way, not just one. If others have attempted something similar, note their results (successful or not) and learn from them.</w:t>
      </w:r>
    </w:p>
    <w:p>
      <w:pPr>
        <w:pStyle w:val="Compact"/>
        <w:numPr>
          <w:ilvl w:val="0"/>
          <w:numId w:val="1005"/>
        </w:numPr>
      </w:pPr>
      <w:r>
        <w:rPr>
          <w:b/>
          <w:bCs/>
        </w:rPr>
        <w:t xml:space="preserve">Use partial decipherments as stepping stones:</w:t>
      </w:r>
      <w:r>
        <w:t xml:space="preserve"> </w:t>
      </w:r>
      <w:r>
        <w:t xml:space="preserve">The calendar portion we discussed is a confirmed foothold – any glyph values gleaned there should be used to inform readings of other texts. Similarly, if we manage to decode even a small phrase (e.g., recognizing a phrase meaning “great king” or “in the beginning”), that can become a seed to decode the rest. This was the case in other script decipherments in history: a small known phrase can unlock an unknown script when repeated elsewhere.</w:t>
      </w:r>
    </w:p>
    <w:p>
      <w:pPr>
        <w:pStyle w:val="Compact"/>
        <w:numPr>
          <w:ilvl w:val="0"/>
          <w:numId w:val="1005"/>
        </w:numPr>
      </w:pPr>
      <w:r>
        <w:rPr>
          <w:b/>
          <w:bCs/>
        </w:rPr>
        <w:t xml:space="preserve">Expect multi-function glyphs:</w:t>
      </w:r>
      <w:r>
        <w:t xml:space="preserve"> </w:t>
      </w:r>
      <w:r>
        <w:t xml:space="preserve">A single glyph might serve as a logograph (whole word or concept) in one context and part of a compound in another. For instance, glyph 8 was interpreted by Fischer as “sun” when standing alone</w:t>
      </w:r>
      <w:hyperlink r:id="rId46">
        <w:r>
          <w:rPr>
            <w:rStyle w:val="Hyperlink"/>
          </w:rPr>
          <w:t xml:space="preserve">[25]</w:t>
        </w:r>
      </w:hyperlink>
      <w:r>
        <w:t xml:space="preserve">. But that same glyph might be part of a larger composite to mean something else. We should record each glyph’s occurrences and see if its meaning seems stable or shifts with neighbors. If multi-layer encryption is true, some glyphs might encode a syllable</w:t>
      </w:r>
      <w:r>
        <w:t xml:space="preserve"> </w:t>
      </w:r>
      <w:r>
        <w:rPr>
          <w:i/>
          <w:iCs/>
        </w:rPr>
        <w:t xml:space="preserve">and</w:t>
      </w:r>
      <w:r>
        <w:t xml:space="preserve"> </w:t>
      </w:r>
      <w:r>
        <w:t xml:space="preserve">depict an object – so we should be open to rebus-like readings (where the glyph’s picture gives a clue to sound or meaning indirectly).</w:t>
      </w:r>
    </w:p>
    <w:p>
      <w:pPr>
        <w:pStyle w:val="Compact"/>
        <w:numPr>
          <w:ilvl w:val="0"/>
          <w:numId w:val="1005"/>
        </w:numPr>
      </w:pPr>
      <w:r>
        <w:rPr>
          <w:b/>
          <w:bCs/>
        </w:rPr>
        <w:t xml:space="preserve">Cross-disciplinary insight:</w:t>
      </w:r>
      <w:r>
        <w:t xml:space="preserve"> </w:t>
      </w:r>
      <w:r>
        <w:t xml:space="preserve">Don’t hesitate to draw on Polynesian linguistics or comparative mythology. The Rapa Nui language (though changed over time) and other Polynesian languages might provide clues for expected structures or vocabulary. For example, if a certain glyph sequence is hypothesized to be a phrase, trying to pronounce it in a Polynesian way and seeing if it resembles Rapa Nui words for a known concept could be revealing (some researchers have even attempted treating the glyphs as a syllabary to test readings</w:t>
      </w:r>
      <w:hyperlink r:id="rId47">
        <w:r>
          <w:rPr>
            <w:rStyle w:val="Hyperlink"/>
          </w:rPr>
          <w:t xml:space="preserve">[26]</w:t>
        </w:r>
      </w:hyperlink>
      <w:r>
        <w:t xml:space="preserve">). We can attempt these once we have some confidence in assignments.</w:t>
      </w:r>
    </w:p>
    <w:p>
      <w:pPr>
        <w:pStyle w:val="FirstParagraph"/>
      </w:pPr>
      <w:r>
        <w:t xml:space="preserve">In summary,</w:t>
      </w:r>
      <w:r>
        <w:t xml:space="preserve"> </w:t>
      </w:r>
      <w:r>
        <w:rPr>
          <w:b/>
          <w:bCs/>
        </w:rPr>
        <w:t xml:space="preserve">yes, we should forge ahead with the multi-layer, cross-correlation strategy</w:t>
      </w:r>
      <w:r>
        <w:t xml:space="preserve">. Start with the rich data on the Santiago Staff, then confirm our findings on the Mamari tablet (using the lunar calendar as a calibration point), and subsequently apply our deciphering “key” to all remaining glyphs and tablets. By iteratively comparing glyph patterns against the tapestry of Rapa Nui chants, myths, genealogies, and astronomical knowledge, we maximize our chances of extracting meaning that eluded others. This is admittedly pioneering work – there’s no prior complete decipherment to guide us – but that’s exactly why a comprehensive, hypothesis-driven approach is warranted. Each new link we hypothesize between a glyph sequence and a piece of Rapa Nui lore can be tested against the rest of the corpus for validation. Little by little, these connections could snowball into a coherent decipherment. Even if some of our interpretations remain unproven, we will have significantly expanded the discussion and opened new pathways. This is how groundbreaking decipherments often start: with bold hypotheses, systematic cross-checking, and a willingness to see patterns where no one thought to look before. By following this plan, we stand to</w:t>
      </w:r>
      <w:r>
        <w:t xml:space="preserve"> </w:t>
      </w:r>
      <w:r>
        <w:rPr>
          <w:b/>
          <w:bCs/>
        </w:rPr>
        <w:t xml:space="preserve">uncover details that no one else has</w:t>
      </w:r>
      <w:r>
        <w:t xml:space="preserve"> </w:t>
      </w:r>
      <w:r>
        <w:t xml:space="preserve">and inch closer to finally understanding what these mysterious glyphs are telling us.</w:t>
      </w:r>
      <w:r>
        <w:t xml:space="preserve"> </w:t>
      </w:r>
      <w:hyperlink r:id="rId25">
        <w:r>
          <w:rPr>
            <w:rStyle w:val="Hyperlink"/>
          </w:rPr>
          <w:t xml:space="preserve">[6]</w:t>
        </w:r>
      </w:hyperlink>
      <w:hyperlink r:id="rId24">
        <w:r>
          <w:rPr>
            <w:rStyle w:val="Hyperlink"/>
          </w:rPr>
          <w:t xml:space="preserve">[5]</w:t>
        </w:r>
      </w:hyperlink>
    </w:p>
    <w:bookmarkEnd w:id="48"/>
    <w:bookmarkEnd w:id="49"/>
    <w:bookmarkEnd w:id="50"/>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3">
        <w:r>
          <w:rPr>
            <w:rStyle w:val="Hyperlink"/>
          </w:rPr>
          <w:t xml:space="preserve">[16]</w:t>
        </w:r>
      </w:hyperlink>
      <w:r>
        <w:t xml:space="preserve"> </w:t>
      </w:r>
      <w:hyperlink r:id="rId36">
        <w:r>
          <w:rPr>
            <w:rStyle w:val="Hyperlink"/>
          </w:rPr>
          <w:t xml:space="preserve">[17]</w:t>
        </w:r>
      </w:hyperlink>
      <w:r>
        <w:t xml:space="preserve"> </w:t>
      </w:r>
      <w:hyperlink r:id="rId39">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r>
        <w:t xml:space="preserve">Decipherment of rongorongo - Wikipedia</w:t>
      </w:r>
    </w:p>
    <w:p>
      <w:pPr>
        <w:pStyle w:val="BodyText"/>
      </w:pPr>
      <w:hyperlink r:id="rId51">
        <w:r>
          <w:rPr>
            <w:rStyle w:val="Hyperlink"/>
          </w:rPr>
          <w:t xml:space="preserve">https://en.wikipedia.org/wiki/Decipherment_of_rongorongo</w:t>
        </w:r>
      </w:hyperlink>
    </w:p>
    <w:p>
      <w:pPr>
        <w:pStyle w:val="BodyText"/>
      </w:pPr>
      <w:hyperlink r:id="rId25">
        <w:r>
          <w:rPr>
            <w:rStyle w:val="Hyperlink"/>
          </w:rPr>
          <w:t xml:space="preserve">[6]</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r>
        <w:t xml:space="preserve">Rongorongo text I | Cerámica Wiki | Fandom</w:t>
      </w:r>
    </w:p>
    <w:p>
      <w:pPr>
        <w:pStyle w:val="BodyText"/>
      </w:pPr>
      <w:hyperlink r:id="rId52">
        <w:r>
          <w:rPr>
            <w:rStyle w:val="Hyperlink"/>
          </w:rPr>
          <w:t xml:space="preserve">https://ceramica.fandom.com/wiki/Rongorongo_text_I</w:t>
        </w:r>
      </w:hyperlink>
    </w:p>
    <w:p>
      <w:pPr>
        <w:pStyle w:val="BodyText"/>
      </w:pPr>
      <w:hyperlink r:id="rId37">
        <w:r>
          <w:rPr>
            <w:rStyle w:val="Hyperlink"/>
          </w:rPr>
          <w:t xml:space="preserve">[18]</w:t>
        </w:r>
      </w:hyperlink>
      <w:r>
        <w:t xml:space="preserve"> </w:t>
      </w:r>
      <w:hyperlink r:id="rId38">
        <w:r>
          <w:rPr>
            <w:rStyle w:val="Hyperlink"/>
          </w:rPr>
          <w:t xml:space="preserve">[19]</w:t>
        </w:r>
      </w:hyperlink>
      <w:r>
        <w:t xml:space="preserve"> </w:t>
      </w:r>
      <w:r>
        <w:t xml:space="preserve">Rongorongo - Wikipedia</w:t>
      </w:r>
    </w:p>
    <w:p>
      <w:pPr>
        <w:pStyle w:val="BodyText"/>
      </w:pPr>
      <w:hyperlink r:id="rId53">
        <w:r>
          <w:rPr>
            <w:rStyle w:val="Hyperlink"/>
          </w:rPr>
          <w:t xml:space="preserve">https://en.wikipedia.org/wiki/Rongorongo</w:t>
        </w:r>
      </w:hyperlink>
    </w:p>
    <w:p>
      <w:pPr>
        <w:pStyle w:val="BodyText"/>
      </w:pPr>
      <w:hyperlink r:id="rId47">
        <w:r>
          <w:rPr>
            <w:rStyle w:val="Hyperlink"/>
          </w:rPr>
          <w:t xml:space="preserve">[26]</w:t>
        </w:r>
      </w:hyperlink>
      <w:r>
        <w:t xml:space="preserve"> </w:t>
      </w:r>
      <w:r>
        <w:t xml:space="preserve">Comparison between Rongorongo and the syllable sequence of ...</w:t>
      </w:r>
    </w:p>
    <w:p>
      <w:pPr>
        <w:pStyle w:val="BodyText"/>
      </w:pPr>
      <w:hyperlink r:id="rId54">
        <w:r>
          <w:rPr>
            <w:rStyle w:val="Hyperlink"/>
          </w:rPr>
          <w:t xml:space="preserve">http://www.cicling.org/2013/rcs/Comparison%20between%20Rongorongo%20and%20the%20syllable%20sequence%20of%20ancient%20chants%20from%20the%20Easter.html</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www.cicling.org/2013/rcs/Comparison%20between%20Rongorongo%20and%20the%20syllable%20sequence%20of%20ancient%20chants%20from%20the%20Easter.html" TargetMode="External" /><Relationship Type="http://schemas.openxmlformats.org/officeDocument/2006/relationships/hyperlink" Id="rId47" Target="http://www.cicling.org/2013/rcs/Comparison%20between%20Rongorongo%20and%20the%20syllable%20sequence%20of%20ancient%20chants%20from%20the%20Easter.html#:~:text=Comparison%20between%20Rongorongo%20and%20the,we%20syntactically%20compare%20Rongorongo" TargetMode="External" /><Relationship Type="http://schemas.openxmlformats.org/officeDocument/2006/relationships/hyperlink" Id="rId52" Target="https://ceramica.fandom.com/wiki/Rongorongo_text_I" TargetMode="External" /><Relationship Type="http://schemas.openxmlformats.org/officeDocument/2006/relationships/hyperlink" Id="rId25" Target="https://ceramica.fandom.com/wiki/Rongorongo_text_I#:~:text=Guy%20,of%20their%20heroes%20and%20victims" TargetMode="External" /><Relationship Type="http://schemas.openxmlformats.org/officeDocument/2006/relationships/hyperlink" Id="rId29" Target="https://ceramica.fandom.com/wiki/Rongorongo_text_I#:~:text=Main%20gallery%3A%20Rongorongo" TargetMode="External" /><Relationship Type="http://schemas.openxmlformats.org/officeDocument/2006/relationships/hyperlink" Id="rId30" Target="https://ceramica.fandom.com/wiki/Rongorongo_text_I#:~:text=phallus%20is%20a%20patronymic%20marker%2C,of%20their%20heroes%20and%20victims" TargetMode="External" /><Relationship Type="http://schemas.openxmlformats.org/officeDocument/2006/relationships/hyperlink" Id="rId28" Target="https://ceramica.fandom.com/wiki/Rongorongo_text_I#:~:text=the%20form%20of%20,564%20times%20on%20the%20staff" TargetMode="External" /><Relationship Type="http://schemas.openxmlformats.org/officeDocument/2006/relationships/hyperlink" Id="rId51" Target="https://en.wikipedia.org/wiki/Decipherment_of_rongorongo" TargetMode="External" /><Relationship Type="http://schemas.openxmlformats.org/officeDocument/2006/relationships/hyperlink" Id="rId26" Target="https://en.wikipedia.org/wiki/Decipherment_of_rongorongo#:~:text=200%20en,then%20this%20means%20something%20like" TargetMode="External" /><Relationship Type="http://schemas.openxmlformats.org/officeDocument/2006/relationships/hyperlink" Id="rId34" Target="https://en.wikipedia.org/wiki/Decipherment_of_rongorongo#:~:text=4%20%20kokore%202%20,hotu%2026%20%20mauri%20kero" TargetMode="External" /><Relationship Type="http://schemas.openxmlformats.org/officeDocument/2006/relationships/hyperlink" Id="rId35" Target="https://en.wikipedia.org/wiki/Decipherment_of_rongorongo#:~:text=Among%20the%20ethnographic%20data%20Thomson,citation" TargetMode="External" /><Relationship Type="http://schemas.openxmlformats.org/officeDocument/2006/relationships/hyperlink" Id="rId23" Target="https://en.wikipedia.org/wiki/Decipherment_of_rongorongo#:~:text=Fischer%20identified%20glyph%2076%20as,primary%20example%20was%20this%20one" TargetMode="External" /><Relationship Type="http://schemas.openxmlformats.org/officeDocument/2006/relationships/hyperlink" Id="rId22" Target="https://en.wikipedia.org/wiki/Decipherment_of_rongorongo#:~:text=Fischer%20notes%20that%20the%20long,citation%20needed%5D%5B%20note%2016" TargetMode="External" /><Relationship Type="http://schemas.openxmlformats.org/officeDocument/2006/relationships/hyperlink" Id="rId24" Target="https://en.wikipedia.org/wiki/Decipherment_of_rongorongo#:~:text=Fischer%20supported%20his%20interpretation%20by,glottal%20stops%20or%20long%20vowels" TargetMode="External" /><Relationship Type="http://schemas.openxmlformats.org/officeDocument/2006/relationships/hyperlink" Id="rId44" Target="https://en.wikipedia.org/wiki/Decipherment_of_rongorongo#:~:text=Fischer%27s%20primary%20example%20make%20up,all%20manner%20of%20unlikely%20combinations" TargetMode="External" /><Relationship Type="http://schemas.openxmlformats.org/officeDocument/2006/relationships/hyperlink" Id="rId32" Target="https://en.wikipedia.org/wiki/Decipherment_of_rongorongo#:~:text=German%20ethnologist%20Thomas%20Barthel%20%2C,only%20example%20of%20rongorongo%20whose" TargetMode="External" /><Relationship Type="http://schemas.openxmlformats.org/officeDocument/2006/relationships/hyperlink" Id="rId39" Target="https://en.wikipedia.org/wiki/Decipherment_of_rongorongo#:~:text=In%201957%20the%20Russian%20epigraphers,citation%20needed" TargetMode="External" /><Relationship Type="http://schemas.openxmlformats.org/officeDocument/2006/relationships/hyperlink" Id="rId33" Target="https://en.wikipedia.org/wiki/Decipherment_of_rongorongo#:~:text=In%20Guy%27s%20interpretation%2C%20the%20core,99" TargetMode="External" /><Relationship Type="http://schemas.openxmlformats.org/officeDocument/2006/relationships/hyperlink" Id="rId21" Target="https://en.wikipedia.org/wiki/Decipherment_of_rongorongo#:~:text=Since%20a%20proposal%20by%20Butinov,true%20writing%20system%2C%20the%20vast" TargetMode="External" /><Relationship Type="http://schemas.openxmlformats.org/officeDocument/2006/relationships/hyperlink" Id="rId27" Target="https://en.wikipedia.org/wiki/Decipherment_of_rongorongo#:~:text=and%20the%20sequence%20is%20a,lineage" TargetMode="External" /><Relationship Type="http://schemas.openxmlformats.org/officeDocument/2006/relationships/hyperlink" Id="rId42" Target="https://en.wikipedia.org/wiki/Decipherment_of_rongorongo#:~:text=attempts%20at%20actual%20decipherment%2C%20such,citation%20needed" TargetMode="External" /><Relationship Type="http://schemas.openxmlformats.org/officeDocument/2006/relationships/hyperlink" Id="rId36" Target="https://en.wikipedia.org/wiki/Decipherment_of_rongorongo#:~:text=known%20as%20Mamari%2C%20as%20a,99" TargetMode="External" /><Relationship Type="http://schemas.openxmlformats.org/officeDocument/2006/relationships/hyperlink" Id="rId41" Target="https://en.wikipedia.org/wiki/Decipherment_of_rongorongo#:~:text=majority%20have%20assumed%20it%20was,small%20elite%20were%20ever%20literate" TargetMode="External" /><Relationship Type="http://schemas.openxmlformats.org/officeDocument/2006/relationships/hyperlink" Id="rId46" Target="https://en.wikipedia.org/wiki/Decipherment_of_rongorongo#:~:text=match%20at%20L675%20about%20half,note%2017" TargetMode="External" /><Relationship Type="http://schemas.openxmlformats.org/officeDocument/2006/relationships/hyperlink" Id="rId45" Target="https://en.wikipedia.org/wiki/Decipherment_of_rongorongo#:~:text=which%20means%20,from%20his%20Rapanui%20transcription%20of" TargetMode="External" /><Relationship Type="http://schemas.openxmlformats.org/officeDocument/2006/relationships/hyperlink" Id="rId53" Target="https://en.wikipedia.org/wiki/Rongorongo" TargetMode="External" /><Relationship Type="http://schemas.openxmlformats.org/officeDocument/2006/relationships/hyperlink" Id="rId37" Target="https://en.wikipedia.org/wiki/Rongorongo#:~:text=,121%20found%20throughout%20the%20island" TargetMode="External" /><Relationship Type="http://schemas.openxmlformats.org/officeDocument/2006/relationships/hyperlink" Id="rId38" Target="https://en.wikipedia.org/wiki/Rongorongo#:~:text=in%20the%20next%20section%29,petroglyphs%20found%20throughout%20the%20island" TargetMode="External" /></Relationships>
</file>

<file path=word/_rels/footnotes.xml.rels><?xml version="1.0" encoding="UTF-8"?><Relationships xmlns="http://schemas.openxmlformats.org/package/2006/relationships"><Relationship Type="http://schemas.openxmlformats.org/officeDocument/2006/relationships/hyperlink" Id="rId54" Target="http://www.cicling.org/2013/rcs/Comparison%20between%20Rongorongo%20and%20the%20syllable%20sequence%20of%20ancient%20chants%20from%20the%20Easter.html" TargetMode="External" /><Relationship Type="http://schemas.openxmlformats.org/officeDocument/2006/relationships/hyperlink" Id="rId47" Target="http://www.cicling.org/2013/rcs/Comparison%20between%20Rongorongo%20and%20the%20syllable%20sequence%20of%20ancient%20chants%20from%20the%20Easter.html#:~:text=Comparison%20between%20Rongorongo%20and%20the,we%20syntactically%20compare%20Rongorongo" TargetMode="External" /><Relationship Type="http://schemas.openxmlformats.org/officeDocument/2006/relationships/hyperlink" Id="rId52" Target="https://ceramica.fandom.com/wiki/Rongorongo_text_I" TargetMode="External" /><Relationship Type="http://schemas.openxmlformats.org/officeDocument/2006/relationships/hyperlink" Id="rId25" Target="https://ceramica.fandom.com/wiki/Rongorongo_text_I#:~:text=Guy%20,of%20their%20heroes%20and%20victims" TargetMode="External" /><Relationship Type="http://schemas.openxmlformats.org/officeDocument/2006/relationships/hyperlink" Id="rId29" Target="https://ceramica.fandom.com/wiki/Rongorongo_text_I#:~:text=Main%20gallery%3A%20Rongorongo" TargetMode="External" /><Relationship Type="http://schemas.openxmlformats.org/officeDocument/2006/relationships/hyperlink" Id="rId30" Target="https://ceramica.fandom.com/wiki/Rongorongo_text_I#:~:text=phallus%20is%20a%20patronymic%20marker%2C,of%20their%20heroes%20and%20victims" TargetMode="External" /><Relationship Type="http://schemas.openxmlformats.org/officeDocument/2006/relationships/hyperlink" Id="rId28" Target="https://ceramica.fandom.com/wiki/Rongorongo_text_I#:~:text=the%20form%20of%20,564%20times%20on%20the%20staff" TargetMode="External" /><Relationship Type="http://schemas.openxmlformats.org/officeDocument/2006/relationships/hyperlink" Id="rId51" Target="https://en.wikipedia.org/wiki/Decipherment_of_rongorongo" TargetMode="External" /><Relationship Type="http://schemas.openxmlformats.org/officeDocument/2006/relationships/hyperlink" Id="rId26" Target="https://en.wikipedia.org/wiki/Decipherment_of_rongorongo#:~:text=200%20en,then%20this%20means%20something%20like" TargetMode="External" /><Relationship Type="http://schemas.openxmlformats.org/officeDocument/2006/relationships/hyperlink" Id="rId34" Target="https://en.wikipedia.org/wiki/Decipherment_of_rongorongo#:~:text=4%20%20kokore%202%20,hotu%2026%20%20mauri%20kero" TargetMode="External" /><Relationship Type="http://schemas.openxmlformats.org/officeDocument/2006/relationships/hyperlink" Id="rId35" Target="https://en.wikipedia.org/wiki/Decipherment_of_rongorongo#:~:text=Among%20the%20ethnographic%20data%20Thomson,citation" TargetMode="External" /><Relationship Type="http://schemas.openxmlformats.org/officeDocument/2006/relationships/hyperlink" Id="rId23" Target="https://en.wikipedia.org/wiki/Decipherment_of_rongorongo#:~:text=Fischer%20identified%20glyph%2076%20as,primary%20example%20was%20this%20one" TargetMode="External" /><Relationship Type="http://schemas.openxmlformats.org/officeDocument/2006/relationships/hyperlink" Id="rId22" Target="https://en.wikipedia.org/wiki/Decipherment_of_rongorongo#:~:text=Fischer%20notes%20that%20the%20long,citation%20needed%5D%5B%20note%2016" TargetMode="External" /><Relationship Type="http://schemas.openxmlformats.org/officeDocument/2006/relationships/hyperlink" Id="rId24" Target="https://en.wikipedia.org/wiki/Decipherment_of_rongorongo#:~:text=Fischer%20supported%20his%20interpretation%20by,glottal%20stops%20or%20long%20vowels" TargetMode="External" /><Relationship Type="http://schemas.openxmlformats.org/officeDocument/2006/relationships/hyperlink" Id="rId44" Target="https://en.wikipedia.org/wiki/Decipherment_of_rongorongo#:~:text=Fischer%27s%20primary%20example%20make%20up,all%20manner%20of%20unlikely%20combinations" TargetMode="External" /><Relationship Type="http://schemas.openxmlformats.org/officeDocument/2006/relationships/hyperlink" Id="rId32" Target="https://en.wikipedia.org/wiki/Decipherment_of_rongorongo#:~:text=German%20ethnologist%20Thomas%20Barthel%20%2C,only%20example%20of%20rongorongo%20whose" TargetMode="External" /><Relationship Type="http://schemas.openxmlformats.org/officeDocument/2006/relationships/hyperlink" Id="rId39" Target="https://en.wikipedia.org/wiki/Decipherment_of_rongorongo#:~:text=In%201957%20the%20Russian%20epigraphers,citation%20needed" TargetMode="External" /><Relationship Type="http://schemas.openxmlformats.org/officeDocument/2006/relationships/hyperlink" Id="rId33" Target="https://en.wikipedia.org/wiki/Decipherment_of_rongorongo#:~:text=In%20Guy%27s%20interpretation%2C%20the%20core,99" TargetMode="External" /><Relationship Type="http://schemas.openxmlformats.org/officeDocument/2006/relationships/hyperlink" Id="rId21" Target="https://en.wikipedia.org/wiki/Decipherment_of_rongorongo#:~:text=Since%20a%20proposal%20by%20Butinov,true%20writing%20system%2C%20the%20vast" TargetMode="External" /><Relationship Type="http://schemas.openxmlformats.org/officeDocument/2006/relationships/hyperlink" Id="rId27" Target="https://en.wikipedia.org/wiki/Decipherment_of_rongorongo#:~:text=and%20the%20sequence%20is%20a,lineage" TargetMode="External" /><Relationship Type="http://schemas.openxmlformats.org/officeDocument/2006/relationships/hyperlink" Id="rId42" Target="https://en.wikipedia.org/wiki/Decipherment_of_rongorongo#:~:text=attempts%20at%20actual%20decipherment%2C%20such,citation%20needed" TargetMode="External" /><Relationship Type="http://schemas.openxmlformats.org/officeDocument/2006/relationships/hyperlink" Id="rId36" Target="https://en.wikipedia.org/wiki/Decipherment_of_rongorongo#:~:text=known%20as%20Mamari%2C%20as%20a,99" TargetMode="External" /><Relationship Type="http://schemas.openxmlformats.org/officeDocument/2006/relationships/hyperlink" Id="rId41" Target="https://en.wikipedia.org/wiki/Decipherment_of_rongorongo#:~:text=majority%20have%20assumed%20it%20was,small%20elite%20were%20ever%20literate" TargetMode="External" /><Relationship Type="http://schemas.openxmlformats.org/officeDocument/2006/relationships/hyperlink" Id="rId46" Target="https://en.wikipedia.org/wiki/Decipherment_of_rongorongo#:~:text=match%20at%20L675%20about%20half,note%2017" TargetMode="External" /><Relationship Type="http://schemas.openxmlformats.org/officeDocument/2006/relationships/hyperlink" Id="rId45" Target="https://en.wikipedia.org/wiki/Decipherment_of_rongorongo#:~:text=which%20means%20,from%20his%20Rapanui%20transcription%20of" TargetMode="External" /><Relationship Type="http://schemas.openxmlformats.org/officeDocument/2006/relationships/hyperlink" Id="rId53" Target="https://en.wikipedia.org/wiki/Rongorongo" TargetMode="External" /><Relationship Type="http://schemas.openxmlformats.org/officeDocument/2006/relationships/hyperlink" Id="rId37" Target="https://en.wikipedia.org/wiki/Rongorongo#:~:text=,121%20found%20throughout%20the%20island" TargetMode="External" /><Relationship Type="http://schemas.openxmlformats.org/officeDocument/2006/relationships/hyperlink" Id="rId38" Target="https://en.wikipedia.org/wiki/Rongorongo#:~:text=in%20the%20next%20section%29,petroglyphs%20found%20throughout%20the%20isl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2025-12-20T21:59:05Z</dcterms:created>
  <dcterms:modified xsi:type="dcterms:W3CDTF">2025-12-20T21:59:05Z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