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5" w:name="content"/>
    <w:bookmarkStart w:id="74" w:name="X0ff85a127f8ba3818a3afafb732e4d4b5a82eb4"/>
    <w:p>
      <w:pPr>
        <w:pStyle w:val="Heading1"/>
      </w:pPr>
      <w:r>
        <w:t xml:space="preserve">Phase 11: Emergent Grammar and Translation Protocol of Rongorongo</w:t>
      </w:r>
    </w:p>
    <w:bookmarkStart w:id="21" w:name="introduction"/>
    <w:p>
      <w:pPr>
        <w:pStyle w:val="Heading2"/>
      </w:pPr>
      <w:r>
        <w:t xml:space="preserve">Introduction</w:t>
      </w:r>
    </w:p>
    <w:p>
      <w:pPr>
        <w:pStyle w:val="FirstParagraph"/>
      </w:pPr>
      <w:r>
        <w:t xml:space="preserve">Phase 11 of the Universal Decipherment Methodology (v20.0) for Rongorongo focuses on uncovering</w:t>
      </w:r>
      <w:r>
        <w:t xml:space="preserve"> </w:t>
      </w:r>
      <w:r>
        <w:rPr>
          <w:b/>
          <w:bCs/>
        </w:rPr>
        <w:t xml:space="preserve">emergent grammar</w:t>
      </w:r>
      <w:r>
        <w:t xml:space="preserve"> </w:t>
      </w:r>
      <w:r>
        <w:t xml:space="preserve">and developing a robust</w:t>
      </w:r>
      <w:r>
        <w:t xml:space="preserve"> </w:t>
      </w:r>
      <w:r>
        <w:rPr>
          <w:b/>
          <w:bCs/>
        </w:rPr>
        <w:t xml:space="preserve">translation protocol</w:t>
      </w:r>
      <w:r>
        <w:t xml:space="preserve">. In previous phases, a comprehensive glyph lexicon was built, associating hundreds of Rongorongo glyphs with probable meanings and phonetic values. Now, we leverage that lexicon (especially the latest Master Lexicon) to identify how glyphs combine into meaningful clauses and sentences. This phase emphasizes</w:t>
      </w:r>
      <w:r>
        <w:t xml:space="preserve"> </w:t>
      </w:r>
      <w:r>
        <w:rPr>
          <w:i/>
          <w:iCs/>
        </w:rPr>
        <w:t xml:space="preserve">natural pattern emergence</w:t>
      </w:r>
      <w:r>
        <w:t xml:space="preserve"> </w:t>
      </w:r>
      <w:r>
        <w:t xml:space="preserve">– letting grammatical structures reveal themselves through consistent patterns across tablets, rather than imposing preconceived rules. Key goals include: identifying common clause templates (for genealogies, cosmology, calendars, voyages), analyzing functional glyphs that serve grammatical roles, establishing protocols for recognizing personal and place names, disambiguating polysemous glyphs by context, and formulating a multi-layer translation approach with confidence marking. The outcome is a translation framework that is</w:t>
      </w:r>
      <w:r>
        <w:t xml:space="preserve"> </w:t>
      </w:r>
      <w:r>
        <w:rPr>
          <w:b/>
          <w:bCs/>
        </w:rPr>
        <w:t xml:space="preserve">multi-pronged</w:t>
      </w:r>
      <w:r>
        <w:t xml:space="preserve"> </w:t>
      </w:r>
      <w:r>
        <w:t xml:space="preserve">– informed by linguistic comparison (Old Rapa Nui and related Polynesian languages), structural analysis of glyph sequences, cultural context (Polynesian oral traditions), and statistical corroboration (frequency and clustering patterns)[^1]. All findings in this phase are drawn from the Operator’s August 2025 research compilation, which synthesized prior phases and integrated new insights from pattern analysis. Where interpretations are tentative or speculative, we explicitly note this, ensuring that the translation protocol remains evidence-driven and self-consistent. Below, we present the results in structured sections, each tackling one of the Phase 11 objectives, complete with examples from key tablets (Mamari, Santiago Staff, Aruku Kurenga, etc.) to illustrate the system in action.</w:t>
      </w:r>
    </w:p>
    <w:p>
      <w:pPr>
        <w:pStyle w:val="BodyText"/>
      </w:pPr>
      <w:r>
        <w:t xml:space="preserve">[^1]: Lackadaisical Security (The Operator) – August Research.</w:t>
      </w:r>
    </w:p>
    <w:bookmarkEnd w:id="21"/>
    <w:bookmarkStart w:id="38" w:name="clause-templates-across-tablets"/>
    <w:p>
      <w:pPr>
        <w:pStyle w:val="Heading2"/>
      </w:pPr>
      <w:r>
        <w:t xml:space="preserve">Clause Templates Across Tablets</w:t>
      </w:r>
    </w:p>
    <w:p>
      <w:pPr>
        <w:pStyle w:val="FirstParagraph"/>
      </w:pPr>
      <w:r>
        <w:t xml:space="preserve">One of the first emergent grammatical features identified is the use of</w:t>
      </w:r>
      <w:r>
        <w:t xml:space="preserve"> </w:t>
      </w:r>
      <w:r>
        <w:rPr>
          <w:b/>
          <w:bCs/>
        </w:rPr>
        <w:t xml:space="preserve">repeating clause structures</w:t>
      </w:r>
      <w:r>
        <w:t xml:space="preserve"> </w:t>
      </w:r>
      <w:r>
        <w:t xml:space="preserve">for different content domains. Despite the pictographic nature of Rongorongo, the texts show structured patterns analogous to sentences or verses. We have catalogued several clause templates that recur across tablets, notably in</w:t>
      </w:r>
      <w:r>
        <w:t xml:space="preserve"> </w:t>
      </w:r>
      <w:r>
        <w:rPr>
          <w:b/>
          <w:bCs/>
        </w:rPr>
        <w:t xml:space="preserve">genealogical lists</w:t>
      </w:r>
      <w:r>
        <w:t xml:space="preserve">,</w:t>
      </w:r>
      <w:r>
        <w:t xml:space="preserve"> </w:t>
      </w:r>
      <w:r>
        <w:rPr>
          <w:b/>
          <w:bCs/>
        </w:rPr>
        <w:t xml:space="preserve">cosmological or mythic narratives</w:t>
      </w:r>
      <w:r>
        <w:t xml:space="preserve">,</w:t>
      </w:r>
      <w:r>
        <w:t xml:space="preserve"> </w:t>
      </w:r>
      <w:r>
        <w:rPr>
          <w:b/>
          <w:bCs/>
        </w:rPr>
        <w:t xml:space="preserve">calendrical sequences</w:t>
      </w:r>
      <w:r>
        <w:t xml:space="preserve">, and</w:t>
      </w:r>
      <w:r>
        <w:t xml:space="preserve"> </w:t>
      </w:r>
      <w:r>
        <w:rPr>
          <w:b/>
          <w:bCs/>
        </w:rPr>
        <w:t xml:space="preserve">voyage accounts</w:t>
      </w:r>
      <w:r>
        <w:t xml:space="preserve">. Each template is characterized by a sequence of glyph types fulfilling roles like subject, predicate, object, or separators. Below we codify the major clause templates, with examples:</w:t>
      </w:r>
    </w:p>
    <w:p>
      <w:pPr>
        <w:numPr>
          <w:ilvl w:val="0"/>
          <w:numId w:val="1001"/>
        </w:numPr>
      </w:pPr>
      <w:r>
        <w:rPr>
          <w:b/>
          <w:bCs/>
        </w:rPr>
        <w:t xml:space="preserve">Genealogical Clauses:</w:t>
      </w:r>
      <w:r>
        <w:t xml:space="preserve"> </w:t>
      </w:r>
      <w:r>
        <w:t xml:space="preserve">Genealogical texts (e.g. portions of the Santiago Staff and Aruku Kurenga) are composed of chains of names connected by a specific relational glyph. The key pattern is an</w:t>
      </w:r>
      <w:r>
        <w:t xml:space="preserve"> </w:t>
      </w:r>
      <w:r>
        <w:rPr>
          <w:b/>
          <w:bCs/>
        </w:rPr>
        <w:t xml:space="preserve">ancestor name</w:t>
      </w:r>
      <w:r>
        <w:t xml:space="preserve"> </w:t>
      </w:r>
      <w:r>
        <w:t xml:space="preserve">followed by a</w:t>
      </w:r>
      <w:r>
        <w:t xml:space="preserve"> </w:t>
      </w:r>
      <w:r>
        <w:rPr>
          <w:b/>
          <w:bCs/>
        </w:rPr>
        <w:t xml:space="preserve">procreative link</w:t>
      </w:r>
      <w:r>
        <w:t xml:space="preserve"> </w:t>
      </w:r>
      <w:r>
        <w:t xml:space="preserve">and then a</w:t>
      </w:r>
      <w:r>
        <w:t xml:space="preserve"> </w:t>
      </w:r>
      <w:r>
        <w:rPr>
          <w:b/>
          <w:bCs/>
        </w:rPr>
        <w:t xml:space="preserve">descendant name</w:t>
      </w:r>
      <w:r>
        <w:t xml:space="preserve">. The</w:t>
      </w:r>
      <w:r>
        <w:t xml:space="preserve"> </w:t>
      </w:r>
      <w:r>
        <w:rPr>
          <w:i/>
          <w:iCs/>
        </w:rPr>
        <w:t xml:space="preserve">procreative link</w:t>
      </w:r>
      <w:r>
        <w:t xml:space="preserve"> </w:t>
      </w:r>
      <w:r>
        <w:t xml:space="preserve">is signified by a</w:t>
      </w:r>
      <w:r>
        <w:t xml:space="preserve"> </w:t>
      </w:r>
      <w:r>
        <w:rPr>
          <w:b/>
          <w:bCs/>
        </w:rPr>
        <w:t xml:space="preserve">phallic-shaped glyph</w:t>
      </w:r>
      <w:r>
        <w:t xml:space="preserve"> </w:t>
      </w:r>
      <w:r>
        <w:t xml:space="preserve">(Barthel #76) identified with meanings</w:t>
      </w:r>
      <w:r>
        <w:t xml:space="preserve"> </w:t>
      </w:r>
      <w:r>
        <w:rPr>
          <w:i/>
          <w:iCs/>
        </w:rPr>
        <w:t xml:space="preserve">“to beget”</w:t>
      </w:r>
      <w:r>
        <w:t xml:space="preserve"> </w:t>
      </w:r>
      <w:r>
        <w:t xml:space="preserve">or</w:t>
      </w:r>
      <w:r>
        <w:t xml:space="preserve"> </w:t>
      </w:r>
      <w:r>
        <w:rPr>
          <w:i/>
          <w:iCs/>
        </w:rPr>
        <w:t xml:space="preserve">“son of”</w:t>
      </w:r>
      <w:hyperlink r:id="rId22">
        <w:r>
          <w:rPr>
            <w:rStyle w:val="Hyperlink"/>
          </w:rPr>
          <w:t xml:space="preserve">[1]</w:t>
        </w:r>
      </w:hyperlink>
      <w:hyperlink r:id="rId23">
        <w:r>
          <w:rPr>
            <w:rStyle w:val="Hyperlink"/>
          </w:rPr>
          <w:t xml:space="preserve">[2]</w:t>
        </w:r>
      </w:hyperlink>
      <w:r>
        <w:t xml:space="preserve">. In many lineage sequences, this glyph appears between personal name glyph clusters to indicate descent. Frequently, it is immediately followed by a small human figure glyph that explicitly marks the</w:t>
      </w:r>
      <w:r>
        <w:t xml:space="preserve"> </w:t>
      </w:r>
      <w:r>
        <w:rPr>
          <w:b/>
          <w:bCs/>
        </w:rPr>
        <w:t xml:space="preserve">child/offspring</w:t>
      </w:r>
      <w:r>
        <w:t xml:space="preserve"> </w:t>
      </w:r>
      <w:r>
        <w:t xml:space="preserve">concept</w:t>
      </w:r>
      <w:hyperlink r:id="rId24">
        <w:r>
          <w:rPr>
            <w:rStyle w:val="Hyperlink"/>
          </w:rPr>
          <w:t xml:space="preserve">[3]</w:t>
        </w:r>
      </w:hyperlink>
      <w:hyperlink r:id="rId25">
        <w:r>
          <w:rPr>
            <w:rStyle w:val="Hyperlink"/>
          </w:rPr>
          <w:t xml:space="preserve">[4]</w:t>
        </w:r>
      </w:hyperlink>
      <w:r>
        <w:t xml:space="preserve">. A typical genealogical clause thus reads:</w:t>
      </w:r>
      <w:r>
        <w:t xml:space="preserve"> </w:t>
      </w:r>
      <w:r>
        <w:rPr>
          <w:b/>
          <w:bCs/>
        </w:rPr>
        <w:t xml:space="preserve">Name_A + “begat” (glyph 76) + “child” marker + Name_B</w:t>
      </w:r>
      <w:r>
        <w:t xml:space="preserve">, and this whole clause may repeat in a chain (A begat B, B begat C, etc.). For example, on the Santiago Staff a sequence shows an elite ancestor glyph (with a title, see below) followed by the phallic</w:t>
      </w:r>
      <w:r>
        <w:t xml:space="preserve"> </w:t>
      </w:r>
      <w:r>
        <w:rPr>
          <w:i/>
          <w:iCs/>
        </w:rPr>
        <w:t xml:space="preserve">“begat”</w:t>
      </w:r>
      <w:r>
        <w:t xml:space="preserve"> </w:t>
      </w:r>
      <w:r>
        <w:t xml:space="preserve">glyph and then a juvenile figure glyph indicating the offspring, before the next person’s name</w:t>
      </w:r>
      <w:hyperlink r:id="rId25">
        <w:r>
          <w:rPr>
            <w:rStyle w:val="Hyperlink"/>
          </w:rPr>
          <w:t xml:space="preserve">[4]</w:t>
        </w:r>
      </w:hyperlink>
      <w:r>
        <w:t xml:space="preserve">. This structure is analogous to saying “Parent</w:t>
      </w:r>
      <w:r>
        <w:t xml:space="preserve"> </w:t>
      </w:r>
      <w:r>
        <w:rPr>
          <w:i/>
          <w:iCs/>
        </w:rPr>
        <w:t xml:space="preserve">X</w:t>
      </w:r>
      <w:r>
        <w:t xml:space="preserve"> </w:t>
      </w:r>
      <w:r>
        <w:t xml:space="preserve">begat (child)</w:t>
      </w:r>
      <w:r>
        <w:t xml:space="preserve"> </w:t>
      </w:r>
      <w:r>
        <w:rPr>
          <w:i/>
          <w:iCs/>
        </w:rPr>
        <w:t xml:space="preserve">Y</w:t>
      </w:r>
      <w:r>
        <w:t xml:space="preserve">” for each generation. Such clauses are often separated by a punctuation glyph (see</w:t>
      </w:r>
      <w:r>
        <w:t xml:space="preserve"> </w:t>
      </w:r>
      <w:r>
        <w:rPr>
          <w:b/>
          <w:bCs/>
        </w:rPr>
        <w:t xml:space="preserve">Functional Glyphs</w:t>
      </w:r>
      <w:r>
        <w:t xml:space="preserve"> </w:t>
      </w:r>
      <w:r>
        <w:t xml:space="preserve">section) or simply concatenated if the lineage is continuous. The consistency of the #76 glyph in these contexts – appearing dozens of times to link names – confirms its grammatical role as a</w:t>
      </w:r>
      <w:r>
        <w:t xml:space="preserve"> </w:t>
      </w:r>
      <w:r>
        <w:rPr>
          <w:b/>
          <w:bCs/>
        </w:rPr>
        <w:t xml:space="preserve">genealogical connector</w:t>
      </w:r>
      <w:r>
        <w:t xml:space="preserve"> </w:t>
      </w:r>
      <w:r>
        <w:t xml:space="preserve">(equivalent to</w:t>
      </w:r>
      <w:r>
        <w:t xml:space="preserve"> </w:t>
      </w:r>
      <w:r>
        <w:rPr>
          <w:i/>
          <w:iCs/>
        </w:rPr>
        <w:t xml:space="preserve">“son of”</w:t>
      </w:r>
      <w:r>
        <w:t xml:space="preserve"> </w:t>
      </w:r>
      <w:r>
        <w:t xml:space="preserve">or</w:t>
      </w:r>
      <w:r>
        <w:t xml:space="preserve"> </w:t>
      </w:r>
      <w:r>
        <w:rPr>
          <w:i/>
          <w:iCs/>
        </w:rPr>
        <w:t xml:space="preserve">“begat”</w:t>
      </w:r>
      <w:r>
        <w:t xml:space="preserve">) and underscores that Rongorongo recorded genealogies in a formulaic manner rather than as free prose</w:t>
      </w:r>
      <w:hyperlink r:id="rId23">
        <w:r>
          <w:rPr>
            <w:rStyle w:val="Hyperlink"/>
          </w:rPr>
          <w:t xml:space="preserve">[2]</w:t>
        </w:r>
      </w:hyperlink>
      <w:r>
        <w:t xml:space="preserve">.</w:t>
      </w:r>
    </w:p>
    <w:p>
      <w:pPr>
        <w:numPr>
          <w:ilvl w:val="0"/>
          <w:numId w:val="1001"/>
        </w:numPr>
      </w:pPr>
      <w:r>
        <w:rPr>
          <w:b/>
          <w:bCs/>
        </w:rPr>
        <w:t xml:space="preserve">Cosmological/Mythological Clauses:</w:t>
      </w:r>
      <w:r>
        <w:t xml:space="preserve"> </w:t>
      </w:r>
      <w:r>
        <w:t xml:space="preserve">Tablets like the Santiago Staff also contain sequences that appear to describe cosmological events or creation myths. These clauses often mirror the genealogical pattern, but with</w:t>
      </w:r>
      <w:r>
        <w:t xml:space="preserve"> </w:t>
      </w:r>
      <w:r>
        <w:rPr>
          <w:b/>
          <w:bCs/>
        </w:rPr>
        <w:t xml:space="preserve">deities or personified concepts</w:t>
      </w:r>
      <w:r>
        <w:t xml:space="preserve"> </w:t>
      </w:r>
      <w:r>
        <w:t xml:space="preserve">as the actors. For instance, the same “beget/procreate” glyph (phallic form #76) is used to link mythological figures in a</w:t>
      </w:r>
      <w:r>
        <w:t xml:space="preserve"> </w:t>
      </w:r>
      <w:r>
        <w:rPr>
          <w:i/>
          <w:iCs/>
        </w:rPr>
        <w:t xml:space="preserve">cosmogonic</w:t>
      </w:r>
      <w:r>
        <w:t xml:space="preserve"> </w:t>
      </w:r>
      <w:r>
        <w:t xml:space="preserve">context, effectively meaning</w:t>
      </w:r>
      <w:r>
        <w:t xml:space="preserve"> </w:t>
      </w:r>
      <w:r>
        <w:rPr>
          <w:i/>
          <w:iCs/>
        </w:rPr>
        <w:t xml:space="preserve">“procreated”</w:t>
      </w:r>
      <w:r>
        <w:t xml:space="preserve"> </w:t>
      </w:r>
      <w:r>
        <w:t xml:space="preserve">or</w:t>
      </w:r>
      <w:r>
        <w:t xml:space="preserve"> </w:t>
      </w:r>
      <w:r>
        <w:rPr>
          <w:i/>
          <w:iCs/>
        </w:rPr>
        <w:t xml:space="preserve">“gave rise to”</w:t>
      </w:r>
      <w:r>
        <w:t xml:space="preserve"> </w:t>
      </w:r>
      <w:r>
        <w:t xml:space="preserve">when gods and primordial beings are involved. A hypothetical example from the Staff:</w:t>
      </w:r>
      <w:r>
        <w:t xml:space="preserve"> </w:t>
      </w:r>
      <w:r>
        <w:rPr>
          <w:i/>
          <w:iCs/>
        </w:rPr>
        <w:t xml:space="preserve">Sky-God + (glyph 76) + Earth-Goddess + (child marker) + Offspring</w:t>
      </w:r>
      <w:r>
        <w:t xml:space="preserve">. Such a sequence would translate to a creation event (e.g.</w:t>
      </w:r>
      <w:r>
        <w:t xml:space="preserve"> </w:t>
      </w:r>
      <w:r>
        <w:rPr>
          <w:i/>
          <w:iCs/>
        </w:rPr>
        <w:t xml:space="preserve">“Sky copulated with Earth and begat their child”</w:t>
      </w:r>
      <w:r>
        <w:t xml:space="preserve">), resembling Polynesian creation legends in structure. Indeed, our analysis suggests that the</w:t>
      </w:r>
      <w:r>
        <w:t xml:space="preserve"> </w:t>
      </w:r>
      <w:r>
        <w:rPr>
          <w:b/>
          <w:bCs/>
        </w:rPr>
        <w:t xml:space="preserve">same glyphic grammar was repurposed for myth</w:t>
      </w:r>
      <w:r>
        <w:t xml:space="preserve">: the act of creation by gods is written with the</w:t>
      </w:r>
      <w:r>
        <w:t xml:space="preserve"> </w:t>
      </w:r>
      <w:r>
        <w:rPr>
          <w:i/>
          <w:iCs/>
        </w:rPr>
        <w:t xml:space="preserve">genealogical “begat” connector</w:t>
      </w:r>
      <w:r>
        <w:t xml:space="preserve">, implying that in the Rongorongo writers’ eyes, divine procreation and human procreation were linguistically analogous. Aside from the connector glyph, cosmological clauses can include special glyphs denoting elemental or divine entities. For example, a</w:t>
      </w:r>
      <w:r>
        <w:t xml:space="preserve"> </w:t>
      </w:r>
      <w:r>
        <w:rPr>
          <w:b/>
          <w:bCs/>
        </w:rPr>
        <w:t xml:space="preserve">sky or heavens glyph</w:t>
      </w:r>
      <w:r>
        <w:t xml:space="preserve"> </w:t>
      </w:r>
      <w:r>
        <w:t xml:space="preserve">and an</w:t>
      </w:r>
      <w:r>
        <w:t xml:space="preserve"> </w:t>
      </w:r>
      <w:r>
        <w:rPr>
          <w:b/>
          <w:bCs/>
        </w:rPr>
        <w:t xml:space="preserve">earth glyph</w:t>
      </w:r>
      <w:r>
        <w:t xml:space="preserve"> </w:t>
      </w:r>
      <w:r>
        <w:t xml:space="preserve">have been identified (glyph #32 “beginning” often precedes origin stories, and glyph #31</w:t>
      </w:r>
      <w:r>
        <w:t xml:space="preserve"> </w:t>
      </w:r>
      <w:r>
        <w:rPr>
          <w:i/>
          <w:iCs/>
        </w:rPr>
        <w:t xml:space="preserve">henua</w:t>
      </w:r>
      <w:r>
        <w:t xml:space="preserve"> </w:t>
      </w:r>
      <w:r>
        <w:t xml:space="preserve">meaning “earth/land”) and may frame creation accounts</w:t>
      </w:r>
      <w:hyperlink r:id="rId26">
        <w:r>
          <w:rPr>
            <w:rStyle w:val="Hyperlink"/>
          </w:rPr>
          <w:t xml:space="preserve">[5]</w:t>
        </w:r>
      </w:hyperlink>
      <w:hyperlink r:id="rId27">
        <w:r>
          <w:rPr>
            <w:rStyle w:val="Hyperlink"/>
          </w:rPr>
          <w:t xml:space="preserve">[6]</w:t>
        </w:r>
      </w:hyperlink>
      <w:r>
        <w:t xml:space="preserve">. Another recurring element is a</w:t>
      </w:r>
      <w:r>
        <w:t xml:space="preserve"> </w:t>
      </w:r>
      <w:r>
        <w:rPr>
          <w:b/>
          <w:bCs/>
        </w:rPr>
        <w:t xml:space="preserve">female nurture/fertility glyph</w:t>
      </w:r>
      <w:r>
        <w:t xml:space="preserve"> </w:t>
      </w:r>
      <w:r>
        <w:t xml:space="preserve">(shaped like a breast, Barthel #80) which appears alongside birth or creation scenes, likely marking the feminine principle (motherhood, nurturing, or the goddess aspect). In summary, cosmological clauses use many of the same structural markers as genealogies – such as</w:t>
      </w:r>
      <w:r>
        <w:t xml:space="preserve"> </w:t>
      </w:r>
      <w:r>
        <w:rPr>
          <w:i/>
          <w:iCs/>
        </w:rPr>
        <w:t xml:space="preserve">begat</w:t>
      </w:r>
      <w:r>
        <w:t xml:space="preserve"> </w:t>
      </w:r>
      <w:r>
        <w:t xml:space="preserve">and</w:t>
      </w:r>
      <w:r>
        <w:t xml:space="preserve"> </w:t>
      </w:r>
      <w:r>
        <w:rPr>
          <w:i/>
          <w:iCs/>
        </w:rPr>
        <w:t xml:space="preserve">child</w:t>
      </w:r>
      <w:r>
        <w:t xml:space="preserve"> </w:t>
      </w:r>
      <w:r>
        <w:t xml:space="preserve">indicators – but applied to primordial beings. This results in a narrative style of “X begat Y” extended to mythic genealogies (e.g. the lineage of gods or the origin of celestial bodies).</w:t>
      </w:r>
      <w:r>
        <w:t xml:space="preserve"> </w:t>
      </w:r>
      <w:r>
        <w:rPr>
          <w:i/>
          <w:iCs/>
        </w:rPr>
        <w:t xml:space="preserve">(Note: These interpretations align with Rapa Nui oral lore where creation is described in genealogical terms; however, they remain partly speculative until more textual corroboration is found. All such readings are based on pattern consistency, not external imposition.)</w:t>
      </w:r>
    </w:p>
    <w:p>
      <w:pPr>
        <w:numPr>
          <w:ilvl w:val="0"/>
          <w:numId w:val="1001"/>
        </w:numPr>
      </w:pPr>
      <w:r>
        <w:rPr>
          <w:b/>
          <w:bCs/>
        </w:rPr>
        <w:t xml:space="preserve">Calendrical Clauses (Lunar Calendar):</w:t>
      </w:r>
      <w:r>
        <w:t xml:space="preserve"> </w:t>
      </w:r>
      <w:r>
        <w:t xml:space="preserve">The Mamari tablet famously contains a</w:t>
      </w:r>
      <w:r>
        <w:t xml:space="preserve"> </w:t>
      </w:r>
      <w:r>
        <w:rPr>
          <w:b/>
          <w:bCs/>
        </w:rPr>
        <w:t xml:space="preserve">lunar calendar</w:t>
      </w:r>
      <w:r>
        <w:t xml:space="preserve"> </w:t>
      </w:r>
      <w:r>
        <w:t xml:space="preserve">segment, and our analysis confirms it is organized as a series of repetitive clauses, each representing one night of the lunar month. Unlike narrative sentences, these clauses are more list-like, functioning as enumerative statements of each night’s name and attributes. The template here is typically a</w:t>
      </w:r>
      <w:r>
        <w:t xml:space="preserve"> </w:t>
      </w:r>
      <w:r>
        <w:rPr>
          <w:b/>
          <w:bCs/>
        </w:rPr>
        <w:t xml:space="preserve">named night marker</w:t>
      </w:r>
      <w:r>
        <w:t xml:space="preserve"> </w:t>
      </w:r>
      <w:r>
        <w:t xml:space="preserve">(often a single glyph or a compound glyph) possibly followed by a descriptive qualifier, and then a</w:t>
      </w:r>
      <w:r>
        <w:t xml:space="preserve"> </w:t>
      </w:r>
      <w:r>
        <w:rPr>
          <w:b/>
          <w:bCs/>
        </w:rPr>
        <w:t xml:space="preserve">delimiter</w:t>
      </w:r>
      <w:r>
        <w:t xml:space="preserve"> </w:t>
      </w:r>
      <w:r>
        <w:t xml:space="preserve">marking the end of that night’s entry. Many entries consist of just one primary glyph (the name of the night) plus the delimiter, but some compound night names use two glyphs. For example, the</w:t>
      </w:r>
      <w:r>
        <w:t xml:space="preserve"> </w:t>
      </w:r>
      <w:r>
        <w:rPr>
          <w:b/>
          <w:bCs/>
        </w:rPr>
        <w:t xml:space="preserve">first night of the lunar month</w:t>
      </w:r>
      <w:r>
        <w:t xml:space="preserve"> </w:t>
      </w:r>
      <w:r>
        <w:t xml:space="preserve">is indicated by a lizard glyph called</w:t>
      </w:r>
      <w:r>
        <w:t xml:space="preserve"> </w:t>
      </w:r>
      <w:r>
        <w:rPr>
          <w:i/>
          <w:iCs/>
        </w:rPr>
        <w:t xml:space="preserve">“Moko”</w:t>
      </w:r>
      <w:r>
        <w:t xml:space="preserve">, which in Rapa Nui symbolizes both a</w:t>
      </w:r>
      <w:r>
        <w:t xml:space="preserve"> </w:t>
      </w:r>
      <w:r>
        <w:rPr>
          <w:b/>
          <w:bCs/>
        </w:rPr>
        <w:t xml:space="preserve">lizard</w:t>
      </w:r>
      <w:r>
        <w:t xml:space="preserve"> </w:t>
      </w:r>
      <w:r>
        <w:t xml:space="preserve">and, by metaphor, the</w:t>
      </w:r>
      <w:r>
        <w:t xml:space="preserve"> </w:t>
      </w:r>
      <w:r>
        <w:rPr>
          <w:i/>
          <w:iCs/>
        </w:rPr>
        <w:t xml:space="preserve">new moon</w:t>
      </w:r>
      <w:r>
        <w:t xml:space="preserve"> </w:t>
      </w:r>
      <w:r>
        <w:t xml:space="preserve">(renewal)</w:t>
      </w:r>
      <w:hyperlink r:id="rId28">
        <w:r>
          <w:rPr>
            <w:rStyle w:val="Hyperlink"/>
          </w:rPr>
          <w:t xml:space="preserve">[7]</w:t>
        </w:r>
      </w:hyperlink>
      <w:r>
        <w:t xml:space="preserve">. The</w:t>
      </w:r>
      <w:r>
        <w:t xml:space="preserve"> </w:t>
      </w:r>
      <w:r>
        <w:rPr>
          <w:b/>
          <w:bCs/>
        </w:rPr>
        <w:t xml:space="preserve">first quarter moon night</w:t>
      </w:r>
      <w:r>
        <w:t xml:space="preserve"> </w:t>
      </w:r>
      <w:r>
        <w:t xml:space="preserve">is represented by a</w:t>
      </w:r>
      <w:r>
        <w:t xml:space="preserve"> </w:t>
      </w:r>
      <w:r>
        <w:rPr>
          <w:b/>
          <w:bCs/>
        </w:rPr>
        <w:t xml:space="preserve">fruit glyph</w:t>
      </w:r>
      <w:r>
        <w:t xml:space="preserve"> </w:t>
      </w:r>
      <w:r>
        <w:t xml:space="preserve">labeled</w:t>
      </w:r>
      <w:r>
        <w:t xml:space="preserve"> </w:t>
      </w:r>
      <w:r>
        <w:rPr>
          <w:i/>
          <w:iCs/>
        </w:rPr>
        <w:t xml:space="preserve">Hua</w:t>
      </w:r>
      <w:r>
        <w:t xml:space="preserve"> </w:t>
      </w:r>
      <w:r>
        <w:t xml:space="preserve">(meaning “fruit/seed”), drawing on the Polynesian metaphor of the waxing moon as a swelling fruit</w:t>
      </w:r>
      <w:hyperlink r:id="rId29">
        <w:r>
          <w:rPr>
            <w:rStyle w:val="Hyperlink"/>
          </w:rPr>
          <w:t xml:space="preserve">[8]</w:t>
        </w:r>
      </w:hyperlink>
      <w:r>
        <w:t xml:space="preserve">. The</w:t>
      </w:r>
      <w:r>
        <w:t xml:space="preserve"> </w:t>
      </w:r>
      <w:r>
        <w:rPr>
          <w:b/>
          <w:bCs/>
        </w:rPr>
        <w:t xml:space="preserve">full moon (15th night)</w:t>
      </w:r>
      <w:r>
        <w:t xml:space="preserve"> </w:t>
      </w:r>
      <w:r>
        <w:t xml:space="preserve">is marked by a distinctive circular glyph often annotated with the concept of</w:t>
      </w:r>
      <w:r>
        <w:t xml:space="preserve"> </w:t>
      </w:r>
      <w:r>
        <w:rPr>
          <w:i/>
          <w:iCs/>
        </w:rPr>
        <w:t xml:space="preserve">“completeness”</w:t>
      </w:r>
      <w:r>
        <w:t xml:space="preserve"> </w:t>
      </w:r>
      <w:r>
        <w:t xml:space="preserve">or</w:t>
      </w:r>
      <w:r>
        <w:t xml:space="preserve"> </w:t>
      </w:r>
      <w:r>
        <w:rPr>
          <w:i/>
          <w:iCs/>
        </w:rPr>
        <w:t xml:space="preserve">“whole”</w:t>
      </w:r>
      <w:r>
        <w:t xml:space="preserve"> </w:t>
      </w:r>
      <w:r>
        <w:t xml:space="preserve">(</w:t>
      </w:r>
      <w:r>
        <w:rPr>
          <w:i/>
          <w:iCs/>
        </w:rPr>
        <w:t xml:space="preserve">oti, katoa</w:t>
      </w:r>
      <w:r>
        <w:t xml:space="preserve"> </w:t>
      </w:r>
      <w:r>
        <w:t xml:space="preserve">in Rapa Nui)</w:t>
      </w:r>
      <w:hyperlink r:id="rId30">
        <w:r>
          <w:rPr>
            <w:rStyle w:val="Hyperlink"/>
          </w:rPr>
          <w:t xml:space="preserve">[9]</w:t>
        </w:r>
      </w:hyperlink>
      <w:hyperlink r:id="rId31">
        <w:r>
          <w:rPr>
            <w:rStyle w:val="Hyperlink"/>
          </w:rPr>
          <w:t xml:space="preserve">[10]</w:t>
        </w:r>
      </w:hyperlink>
      <w:r>
        <w:t xml:space="preserve">. In fact, the full moon glyph carries the traditional epithet</w:t>
      </w:r>
      <w:r>
        <w:t xml:space="preserve"> </w:t>
      </w:r>
      <w:r>
        <w:rPr>
          <w:i/>
          <w:iCs/>
        </w:rPr>
        <w:t xml:space="preserve">“Old Woman Lighting the Oven in the Sky,”</w:t>
      </w:r>
      <w:r>
        <w:t xml:space="preserve"> </w:t>
      </w:r>
      <w:r>
        <w:t xml:space="preserve">a metaphor recorded in Rapa Nui folklore for the full moon’s brightness</w:t>
      </w:r>
      <w:hyperlink r:id="rId31">
        <w:r>
          <w:rPr>
            <w:rStyle w:val="Hyperlink"/>
          </w:rPr>
          <w:t xml:space="preserve">[10]</w:t>
        </w:r>
      </w:hyperlink>
      <w:r>
        <w:t xml:space="preserve">. Each night-name clause is separated by a</w:t>
      </w:r>
      <w:r>
        <w:t xml:space="preserve"> </w:t>
      </w:r>
      <w:r>
        <w:rPr>
          <w:b/>
          <w:bCs/>
        </w:rPr>
        <w:t xml:space="preserve">star-shaped punctuation glyph</w:t>
      </w:r>
      <w:r>
        <w:t xml:space="preserve"> </w:t>
      </w:r>
      <w:r>
        <w:t xml:space="preserve">(Barthel #62, see below) or a section break. Thus, the calendar portion reads as a structured list: “Night 1 (New Moon) – [delimiter] – Night 2 – [delimiter] – … – Night 15 (Full Moon) – … Night 28/30 (Dark Moon).” This consistent formatting across the sequence allowed scholars to recognize it as a calendar</w:t>
      </w:r>
      <w:hyperlink r:id="rId32">
        <w:r>
          <w:rPr>
            <w:rStyle w:val="Hyperlink"/>
          </w:rPr>
          <w:t xml:space="preserve">[11]</w:t>
        </w:r>
      </w:hyperlink>
      <w:hyperlink r:id="rId33">
        <w:r>
          <w:rPr>
            <w:rStyle w:val="Hyperlink"/>
          </w:rPr>
          <w:t xml:space="preserve">[12]</w:t>
        </w:r>
      </w:hyperlink>
      <w:r>
        <w:t xml:space="preserve">. Our decipherment validates those earlier structural observations and refines them: many night names in the text correlate with known Rapa Nui or Polynesian lunar phase names (e.g.</w:t>
      </w:r>
      <w:r>
        <w:t xml:space="preserve"> </w:t>
      </w:r>
      <w:r>
        <w:rPr>
          <w:i/>
          <w:iCs/>
        </w:rPr>
        <w:t xml:space="preserve">Hotu</w:t>
      </w:r>
      <w:r>
        <w:t xml:space="preserve">,</w:t>
      </w:r>
      <w:r>
        <w:t xml:space="preserve"> </w:t>
      </w:r>
      <w:r>
        <w:rPr>
          <w:i/>
          <w:iCs/>
        </w:rPr>
        <w:t xml:space="preserve">Otua</w:t>
      </w:r>
      <w:r>
        <w:t xml:space="preserve">,</w:t>
      </w:r>
      <w:r>
        <w:t xml:space="preserve"> </w:t>
      </w:r>
      <w:r>
        <w:rPr>
          <w:i/>
          <w:iCs/>
        </w:rPr>
        <w:t xml:space="preserve">Maure</w:t>
      </w:r>
      <w:r>
        <w:t xml:space="preserve">,</w:t>
      </w:r>
      <w:r>
        <w:t xml:space="preserve"> </w:t>
      </w:r>
      <w:r>
        <w:rPr>
          <w:i/>
          <w:iCs/>
        </w:rPr>
        <w:t xml:space="preserve">Hua</w:t>
      </w:r>
      <w:r>
        <w:t xml:space="preserve">,</w:t>
      </w:r>
      <w:r>
        <w:t xml:space="preserve"> </w:t>
      </w:r>
      <w:r>
        <w:rPr>
          <w:i/>
          <w:iCs/>
        </w:rPr>
        <w:t xml:space="preserve">Motohi</w:t>
      </w:r>
      <w:r>
        <w:t xml:space="preserve">), confirming that the Rongorongo text is listing the nights of the month in order. In summary, the calendrical clauses are</w:t>
      </w:r>
      <w:r>
        <w:t xml:space="preserve"> </w:t>
      </w:r>
      <w:r>
        <w:rPr>
          <w:b/>
          <w:bCs/>
        </w:rPr>
        <w:t xml:space="preserve">template-based entries</w:t>
      </w:r>
      <w:r>
        <w:t xml:space="preserve"> </w:t>
      </w:r>
      <w:r>
        <w:t xml:space="preserve">each consisting of a lunar night name (often a single glyph logogram with a dual literal meaning) followed by a separator, collectively enumerating a cycle (the month). This regular, repetitive clause structure is a strong internal validation of the decipherment – it shows the script systematically encoding a well-known sequence (the lunar cycle) with minimal variation, exactly what we expect in a functional calendar</w:t>
      </w:r>
      <w:hyperlink r:id="rId34">
        <w:r>
          <w:rPr>
            <w:rStyle w:val="Hyperlink"/>
          </w:rPr>
          <w:t xml:space="preserve">[13]</w:t>
        </w:r>
      </w:hyperlink>
      <w:hyperlink r:id="rId35">
        <w:r>
          <w:rPr>
            <w:rStyle w:val="Hyperlink"/>
          </w:rPr>
          <w:t xml:space="preserve">[14]</w:t>
        </w:r>
      </w:hyperlink>
      <w:r>
        <w:t xml:space="preserve">.</w:t>
      </w:r>
    </w:p>
    <w:p>
      <w:pPr>
        <w:numPr>
          <w:ilvl w:val="0"/>
          <w:numId w:val="1001"/>
        </w:numPr>
      </w:pPr>
      <w:r>
        <w:rPr>
          <w:b/>
          <w:bCs/>
        </w:rPr>
        <w:t xml:space="preserve">Voyage / Navigational Clauses:</w:t>
      </w:r>
      <w:r>
        <w:t xml:space="preserve"> </w:t>
      </w:r>
      <w:r>
        <w:t xml:space="preserve">Several tablets (notably Aruku Kurenga and the Small Santiago tablet) contain what we interpret as</w:t>
      </w:r>
      <w:r>
        <w:t xml:space="preserve"> </w:t>
      </w:r>
      <w:r>
        <w:rPr>
          <w:b/>
          <w:bCs/>
        </w:rPr>
        <w:t xml:space="preserve">voyage narratives</w:t>
      </w:r>
      <w:r>
        <w:t xml:space="preserve"> </w:t>
      </w:r>
      <w:r>
        <w:t xml:space="preserve">– sequences describing travel routes, likely the legendary migration to Rapa Nui and other journeys. Clause templates in these sections emphasize</w:t>
      </w:r>
      <w:r>
        <w:t xml:space="preserve"> </w:t>
      </w:r>
      <w:r>
        <w:rPr>
          <w:b/>
          <w:bCs/>
        </w:rPr>
        <w:t xml:space="preserve">movement and destination</w:t>
      </w:r>
      <w:r>
        <w:t xml:space="preserve">. A typical voyage clause consists of a series of place or direction glyphs, often concluding with a glyph denoting arrival at a destination. One repeated pattern is a clause that ends with the glyph for</w:t>
      </w:r>
      <w:r>
        <w:t xml:space="preserve"> </w:t>
      </w:r>
      <w:r>
        <w:rPr>
          <w:b/>
          <w:bCs/>
        </w:rPr>
        <w:t xml:space="preserve">“sand/shore”</w:t>
      </w:r>
      <w:r>
        <w:t xml:space="preserve"> </w:t>
      </w:r>
      <w:r>
        <w:t xml:space="preserve">(Barthel #9, transliterated</w:t>
      </w:r>
      <w:r>
        <w:t xml:space="preserve"> </w:t>
      </w:r>
      <w:r>
        <w:rPr>
          <w:i/>
          <w:iCs/>
        </w:rPr>
        <w:t xml:space="preserve">one</w:t>
      </w:r>
      <w:r>
        <w:t xml:space="preserve"> </w:t>
      </w:r>
      <w:r>
        <w:t xml:space="preserve">meaning “sand”) to signify landfall on a beach</w:t>
      </w:r>
      <w:hyperlink r:id="rId36">
        <w:r>
          <w:rPr>
            <w:rStyle w:val="Hyperlink"/>
          </w:rPr>
          <w:t xml:space="preserve">[15]</w:t>
        </w:r>
      </w:hyperlink>
      <w:r>
        <w:t xml:space="preserve">. Specifically, glyph 9 appears at the end of multiple sequences and has been identified as the</w:t>
      </w:r>
      <w:r>
        <w:t xml:space="preserve"> </w:t>
      </w:r>
      <w:r>
        <w:rPr>
          <w:b/>
          <w:bCs/>
        </w:rPr>
        <w:t xml:space="preserve">Anakena beach</w:t>
      </w:r>
      <w:r>
        <w:t xml:space="preserve"> </w:t>
      </w:r>
      <w:r>
        <w:t xml:space="preserve">glyph – Anakena being the landing site of the first settlers in Rapa Nui tradition</w:t>
      </w:r>
      <w:hyperlink r:id="rId36">
        <w:r>
          <w:rPr>
            <w:rStyle w:val="Hyperlink"/>
          </w:rPr>
          <w:t xml:space="preserve">[16]</w:t>
        </w:r>
      </w:hyperlink>
      <w:r>
        <w:t xml:space="preserve">. For example, on Aruku Kurenga a travel sequence terminates with</w:t>
      </w:r>
      <w:r>
        <w:t xml:space="preserve"> </w:t>
      </w:r>
      <w:r>
        <w:rPr>
          <w:i/>
          <w:iCs/>
        </w:rPr>
        <w:t xml:space="preserve">one</w:t>
      </w:r>
      <w:r>
        <w:t xml:space="preserve"> </w:t>
      </w:r>
      <w:r>
        <w:t xml:space="preserve">(sand) accompanied by context glyphs for</w:t>
      </w:r>
      <w:r>
        <w:t xml:space="preserve"> </w:t>
      </w:r>
      <w:r>
        <w:rPr>
          <w:i/>
          <w:iCs/>
        </w:rPr>
        <w:t xml:space="preserve">“earth/land”</w:t>
      </w:r>
      <w:r>
        <w:t xml:space="preserve">, indicating “arrival at land (beach).” Preceding that, we often find a</w:t>
      </w:r>
      <w:r>
        <w:t xml:space="preserve"> </w:t>
      </w:r>
      <w:r>
        <w:rPr>
          <w:b/>
          <w:bCs/>
        </w:rPr>
        <w:t xml:space="preserve">voyage start marker</w:t>
      </w:r>
      <w:r>
        <w:t xml:space="preserve">: the glyph for</w:t>
      </w:r>
      <w:r>
        <w:t xml:space="preserve"> </w:t>
      </w:r>
      <w:r>
        <w:rPr>
          <w:i/>
          <w:iCs/>
        </w:rPr>
        <w:t xml:space="preserve">“beginning”</w:t>
      </w:r>
      <w:r>
        <w:t xml:space="preserve"> </w:t>
      </w:r>
      <w:r>
        <w:t xml:space="preserve">(Barthel #32, called</w:t>
      </w:r>
      <w:r>
        <w:t xml:space="preserve"> </w:t>
      </w:r>
      <w:r>
        <w:rPr>
          <w:i/>
          <w:iCs/>
        </w:rPr>
        <w:t xml:space="preserve">mata</w:t>
      </w:r>
      <w:r>
        <w:t xml:space="preserve"> </w:t>
      </w:r>
      <w:r>
        <w:t xml:space="preserve">or</w:t>
      </w:r>
      <w:r>
        <w:t xml:space="preserve"> </w:t>
      </w:r>
      <w:r>
        <w:rPr>
          <w:i/>
          <w:iCs/>
        </w:rPr>
        <w:t xml:space="preserve">timu</w:t>
      </w:r>
      <w:r>
        <w:t xml:space="preserve">) is used on Aruku Kurenga to</w:t>
      </w:r>
      <w:r>
        <w:t xml:space="preserve"> </w:t>
      </w:r>
      <w:r>
        <w:rPr>
          <w:b/>
          <w:bCs/>
        </w:rPr>
        <w:t xml:space="preserve">mark the start of each voyage</w:t>
      </w:r>
      <w:r>
        <w:t xml:space="preserve"> </w:t>
      </w:r>
      <w:r>
        <w:t xml:space="preserve">or leg</w:t>
      </w:r>
      <w:hyperlink r:id="rId37">
        <w:r>
          <w:rPr>
            <w:rStyle w:val="Hyperlink"/>
          </w:rPr>
          <w:t xml:space="preserve">[17]</w:t>
        </w:r>
      </w:hyperlink>
      <w:r>
        <w:t xml:space="preserve">. This is akin to a phrase “At the beginning (of the journey)…” introducing the clause. In between, the clause may list directionals or island names as waypoints. Although many specific waypoints remain undeciphered (they may be represented by unique place-name glyphs not yet matched to known locations), the overall template is clear:</w:t>
      </w:r>
      <w:r>
        <w:t xml:space="preserve"> </w:t>
      </w:r>
      <w:r>
        <w:rPr>
          <w:i/>
          <w:iCs/>
        </w:rPr>
        <w:t xml:space="preserve">Begin journey</w:t>
      </w:r>
      <w:r>
        <w:t xml:space="preserve"> </w:t>
      </w:r>
      <w:r>
        <w:t xml:space="preserve">→</w:t>
      </w:r>
      <w:r>
        <w:t xml:space="preserve"> </w:t>
      </w:r>
      <w:r>
        <w:rPr>
          <w:i/>
          <w:iCs/>
        </w:rPr>
        <w:t xml:space="preserve">travelled X</w:t>
      </w:r>
      <w:r>
        <w:t xml:space="preserve"> </w:t>
      </w:r>
      <w:r>
        <w:t xml:space="preserve">→</w:t>
      </w:r>
      <w:r>
        <w:t xml:space="preserve"> </w:t>
      </w:r>
      <w:r>
        <w:rPr>
          <w:i/>
          <w:iCs/>
        </w:rPr>
        <w:t xml:space="preserve">then Y…</w:t>
      </w:r>
      <w:r>
        <w:t xml:space="preserve"> </w:t>
      </w:r>
      <w:r>
        <w:t xml:space="preserve">→</w:t>
      </w:r>
      <w:r>
        <w:t xml:space="preserve"> </w:t>
      </w:r>
      <w:r>
        <w:rPr>
          <w:i/>
          <w:iCs/>
        </w:rPr>
        <w:t xml:space="preserve">landed at Z (Anakena beach)</w:t>
      </w:r>
      <w:r>
        <w:t xml:space="preserve">. One clause likely describes the legendary departure: e.g., a glyph that could mean “Hiva” (the mythical homeland) at the start, followed by a canoe or sailing action glyph, then a sequence of star or bird glyphs (possibly navigation by stars or sighting birds), and finally the landfall glyph at Anakena. Indeed, the presence of star glyphs (like glyph 8 meaning star/sun) in some travel lines suggests navigation cues (stars used for wayfinding) are part of the narrative. Each leg or voyage clause is separated by a section break (often the same</w:t>
      </w:r>
      <w:r>
        <w:t xml:space="preserve"> </w:t>
      </w:r>
      <w:r>
        <w:rPr>
          <w:b/>
          <w:bCs/>
        </w:rPr>
        <w:t xml:space="preserve">section delimiter glyph #32</w:t>
      </w:r>
      <w:r>
        <w:t xml:space="preserve"> </w:t>
      </w:r>
      <w:r>
        <w:t xml:space="preserve">doubles as a voyage separator on Aruku)</w:t>
      </w:r>
      <w:hyperlink r:id="rId37">
        <w:r>
          <w:rPr>
            <w:rStyle w:val="Hyperlink"/>
          </w:rPr>
          <w:t xml:space="preserve">[17]</w:t>
        </w:r>
      </w:hyperlink>
      <w:r>
        <w:t xml:space="preserve">. In essence, the voyage texts read as a series of voyage segments: “From [Origin] sailed… (with guidance or events)… arrived at [Destination].” The consistency of the</w:t>
      </w:r>
      <w:r>
        <w:t xml:space="preserve"> </w:t>
      </w:r>
      <w:r>
        <w:rPr>
          <w:i/>
          <w:iCs/>
        </w:rPr>
        <w:t xml:space="preserve">“arrival=beach”</w:t>
      </w:r>
      <w:r>
        <w:t xml:space="preserve"> </w:t>
      </w:r>
      <w:r>
        <w:t xml:space="preserve">marker at the end of these clauses is a strong indicator we are correctly identifying the template – it naturally matches the structure of a travel story and specifically pinpoints</w:t>
      </w:r>
      <w:r>
        <w:t xml:space="preserve"> </w:t>
      </w:r>
      <w:r>
        <w:rPr>
          <w:b/>
          <w:bCs/>
        </w:rPr>
        <w:t xml:space="preserve">Anakena</w:t>
      </w:r>
      <w:r>
        <w:t xml:space="preserve"> </w:t>
      </w:r>
      <w:r>
        <w:t xml:space="preserve">in multiple texts, lending credible cross-text validation (since Anakena is uniquely relevant to Rapa Nui origin and would be expected to recur in any telling of that story).</w:t>
      </w:r>
    </w:p>
    <w:p>
      <w:pPr>
        <w:pStyle w:val="FirstParagraph"/>
      </w:pPr>
      <w:r>
        <w:t xml:space="preserve">Each of these clause templates demonstrates that Rongorongo was not a disordered string of symbols, but had an internal grammar and conventionalized patterns for expressing certain types of information. By identifying these templates, we gain a blueprint for reading similar passages on other tablets. If a new tablet shows the phallic glyph linking figures, we can confidently parse it as a genealogical statement; if we see a sequence of distinct symbols separated by star punctuations, we might suspect a list (calendrical or otherwise); if a line starts with the</w:t>
      </w:r>
      <w:r>
        <w:t xml:space="preserve"> </w:t>
      </w:r>
      <w:r>
        <w:rPr>
          <w:i/>
          <w:iCs/>
        </w:rPr>
        <w:t xml:space="preserve">mata</w:t>
      </w:r>
      <w:r>
        <w:t xml:space="preserve"> </w:t>
      </w:r>
      <w:r>
        <w:t xml:space="preserve">“beginning” glyph, it likely introduces a new section (perhaps a new voyage or chapter of narrative). This clause-level understanding forms the backbone of the translation protocol, as it tells us</w:t>
      </w:r>
      <w:r>
        <w:t xml:space="preserve"> </w:t>
      </w:r>
      <w:r>
        <w:rPr>
          <w:b/>
          <w:bCs/>
        </w:rPr>
        <w:t xml:space="preserve">what kind of sentence we are dealing with</w:t>
      </w:r>
      <w:r>
        <w:t xml:space="preserve">, which in turn informs how we choose meanings for polysemous glyphs and how we order the translation into natural language. It’s important to note that these templates emerged from pattern analysis of the texts themselves (frequency and positional analysis across many lines), supported by known cultural sequences (like genealogies and lunar phases) – no external narrative was imposed. The clause structures “bubbled up” from the data, reinforcing the confidence in the decipherment methodology.</w:t>
      </w:r>
    </w:p>
    <w:bookmarkEnd w:id="38"/>
    <w:bookmarkStart w:id="53" w:name="functional-glyphs-and-structural-markers"/>
    <w:p>
      <w:pPr>
        <w:pStyle w:val="Heading2"/>
      </w:pPr>
      <w:r>
        <w:t xml:space="preserve">Functional Glyphs and Structural Markers</w:t>
      </w:r>
    </w:p>
    <w:p>
      <w:pPr>
        <w:pStyle w:val="FirstParagraph"/>
      </w:pPr>
      <w:r>
        <w:t xml:space="preserve">Rongorongo contains</w:t>
      </w:r>
      <w:r>
        <w:t xml:space="preserve"> </w:t>
      </w:r>
      <w:r>
        <w:rPr>
          <w:b/>
          <w:bCs/>
        </w:rPr>
        <w:t xml:space="preserve">functional glyphs</w:t>
      </w:r>
      <w:r>
        <w:t xml:space="preserve"> </w:t>
      </w:r>
      <w:r>
        <w:t xml:space="preserve">that serve grammatical or structural roles analogous to punctuation, determiners, or format markers in written language. Identifying these has been crucial in understanding text organization and in disambiguating sequences. We outline the major functional glyph types discovered, along with their roles:</w:t>
      </w:r>
    </w:p>
    <w:p>
      <w:pPr>
        <w:numPr>
          <w:ilvl w:val="0"/>
          <w:numId w:val="1002"/>
        </w:numPr>
      </w:pPr>
      <w:r>
        <w:rPr>
          <w:b/>
          <w:bCs/>
        </w:rPr>
        <w:t xml:space="preserve">Section Delimiters and Punctuation:</w:t>
      </w:r>
      <w:r>
        <w:t xml:space="preserve"> </w:t>
      </w:r>
      <w:r>
        <w:t xml:space="preserve">Several glyphs act as punctuation marks, structuring the text into verses, sentences, or lists. The most prominent is</w:t>
      </w:r>
      <w:r>
        <w:t xml:space="preserve"> </w:t>
      </w:r>
      <w:r>
        <w:rPr>
          <w:b/>
          <w:bCs/>
        </w:rPr>
        <w:t xml:space="preserve">Barthel Glyph 32</w:t>
      </w:r>
      <w:r>
        <w:t xml:space="preserve">, a curled shape interpreted as</w:t>
      </w:r>
      <w:r>
        <w:t xml:space="preserve"> </w:t>
      </w:r>
      <w:r>
        <w:rPr>
          <w:i/>
          <w:iCs/>
        </w:rPr>
        <w:t xml:space="preserve">“section start”</w:t>
      </w:r>
      <w:r>
        <w:t xml:space="preserve"> </w:t>
      </w:r>
      <w:r>
        <w:t xml:space="preserve">or</w:t>
      </w:r>
      <w:r>
        <w:t xml:space="preserve"> </w:t>
      </w:r>
      <w:r>
        <w:rPr>
          <w:i/>
          <w:iCs/>
        </w:rPr>
        <w:t xml:space="preserve">“verse divider.”</w:t>
      </w:r>
      <w:r>
        <w:t xml:space="preserve"> </w:t>
      </w:r>
      <w:r>
        <w:t xml:space="preserve">This glyph appears with high frequency at the beginnings of text segments</w:t>
      </w:r>
      <w:hyperlink r:id="rId39">
        <w:r>
          <w:rPr>
            <w:rStyle w:val="Hyperlink"/>
          </w:rPr>
          <w:t xml:space="preserve">[18]</w:t>
        </w:r>
      </w:hyperlink>
      <w:hyperlink r:id="rId37">
        <w:r>
          <w:rPr>
            <w:rStyle w:val="Hyperlink"/>
          </w:rPr>
          <w:t xml:space="preserve">[17]</w:t>
        </w:r>
      </w:hyperlink>
      <w:r>
        <w:t xml:space="preserve">. Its meanings include</w:t>
      </w:r>
      <w:r>
        <w:t xml:space="preserve"> </w:t>
      </w:r>
      <w:r>
        <w:rPr>
          <w:i/>
          <w:iCs/>
        </w:rPr>
        <w:t xml:space="preserve">“begin, origin, start”</w:t>
      </w:r>
      <w:r>
        <w:t xml:space="preserve"> </w:t>
      </w:r>
      <w:r>
        <w:t xml:space="preserve">(with suggested readings</w:t>
      </w:r>
      <w:r>
        <w:t xml:space="preserve"> </w:t>
      </w:r>
      <w:r>
        <w:rPr>
          <w:i/>
          <w:iCs/>
        </w:rPr>
        <w:t xml:space="preserve">mata</w:t>
      </w:r>
      <w:r>
        <w:t xml:space="preserve"> </w:t>
      </w:r>
      <w:r>
        <w:t xml:space="preserve">or</w:t>
      </w:r>
      <w:r>
        <w:t xml:space="preserve"> </w:t>
      </w:r>
      <w:r>
        <w:rPr>
          <w:i/>
          <w:iCs/>
        </w:rPr>
        <w:t xml:space="preserve">timu</w:t>
      </w:r>
      <w:r>
        <w:t xml:space="preserve">, both meaning “beginning” in Polynesian languages)</w:t>
      </w:r>
      <w:hyperlink r:id="rId40">
        <w:r>
          <w:rPr>
            <w:rStyle w:val="Hyperlink"/>
          </w:rPr>
          <w:t xml:space="preserve">[19]</w:t>
        </w:r>
      </w:hyperlink>
      <w:hyperlink r:id="rId41">
        <w:r>
          <w:rPr>
            <w:rStyle w:val="Hyperlink"/>
          </w:rPr>
          <w:t xml:space="preserve">[20]</w:t>
        </w:r>
      </w:hyperlink>
      <w:r>
        <w:t xml:space="preserve">. Functionally, glyph 32 marks the start of a new narrative section or list; for example, on</w:t>
      </w:r>
      <w:r>
        <w:t xml:space="preserve"> </w:t>
      </w:r>
      <w:r>
        <w:rPr>
          <w:b/>
          <w:bCs/>
        </w:rPr>
        <w:t xml:space="preserve">Aruku Kurenga it precedes each voyage account</w:t>
      </w:r>
      <w:r>
        <w:t xml:space="preserve">, essentially as a paragraph starter, and on</w:t>
      </w:r>
      <w:r>
        <w:t xml:space="preserve"> </w:t>
      </w:r>
      <w:r>
        <w:rPr>
          <w:b/>
          <w:bCs/>
        </w:rPr>
        <w:t xml:space="preserve">Santiago Staff it separates major segments of text</w:t>
      </w:r>
      <w:r>
        <w:t xml:space="preserve"> </w:t>
      </w:r>
      <w:r>
        <w:t xml:space="preserve">(perhaps different genealogical lines or episodes)</w:t>
      </w:r>
      <w:hyperlink r:id="rId37">
        <w:r>
          <w:rPr>
            <w:rStyle w:val="Hyperlink"/>
          </w:rPr>
          <w:t xml:space="preserve">[17]</w:t>
        </w:r>
      </w:hyperlink>
      <w:r>
        <w:t xml:space="preserve">. We can liken it to a capital letter or a chapter heading indicator – it tells the reader</w:t>
      </w:r>
      <w:r>
        <w:t xml:space="preserve"> </w:t>
      </w:r>
      <w:r>
        <w:rPr>
          <w:i/>
          <w:iCs/>
        </w:rPr>
        <w:t xml:space="preserve">“a new topic or episode begins here.”</w:t>
      </w:r>
      <w:r>
        <w:t xml:space="preserve"> </w:t>
      </w:r>
      <w:r>
        <w:t xml:space="preserve">Another punctuation glyph is the</w:t>
      </w:r>
      <w:r>
        <w:t xml:space="preserve"> </w:t>
      </w:r>
      <w:r>
        <w:rPr>
          <w:b/>
          <w:bCs/>
        </w:rPr>
        <w:t xml:space="preserve">star-like glyph (Barthel Glyph 62)</w:t>
      </w:r>
      <w:r>
        <w:t xml:space="preserve"> </w:t>
      </w:r>
      <w:r>
        <w:t xml:space="preserve">which serves as a</w:t>
      </w:r>
      <w:r>
        <w:t xml:space="preserve"> </w:t>
      </w:r>
      <w:r>
        <w:rPr>
          <w:b/>
          <w:bCs/>
        </w:rPr>
        <w:t xml:space="preserve">clause break or separator</w:t>
      </w:r>
      <w:r>
        <w:t xml:space="preserve">. This glyph, often a small star or asterisk shape, is found between items in lists. On the Mamari tablet, the star glyph appears between each lunar night name, functioning exactly like a comma or bullet in a list. In general narrative texts, the star glyph likely indicates a pause or separation between clauses (similar to a period or comma)【15†】. Its phonetic value is posited as</w:t>
      </w:r>
      <w:r>
        <w:t xml:space="preserve"> </w:t>
      </w:r>
      <w:r>
        <w:rPr>
          <w:i/>
          <w:iCs/>
        </w:rPr>
        <w:t xml:space="preserve">“ki”</w:t>
      </w:r>
      <w:r>
        <w:t xml:space="preserve"> </w:t>
      </w:r>
      <w:r>
        <w:t xml:space="preserve">(which interestingly could relate to a Rapa Nui particle meaning “to, towards” or just be onomatopoetic for a pause). The usage of these punctuation glyphs shows that Rongorongo scribes organized information clearly: they grouped related glyphs into clauses/phrases and delineated those groupings visually with specific symbols. There is also evidence of an</w:t>
      </w:r>
      <w:r>
        <w:t xml:space="preserve"> </w:t>
      </w:r>
      <w:r>
        <w:rPr>
          <w:b/>
          <w:bCs/>
        </w:rPr>
        <w:t xml:space="preserve">end-of-section marker</w:t>
      </w:r>
      <w:r>
        <w:t xml:space="preserve"> </w:t>
      </w:r>
      <w:r>
        <w:t xml:space="preserve">(possibly a variant of the star or another symbol) used at the conclusion of larger text blocks, analogous to a full stop. A candidate is an</w:t>
      </w:r>
      <w:r>
        <w:t xml:space="preserve"> </w:t>
      </w:r>
      <w:r>
        <w:rPr>
          <w:b/>
          <w:bCs/>
        </w:rPr>
        <w:t xml:space="preserve">eight-pointed star or rosette glyph</w:t>
      </w:r>
      <w:r>
        <w:t xml:space="preserve">, which appears at the end of some sequences and might indicate the end of a chant or text (a non-lexical</w:t>
      </w:r>
      <w:r>
        <w:t xml:space="preserve"> </w:t>
      </w:r>
      <w:r>
        <w:rPr>
          <w:i/>
          <w:iCs/>
        </w:rPr>
        <w:t xml:space="preserve">paragraph break</w:t>
      </w:r>
      <w:r>
        <w:t xml:space="preserve">)【15†】</w:t>
      </w:r>
      <w:hyperlink r:id="rId42">
        <w:r>
          <w:rPr>
            <w:rStyle w:val="Hyperlink"/>
          </w:rPr>
          <w:t xml:space="preserve">[21]</w:t>
        </w:r>
      </w:hyperlink>
      <w:r>
        <w:t xml:space="preserve">. In summary, Rongorongo had</w:t>
      </w:r>
      <w:r>
        <w:t xml:space="preserve"> </w:t>
      </w:r>
      <w:r>
        <w:rPr>
          <w:b/>
          <w:bCs/>
        </w:rPr>
        <w:t xml:space="preserve">structural punctuation glyphs</w:t>
      </w:r>
      <w:r>
        <w:t xml:space="preserve"> </w:t>
      </w:r>
      <w:r>
        <w:t xml:space="preserve">for beginnings (glyph 32</w:t>
      </w:r>
      <w:r>
        <w:t xml:space="preserve"> </w:t>
      </w:r>
      <w:r>
        <w:rPr>
          <w:i/>
          <w:iCs/>
        </w:rPr>
        <w:t xml:space="preserve">mata/timu</w:t>
      </w:r>
      <w:r>
        <w:t xml:space="preserve">), separators (glyph 62</w:t>
      </w:r>
      <w:r>
        <w:t xml:space="preserve"> </w:t>
      </w:r>
      <w:r>
        <w:rPr>
          <w:i/>
          <w:iCs/>
        </w:rPr>
        <w:t xml:space="preserve">ki</w:t>
      </w:r>
      <w:r>
        <w:t xml:space="preserve"> </w:t>
      </w:r>
      <w:r>
        <w:t xml:space="preserve">star), and possibly terminators (rosette-like marks), ensuring the texts were</w:t>
      </w:r>
      <w:r>
        <w:t xml:space="preserve"> </w:t>
      </w:r>
      <w:r>
        <w:rPr>
          <w:i/>
          <w:iCs/>
        </w:rPr>
        <w:t xml:space="preserve">formatted in a coherent, parseable way</w:t>
      </w:r>
      <w:r>
        <w:t xml:space="preserve">.</w:t>
      </w:r>
    </w:p>
    <w:p>
      <w:pPr>
        <w:numPr>
          <w:ilvl w:val="0"/>
          <w:numId w:val="1002"/>
        </w:numPr>
      </w:pPr>
      <w:r>
        <w:rPr>
          <w:b/>
          <w:bCs/>
        </w:rPr>
        <w:t xml:space="preserve">Title and Status Markers:</w:t>
      </w:r>
      <w:r>
        <w:t xml:space="preserve"> </w:t>
      </w:r>
      <w:r>
        <w:t xml:space="preserve">Certain glyphs function as</w:t>
      </w:r>
      <w:r>
        <w:t xml:space="preserve"> </w:t>
      </w:r>
      <w:r>
        <w:rPr>
          <w:b/>
          <w:bCs/>
        </w:rPr>
        <w:t xml:space="preserve">determinatives or honorifics</w:t>
      </w:r>
      <w:r>
        <w:t xml:space="preserve"> </w:t>
      </w:r>
      <w:r>
        <w:t xml:space="preserve">that signal names or titles. In genealogical texts especially, we find an anthropomorphic glyph with distinguishing features (such as a headdress or another mark of rank) that consistently</w:t>
      </w:r>
      <w:r>
        <w:t xml:space="preserve"> </w:t>
      </w:r>
      <w:r>
        <w:rPr>
          <w:b/>
          <w:bCs/>
        </w:rPr>
        <w:t xml:space="preserve">precedes personal names of high status</w:t>
      </w:r>
      <w:r>
        <w:t xml:space="preserve">. This glyph has been interpreted as a</w:t>
      </w:r>
      <w:r>
        <w:t xml:space="preserve"> </w:t>
      </w:r>
      <w:r>
        <w:rPr>
          <w:b/>
          <w:bCs/>
        </w:rPr>
        <w:t xml:space="preserve">chief/king title</w:t>
      </w:r>
      <w:r>
        <w:t xml:space="preserve"> </w:t>
      </w:r>
      <w:r>
        <w:t xml:space="preserve">marker, equivalent to writing</w:t>
      </w:r>
      <w:r>
        <w:t xml:space="preserve"> </w:t>
      </w:r>
      <w:r>
        <w:rPr>
          <w:i/>
          <w:iCs/>
        </w:rPr>
        <w:t xml:space="preserve">“Chief” (Ariki) or an honorific</w:t>
      </w:r>
      <w:r>
        <w:t xml:space="preserve"> </w:t>
      </w:r>
      <w:r>
        <w:t xml:space="preserve">before a name</w:t>
      </w:r>
      <w:hyperlink r:id="rId43">
        <w:r>
          <w:rPr>
            <w:rStyle w:val="Hyperlink"/>
          </w:rPr>
          <w:t xml:space="preserve">[22]</w:t>
        </w:r>
      </w:hyperlink>
      <w:hyperlink r:id="rId44">
        <w:r>
          <w:rPr>
            <w:rStyle w:val="Hyperlink"/>
          </w:rPr>
          <w:t xml:space="preserve">[23]</w:t>
        </w:r>
      </w:hyperlink>
      <w:r>
        <w:t xml:space="preserve">. For instance, in the Aruku Kurenga list, many names begin with this figure, indicating those individuals are</w:t>
      </w:r>
      <w:r>
        <w:t xml:space="preserve"> </w:t>
      </w:r>
      <w:r>
        <w:rPr>
          <w:i/>
          <w:iCs/>
        </w:rPr>
        <w:t xml:space="preserve">ariki</w:t>
      </w:r>
      <w:r>
        <w:t xml:space="preserve"> </w:t>
      </w:r>
      <w:r>
        <w:t xml:space="preserve">(chiefs or important ancestors). The Master Lexicon notes describe it as an</w:t>
      </w:r>
      <w:r>
        <w:t xml:space="preserve"> </w:t>
      </w:r>
      <w:r>
        <w:rPr>
          <w:i/>
          <w:iCs/>
        </w:rPr>
        <w:t xml:space="preserve">“anthropomorphic figure with distinctive headgear denoting a high-status person... Appears before personal names in genealogies to mark nobility”</w:t>
      </w:r>
      <w:hyperlink r:id="rId45">
        <w:r>
          <w:rPr>
            <w:rStyle w:val="Hyperlink"/>
          </w:rPr>
          <w:t xml:space="preserve">[24]</w:t>
        </w:r>
      </w:hyperlink>
      <w:r>
        <w:t xml:space="preserve">. Semantically, it encapsulates concepts like</w:t>
      </w:r>
      <w:r>
        <w:t xml:space="preserve"> </w:t>
      </w:r>
      <w:r>
        <w:rPr>
          <w:i/>
          <w:iCs/>
        </w:rPr>
        <w:t xml:space="preserve">“chief (ariki), ruler (hakakina), king (ariki henua)”</w:t>
      </w:r>
      <w:r>
        <w:t xml:space="preserve">, essentially flagging that</w:t>
      </w:r>
      <w:r>
        <w:t xml:space="preserve"> </w:t>
      </w:r>
      <w:r>
        <w:rPr>
          <w:i/>
          <w:iCs/>
        </w:rPr>
        <w:t xml:space="preserve">“the following name is a person of high rank.”</w:t>
      </w:r>
      <w:r>
        <w:t xml:space="preserve"> </w:t>
      </w:r>
      <w:r>
        <w:t xml:space="preserve">By analogy, it’s akin to a title like</w:t>
      </w:r>
      <w:r>
        <w:t xml:space="preserve"> </w:t>
      </w:r>
      <w:r>
        <w:rPr>
          <w:i/>
          <w:iCs/>
        </w:rPr>
        <w:t xml:space="preserve">Mr., Lord,</w:t>
      </w:r>
      <w:r>
        <w:t xml:space="preserve"> </w:t>
      </w:r>
      <w:r>
        <w:t xml:space="preserve">or an epithet like</w:t>
      </w:r>
      <w:r>
        <w:t xml:space="preserve"> </w:t>
      </w:r>
      <w:r>
        <w:rPr>
          <w:i/>
          <w:iCs/>
        </w:rPr>
        <w:t xml:space="preserve">“King”</w:t>
      </w:r>
      <w:r>
        <w:t xml:space="preserve"> </w:t>
      </w:r>
      <w:r>
        <w:t xml:space="preserve">used consistently. Cross-comparison even notes that this practice is similar to ancient scripts that prepend a determinative for deities or royals (Egyptian used a special sign before royal names, etc.)</w:t>
      </w:r>
      <w:hyperlink r:id="rId46">
        <w:r>
          <w:rPr>
            <w:rStyle w:val="Hyperlink"/>
          </w:rPr>
          <w:t xml:space="preserve">[25]</w:t>
        </w:r>
      </w:hyperlink>
      <w:hyperlink r:id="rId44">
        <w:r>
          <w:rPr>
            <w:rStyle w:val="Hyperlink"/>
          </w:rPr>
          <w:t xml:space="preserve">[26]</w:t>
        </w:r>
      </w:hyperlink>
      <w:r>
        <w:t xml:space="preserve">. Thus, this</w:t>
      </w:r>
      <w:r>
        <w:t xml:space="preserve"> </w:t>
      </w:r>
      <w:r>
        <w:rPr>
          <w:b/>
          <w:bCs/>
        </w:rPr>
        <w:t xml:space="preserve">title glyph</w:t>
      </w:r>
      <w:r>
        <w:t xml:space="preserve"> </w:t>
      </w:r>
      <w:r>
        <w:t xml:space="preserve">provides grammatical context that what follows is a</w:t>
      </w:r>
      <w:r>
        <w:t xml:space="preserve"> </w:t>
      </w:r>
      <w:r>
        <w:rPr>
          <w:b/>
          <w:bCs/>
        </w:rPr>
        <w:t xml:space="preserve">proper name</w:t>
      </w:r>
      <w:r>
        <w:t xml:space="preserve"> </w:t>
      </w:r>
      <w:r>
        <w:t xml:space="preserve">of a certain category. Using such a marker helps in name normalization (see next section) – when we see the title glyph followed by a sequence, we can be confident the sequence is a</w:t>
      </w:r>
      <w:r>
        <w:t xml:space="preserve"> </w:t>
      </w:r>
      <w:r>
        <w:rPr>
          <w:b/>
          <w:bCs/>
        </w:rPr>
        <w:t xml:space="preserve">name of a chief or important figure</w:t>
      </w:r>
      <w:r>
        <w:t xml:space="preserve">, not a common noun phrase. Another possible title marker is a glyph that signifies</w:t>
      </w:r>
      <w:r>
        <w:t xml:space="preserve"> </w:t>
      </w:r>
      <w:r>
        <w:rPr>
          <w:i/>
          <w:iCs/>
        </w:rPr>
        <w:t xml:space="preserve">“god”</w:t>
      </w:r>
      <w:r>
        <w:t xml:space="preserve"> </w:t>
      </w:r>
      <w:r>
        <w:t xml:space="preserve">or</w:t>
      </w:r>
      <w:r>
        <w:t xml:space="preserve"> </w:t>
      </w:r>
      <w:r>
        <w:rPr>
          <w:i/>
          <w:iCs/>
        </w:rPr>
        <w:t xml:space="preserve">“deity”</w:t>
      </w:r>
      <w:r>
        <w:t xml:space="preserve"> </w:t>
      </w:r>
      <w:r>
        <w:t xml:space="preserve">when preceding certain names (for example, a glyph interpreted as</w:t>
      </w:r>
      <w:r>
        <w:t xml:space="preserve"> </w:t>
      </w:r>
      <w:r>
        <w:rPr>
          <w:i/>
          <w:iCs/>
        </w:rPr>
        <w:t xml:space="preserve">atua</w:t>
      </w:r>
      <w:r>
        <w:t xml:space="preserve"> </w:t>
      </w:r>
      <w:r>
        <w:t xml:space="preserve">(god) appears before what seem to be names of nights or mythic beings)</w:t>
      </w:r>
      <w:hyperlink r:id="rId47">
        <w:r>
          <w:rPr>
            <w:rStyle w:val="Hyperlink"/>
          </w:rPr>
          <w:t xml:space="preserve">[27]</w:t>
        </w:r>
      </w:hyperlink>
      <w:r>
        <w:t xml:space="preserve">. In short, Rongorongo texts employ</w:t>
      </w:r>
      <w:r>
        <w:t xml:space="preserve"> </w:t>
      </w:r>
      <w:r>
        <w:rPr>
          <w:b/>
          <w:bCs/>
        </w:rPr>
        <w:t xml:space="preserve">determinative glyphs</w:t>
      </w:r>
      <w:r>
        <w:t xml:space="preserve"> </w:t>
      </w:r>
      <w:r>
        <w:t xml:space="preserve">to label the category of a name (divine, royal, etc.), which is a grammatical strategy to clarify meaning.</w:t>
      </w:r>
    </w:p>
    <w:p>
      <w:pPr>
        <w:numPr>
          <w:ilvl w:val="0"/>
          <w:numId w:val="1002"/>
        </w:numPr>
      </w:pPr>
      <w:r>
        <w:rPr>
          <w:b/>
          <w:bCs/>
        </w:rPr>
        <w:t xml:space="preserve">Plural or Collective Marker:</w:t>
      </w:r>
      <w:r>
        <w:t xml:space="preserve"> </w:t>
      </w:r>
      <w:r>
        <w:t xml:space="preserve">A significant discovery in Phase 11 is that Rongorongo has a way to indicate plural or collective nouns, which is rare for purely logographic scripts. A particular</w:t>
      </w:r>
      <w:r>
        <w:t xml:space="preserve"> </w:t>
      </w:r>
      <w:r>
        <w:rPr>
          <w:b/>
          <w:bCs/>
        </w:rPr>
        <w:t xml:space="preserve">hand-shaped glyph (likely Barthel #6)</w:t>
      </w:r>
      <w:r>
        <w:t xml:space="preserve"> </w:t>
      </w:r>
      <w:r>
        <w:t xml:space="preserve">has been identified as serving a dual role: literally meaning</w:t>
      </w:r>
      <w:r>
        <w:t xml:space="preserve"> </w:t>
      </w:r>
      <w:r>
        <w:rPr>
          <w:i/>
          <w:iCs/>
        </w:rPr>
        <w:t xml:space="preserve">“hand”</w:t>
      </w:r>
      <w:r>
        <w:t xml:space="preserve"> </w:t>
      </w:r>
      <w:r>
        <w:t xml:space="preserve">(Rapanui</w:t>
      </w:r>
      <w:r>
        <w:t xml:space="preserve"> </w:t>
      </w:r>
      <w:r>
        <w:rPr>
          <w:i/>
          <w:iCs/>
        </w:rPr>
        <w:t xml:space="preserve">rima</w:t>
      </w:r>
      <w:r>
        <w:t xml:space="preserve">) and acting as a</w:t>
      </w:r>
      <w:r>
        <w:t xml:space="preserve"> </w:t>
      </w:r>
      <w:r>
        <w:rPr>
          <w:b/>
          <w:bCs/>
        </w:rPr>
        <w:t xml:space="preserve">pluralizing affix</w:t>
      </w:r>
      <w:r>
        <w:t xml:space="preserve"> </w:t>
      </w:r>
      <w:r>
        <w:t xml:space="preserve">when attached to another glyph</w:t>
      </w:r>
      <w:hyperlink r:id="rId48">
        <w:r>
          <w:rPr>
            <w:rStyle w:val="Hyperlink"/>
          </w:rPr>
          <w:t xml:space="preserve">[28]</w:t>
        </w:r>
      </w:hyperlink>
      <w:r>
        <w:t xml:space="preserve">. In contexts where this glyph follows a noun glyph, it imparts a meaning of</w:t>
      </w:r>
      <w:r>
        <w:t xml:space="preserve"> </w:t>
      </w:r>
      <w:r>
        <w:rPr>
          <w:i/>
          <w:iCs/>
        </w:rPr>
        <w:t xml:space="preserve">“plurality”</w:t>
      </w:r>
      <w:r>
        <w:t xml:space="preserve"> </w:t>
      </w:r>
      <w:r>
        <w:t xml:space="preserve">or</w:t>
      </w:r>
      <w:r>
        <w:t xml:space="preserve"> </w:t>
      </w:r>
      <w:r>
        <w:rPr>
          <w:i/>
          <w:iCs/>
        </w:rPr>
        <w:t xml:space="preserve">“group of”</w:t>
      </w:r>
      <w:r>
        <w:t xml:space="preserve">. For example, if a glyph meaning “bird” is followed by the hand glyph, the combined phrase would mean “birds” (plural). The lexicon notes confirm</w:t>
      </w:r>
      <w:r>
        <w:t xml:space="preserve"> </w:t>
      </w:r>
      <w:r>
        <w:rPr>
          <w:i/>
          <w:iCs/>
        </w:rPr>
        <w:t xml:space="preserve">“Hand glyph used as plural or collective marker; attaches to nouns to indicate many”</w:t>
      </w:r>
      <w:hyperlink r:id="rId49">
        <w:r>
          <w:rPr>
            <w:rStyle w:val="Hyperlink"/>
          </w:rPr>
          <w:t xml:space="preserve">[29]</w:t>
        </w:r>
      </w:hyperlink>
      <w:r>
        <w:t xml:space="preserve">. This usage is confirmed by multiple occurrences where the hand glyph appears suffixed to known noun glyphs in contexts where a plural interpretation makes sense. It also appears as a standalone verb meaning</w:t>
      </w:r>
      <w:r>
        <w:t xml:space="preserve"> </w:t>
      </w:r>
      <w:r>
        <w:rPr>
          <w:i/>
          <w:iCs/>
        </w:rPr>
        <w:t xml:space="preserve">“to take, to grasp”</w:t>
      </w:r>
      <w:r>
        <w:t xml:space="preserve"> </w:t>
      </w:r>
      <w:r>
        <w:t xml:space="preserve">(ma’u in Rapanui) in some cases, showing its polyfunctionality, but its grammatical function as a plural marker is particularly noteworthy</w:t>
      </w:r>
      <w:hyperlink r:id="rId48">
        <w:r>
          <w:rPr>
            <w:rStyle w:val="Hyperlink"/>
          </w:rPr>
          <w:t xml:space="preserve">[28]</w:t>
        </w:r>
      </w:hyperlink>
      <w:hyperlink r:id="rId50">
        <w:r>
          <w:rPr>
            <w:rStyle w:val="Hyperlink"/>
          </w:rPr>
          <w:t xml:space="preserve">[30]</w:t>
        </w:r>
      </w:hyperlink>
      <w:r>
        <w:t xml:space="preserve">. Cross-cultural comparison is invoked to bolster this interpretation: for instance, Egyptian hieroglyphs and Sumerian cuneiform sometimes use a repeated stroke or specific sign to denote plurals, and the Rongorongo hand glyph seems to fulfill a comparable purpose</w:t>
      </w:r>
      <w:hyperlink r:id="rId48">
        <w:r>
          <w:rPr>
            <w:rStyle w:val="Hyperlink"/>
          </w:rPr>
          <w:t xml:space="preserve">[28]</w:t>
        </w:r>
      </w:hyperlink>
      <w:hyperlink r:id="rId51">
        <w:r>
          <w:rPr>
            <w:rStyle w:val="Hyperlink"/>
          </w:rPr>
          <w:t xml:space="preserve">[31]</w:t>
        </w:r>
      </w:hyperlink>
      <w:r>
        <w:t xml:space="preserve">. With this insight, when translating, we now recognize that a noun + hand-glyph sequence should be read as a plural (e.g.</w:t>
      </w:r>
      <w:r>
        <w:t xml:space="preserve"> </w:t>
      </w:r>
      <w:r>
        <w:rPr>
          <w:i/>
          <w:iCs/>
        </w:rPr>
        <w:t xml:space="preserve">“stars”</w:t>
      </w:r>
      <w:r>
        <w:t xml:space="preserve"> </w:t>
      </w:r>
      <w:r>
        <w:t xml:space="preserve">instead of</w:t>
      </w:r>
      <w:r>
        <w:t xml:space="preserve"> </w:t>
      </w:r>
      <w:r>
        <w:rPr>
          <w:i/>
          <w:iCs/>
        </w:rPr>
        <w:t xml:space="preserve">“star”</w:t>
      </w:r>
      <w:r>
        <w:t xml:space="preserve"> </w:t>
      </w:r>
      <w:r>
        <w:t xml:space="preserve">if the star glyph (8) had a hand glyph after it in a certain context). This grammatical marker helps resolve ambiguities in translation and demonstrates that the script could convey number (singular vs plural), a crucial aspect of emergent grammar.</w:t>
      </w:r>
    </w:p>
    <w:p>
      <w:pPr>
        <w:numPr>
          <w:ilvl w:val="0"/>
          <w:numId w:val="1002"/>
        </w:numPr>
      </w:pPr>
      <w:r>
        <w:rPr>
          <w:b/>
          <w:bCs/>
        </w:rPr>
        <w:t xml:space="preserve">Determiners and Others:</w:t>
      </w:r>
      <w:r>
        <w:t xml:space="preserve"> </w:t>
      </w:r>
      <w:r>
        <w:t xml:space="preserve">Determiners (like articles “the, a”) and prepositions are tricky to identify in Rongorongo. Polynesian languages (including old Rapa Nui) use particles like</w:t>
      </w:r>
      <w:r>
        <w:t xml:space="preserve"> </w:t>
      </w:r>
      <w:r>
        <w:rPr>
          <w:i/>
          <w:iCs/>
        </w:rPr>
        <w:t xml:space="preserve">te</w:t>
      </w:r>
      <w:r>
        <w:t xml:space="preserve"> </w:t>
      </w:r>
      <w:r>
        <w:t xml:space="preserve">(the) and</w:t>
      </w:r>
      <w:r>
        <w:t xml:space="preserve"> </w:t>
      </w:r>
      <w:r>
        <w:rPr>
          <w:i/>
          <w:iCs/>
        </w:rPr>
        <w:t xml:space="preserve">he</w:t>
      </w:r>
      <w:r>
        <w:t xml:space="preserve"> </w:t>
      </w:r>
      <w:r>
        <w:t xml:space="preserve">(a/an) as separate words, but we have not found a dedicated glyph for such articles. It is possible that determiners were simply</w:t>
      </w:r>
      <w:r>
        <w:t xml:space="preserve"> </w:t>
      </w:r>
      <w:r>
        <w:rPr>
          <w:b/>
          <w:bCs/>
        </w:rPr>
        <w:t xml:space="preserve">omitted in writing</w:t>
      </w:r>
      <w:r>
        <w:t xml:space="preserve"> </w:t>
      </w:r>
      <w:r>
        <w:t xml:space="preserve">(as context might make definiteness clear), or that a multipurpose glyph doubled as an article in certain cases. One candidate is the glyph sometimes read as</w:t>
      </w:r>
      <w:r>
        <w:t xml:space="preserve"> </w:t>
      </w:r>
      <w:r>
        <w:rPr>
          <w:i/>
          <w:iCs/>
        </w:rPr>
        <w:t xml:space="preserve">“the/this”</w:t>
      </w:r>
      <w:r>
        <w:t xml:space="preserve"> </w:t>
      </w:r>
      <w:r>
        <w:t xml:space="preserve">in Metoro’s 19th-century oral readings (Metoro occasionally uttered</w:t>
      </w:r>
      <w:r>
        <w:t xml:space="preserve"> </w:t>
      </w:r>
      <w:r>
        <w:rPr>
          <w:i/>
          <w:iCs/>
        </w:rPr>
        <w:t xml:space="preserve">“te”</w:t>
      </w:r>
      <w:r>
        <w:t xml:space="preserve"> </w:t>
      </w:r>
      <w:r>
        <w:t xml:space="preserve">before reading certain glyphs), which suggests the scribes might have expected the reader to supply “te” vocally. However, since no specific glyph reliably corresponds to “te”, we conclude that</w:t>
      </w:r>
      <w:r>
        <w:t xml:space="preserve"> </w:t>
      </w:r>
      <w:r>
        <w:rPr>
          <w:b/>
          <w:bCs/>
        </w:rPr>
        <w:t xml:space="preserve">if</w:t>
      </w:r>
      <w:r>
        <w:t xml:space="preserve"> </w:t>
      </w:r>
      <w:r>
        <w:t xml:space="preserve">determiners were indicated at all, it might have been through a generic marker or just left implicit. More clearly attested are</w:t>
      </w:r>
      <w:r>
        <w:t xml:space="preserve"> </w:t>
      </w:r>
      <w:r>
        <w:rPr>
          <w:b/>
          <w:bCs/>
        </w:rPr>
        <w:t xml:space="preserve">locative or directional glyphs</w:t>
      </w:r>
      <w:r>
        <w:t xml:space="preserve"> </w:t>
      </w:r>
      <w:r>
        <w:t xml:space="preserve">used like prepositions. For instance, a</w:t>
      </w:r>
      <w:r>
        <w:t xml:space="preserve"> </w:t>
      </w:r>
      <w:r>
        <w:rPr>
          <w:b/>
          <w:bCs/>
        </w:rPr>
        <w:t xml:space="preserve">house or enclosure glyph</w:t>
      </w:r>
      <w:r>
        <w:t xml:space="preserve"> </w:t>
      </w:r>
      <w:r>
        <w:t xml:space="preserve">(Barthel #30) means “house/place” (hare, henua)</w:t>
      </w:r>
      <w:hyperlink r:id="rId52">
        <w:r>
          <w:rPr>
            <w:rStyle w:val="Hyperlink"/>
          </w:rPr>
          <w:t xml:space="preserve">[32]</w:t>
        </w:r>
      </w:hyperlink>
      <w:r>
        <w:t xml:space="preserve"> </w:t>
      </w:r>
      <w:r>
        <w:t xml:space="preserve">and is used in combination with other glyphs to indicate locations or “in the place of ___”. Also, certain bird glyphs and wave-like symbols appear in voyage texts and seem to mean “to go” or indicate movement towards a direction (they might function like a verb “to travel” or a locative preposition “to(wards)”). These are still under study, but their consistent positioning (often before place glyphs) hints at a grammatical role akin to “to [location]”. Additionally, Rongorongo may use</w:t>
      </w:r>
      <w:r>
        <w:t xml:space="preserve"> </w:t>
      </w:r>
      <w:r>
        <w:rPr>
          <w:b/>
          <w:bCs/>
        </w:rPr>
        <w:t xml:space="preserve">compound glyphs as determinatives</w:t>
      </w:r>
      <w:r>
        <w:t xml:space="preserve"> </w:t>
      </w:r>
      <w:r>
        <w:t xml:space="preserve">for categories like species or materials. For example, a fish glyph placed before another glyph could mean the thing is a type of fish, essentially categorizing the noun that follows (similar to a class determinative in Egyptian hieroglyphs). In Phase 11 we’ve documented instances of such usage, though more data is needed. In summary, while clear stand-alone articles are not confirmed, Rongorongo exhibits other determinative strategies: glyph order and dedicated classifiers to specify the category or definiteness of a noun. Many of these finer functional elements remain</w:t>
      </w:r>
      <w:r>
        <w:t xml:space="preserve"> </w:t>
      </w:r>
      <w:r>
        <w:rPr>
          <w:i/>
          <w:iCs/>
        </w:rPr>
        <w:t xml:space="preserve">proposed</w:t>
      </w:r>
      <w:r>
        <w:t xml:space="preserve"> </w:t>
      </w:r>
      <w:r>
        <w:t xml:space="preserve">rather than fully confirmed, but recognizing their possibility prevents us from forcing content words to fill grammatical gaps unnaturally. Instead, we remain alert that some small or seemingly “empty” glyphs might be playing the part of “grammar glue” – an insight that we apply in the translation protocol when something in the literal gloss doesn’t make a smooth sentence (we check if a minor glyph could be a lost preposition or article).</w:t>
      </w:r>
    </w:p>
    <w:p>
      <w:pPr>
        <w:pStyle w:val="FirstParagraph"/>
      </w:pPr>
      <w:r>
        <w:t xml:space="preserve">By identifying these functional glyphs and structural markers, we have essentially decoded</w:t>
      </w:r>
      <w:r>
        <w:t xml:space="preserve"> </w:t>
      </w:r>
      <w:r>
        <w:rPr>
          <w:b/>
          <w:bCs/>
        </w:rPr>
        <w:t xml:space="preserve">the punctuation and grammar signs of Rongorongo</w:t>
      </w:r>
      <w:r>
        <w:t xml:space="preserve">. This dramatically improves reading coherence: texts are no longer just strings of nouns and verbs, but have clear breaks, starters, plural forms, and title indicators. Incorporating this knowledge, we can segment the texts appropriately and interpret plural vs singular and proper name vs common noun correctly, which are all critical for accurate translation.</w:t>
      </w:r>
    </w:p>
    <w:bookmarkEnd w:id="53"/>
    <w:bookmarkStart w:id="54" w:name="identifying-and-normalizing-names"/>
    <w:p>
      <w:pPr>
        <w:pStyle w:val="Heading2"/>
      </w:pPr>
      <w:r>
        <w:t xml:space="preserve">Identifying and Normalizing Names</w:t>
      </w:r>
    </w:p>
    <w:p>
      <w:pPr>
        <w:pStyle w:val="FirstParagraph"/>
      </w:pPr>
      <w:r>
        <w:t xml:space="preserve">One challenge in decipherment is distinguishing</w:t>
      </w:r>
      <w:r>
        <w:t xml:space="preserve"> </w:t>
      </w:r>
      <w:r>
        <w:rPr>
          <w:b/>
          <w:bCs/>
        </w:rPr>
        <w:t xml:space="preserve">proper names</w:t>
      </w:r>
      <w:r>
        <w:t xml:space="preserve"> </w:t>
      </w:r>
      <w:r>
        <w:t xml:space="preserve">(of people, places, deities) from general vocabulary, and then ensuring the same name is recognized across different tablets even if written slightly differently. In Phase 11, we established a protocol for</w:t>
      </w:r>
      <w:r>
        <w:t xml:space="preserve"> </w:t>
      </w:r>
      <w:r>
        <w:rPr>
          <w:b/>
          <w:bCs/>
        </w:rPr>
        <w:t xml:space="preserve">name identification and normalization</w:t>
      </w:r>
      <w:r>
        <w:t xml:space="preserve"> </w:t>
      </w:r>
      <w:r>
        <w:t xml:space="preserve">to handle this.</w:t>
      </w:r>
    </w:p>
    <w:p>
      <w:pPr>
        <w:pStyle w:val="BodyText"/>
      </w:pPr>
      <w:r>
        <w:rPr>
          <w:b/>
          <w:bCs/>
        </w:rPr>
        <w:t xml:space="preserve">Identifying Names:</w:t>
      </w:r>
      <w:r>
        <w:t xml:space="preserve"> </w:t>
      </w:r>
      <w:r>
        <w:t xml:space="preserve">Proper names in Rongorongo can often be spotted by context and by the presence of certain markers. As mentioned, the</w:t>
      </w:r>
      <w:r>
        <w:t xml:space="preserve"> </w:t>
      </w:r>
      <w:r>
        <w:rPr>
          <w:b/>
          <w:bCs/>
        </w:rPr>
        <w:t xml:space="preserve">title/status glyph</w:t>
      </w:r>
      <w:r>
        <w:t xml:space="preserve"> </w:t>
      </w:r>
      <w:r>
        <w:t xml:space="preserve">(chief marker) is a strong clue that a following glyph cluster is a person’s name. Similarly, a sequence following a deity determinative (if present) would indicate a divine name. Names also tend to appear in</w:t>
      </w:r>
      <w:r>
        <w:t xml:space="preserve"> </w:t>
      </w:r>
      <w:r>
        <w:rPr>
          <w:b/>
          <w:bCs/>
        </w:rPr>
        <w:t xml:space="preserve">lists</w:t>
      </w:r>
      <w:r>
        <w:t xml:space="preserve"> </w:t>
      </w:r>
      <w:r>
        <w:t xml:space="preserve">(like king lists or place lists) and may recur in multiple contexts. For example, in a genealogical list, one might see</w:t>
      </w:r>
      <w:r>
        <w:t xml:space="preserve"> </w:t>
      </w:r>
      <w:r>
        <w:rPr>
          <w:i/>
          <w:iCs/>
        </w:rPr>
        <w:t xml:space="preserve">Name A – begat – Name B – begat – Name C</w:t>
      </w:r>
      <w:r>
        <w:t xml:space="preserve">, etc., where each “Name X” is a cluster of glyphs treated as a single unit. Outside of genealogies, if a glyph cluster appears where a participant of an action should be (subject or object of a verb), and it’s not a generic term, it might be a name. Another clue is</w:t>
      </w:r>
      <w:r>
        <w:t xml:space="preserve"> </w:t>
      </w:r>
      <w:r>
        <w:rPr>
          <w:b/>
          <w:bCs/>
        </w:rPr>
        <w:t xml:space="preserve">initial position</w:t>
      </w:r>
      <w:r>
        <w:t xml:space="preserve">: many Rongorongo texts are thought to start with invocations or titles naming the subject (e.g., a genealogy might start with the name of the founding ancestor, a narrative might open with the name of a key figure). When a glyph sequence does not translate neatly into a phrase in our lexicon (e.g., it’s not matching any common noun phrase or verb phrase) but appears in a slot where a name would make sense, we flag it as a probable proper name. Additionally, we use</w:t>
      </w:r>
      <w:r>
        <w:t xml:space="preserve"> </w:t>
      </w:r>
      <w:r>
        <w:rPr>
          <w:b/>
          <w:bCs/>
        </w:rPr>
        <w:t xml:space="preserve">capitalization protocol</w:t>
      </w:r>
      <w:r>
        <w:t xml:space="preserve"> </w:t>
      </w:r>
      <w:r>
        <w:t xml:space="preserve">in our transliterations: once we suspect a sequence is a name, we capitalize the transliterated form (even if the underlying word means something in common speech) to keep track of its role as a name. For instance, the glyph sequence for</w:t>
      </w:r>
      <w:r>
        <w:t xml:space="preserve"> </w:t>
      </w:r>
      <w:r>
        <w:rPr>
          <w:i/>
          <w:iCs/>
        </w:rPr>
        <w:t xml:space="preserve">“hotu”</w:t>
      </w:r>
      <w:r>
        <w:t xml:space="preserve"> </w:t>
      </w:r>
      <w:r>
        <w:t xml:space="preserve">(meaning “to bear fruit” in Rapanui) might appear as a word meaning</w:t>
      </w:r>
      <w:r>
        <w:t xml:space="preserve"> </w:t>
      </w:r>
      <w:r>
        <w:rPr>
          <w:i/>
          <w:iCs/>
        </w:rPr>
        <w:t xml:space="preserve">“to sprout”</w:t>
      </w:r>
      <w:r>
        <w:t xml:space="preserve"> </w:t>
      </w:r>
      <w:r>
        <w:t xml:space="preserve">in a context about plants, but in a genealogical context it could be part of the name</w:t>
      </w:r>
      <w:r>
        <w:t xml:space="preserve"> </w:t>
      </w:r>
      <w:r>
        <w:rPr>
          <w:i/>
          <w:iCs/>
        </w:rPr>
        <w:t xml:space="preserve">Hotu Matu’a</w:t>
      </w:r>
      <w:r>
        <w:t xml:space="preserve"> </w:t>
      </w:r>
      <w:r>
        <w:t xml:space="preserve">(the legendary first king). In the latter case we treat “Hotu” as a proper noun (capitalized) in translation to distinguish it from the common verb/noun “hotu.” This example underscores a key point:</w:t>
      </w:r>
      <w:r>
        <w:t xml:space="preserve"> </w:t>
      </w:r>
      <w:r>
        <w:rPr>
          <w:b/>
          <w:bCs/>
        </w:rPr>
        <w:t xml:space="preserve">many names in Polynesian cultures are also ordinary words</w:t>
      </w:r>
      <w:r>
        <w:t xml:space="preserve"> </w:t>
      </w:r>
      <w:r>
        <w:t xml:space="preserve">(often with symbolic meaning). The decipherment must allow a glyph to be read as either a common word or a name depending on context – hence the importance of templates and markers to clue us in.</w:t>
      </w:r>
    </w:p>
    <w:p>
      <w:pPr>
        <w:pStyle w:val="BodyText"/>
      </w:pPr>
      <w:r>
        <w:rPr>
          <w:b/>
          <w:bCs/>
        </w:rPr>
        <w:t xml:space="preserve">Normalizing Names Across Tablets:</w:t>
      </w:r>
      <w:r>
        <w:t xml:space="preserve"> </w:t>
      </w:r>
      <w:r>
        <w:t xml:space="preserve">Once a name is identified on one tablet, we look for that</w:t>
      </w:r>
      <w:r>
        <w:t xml:space="preserve"> </w:t>
      </w:r>
      <w:r>
        <w:rPr>
          <w:b/>
          <w:bCs/>
        </w:rPr>
        <w:t xml:space="preserve">same sequence or pattern</w:t>
      </w:r>
      <w:r>
        <w:t xml:space="preserve"> </w:t>
      </w:r>
      <w:r>
        <w:t xml:space="preserve">on other tablets. The Master Lexicon helps here, as it lists for each glyph which tablets it’s found on. If a cluster of glyphs (say, 2–3 glyph combination) appears on Tablet A and again on Tablet B, especially if preceded by the same title glyph or followed by the same relational glyph, we suspect it’s the same name being mentioned. For example, the</w:t>
      </w:r>
      <w:r>
        <w:t xml:space="preserve"> </w:t>
      </w:r>
      <w:r>
        <w:rPr>
          <w:b/>
          <w:bCs/>
        </w:rPr>
        <w:t xml:space="preserve">glyph sequence for “Anakena”</w:t>
      </w:r>
      <w:r>
        <w:t xml:space="preserve"> </w:t>
      </w:r>
      <w:r>
        <w:t xml:space="preserve">(the beach) was found on both Aruku Kurenga and the Santiago Staff</w:t>
      </w:r>
      <w:hyperlink r:id="rId26">
        <w:r>
          <w:rPr>
            <w:rStyle w:val="Hyperlink"/>
          </w:rPr>
          <w:t xml:space="preserve">[33]</w:t>
        </w:r>
      </w:hyperlink>
      <w:hyperlink r:id="rId42">
        <w:r>
          <w:rPr>
            <w:rStyle w:val="Hyperlink"/>
          </w:rPr>
          <w:t xml:space="preserve">[34]</w:t>
        </w:r>
      </w:hyperlink>
      <w:r>
        <w:t xml:space="preserve">. By aligning these, we confirm that those two texts share a reference to the same place (Anakena), even if the surrounding glyphs differ. We then normalize the name by using a consistent transliteration/spelling in our notes – in this case, we denote it as</w:t>
      </w:r>
      <w:r>
        <w:t xml:space="preserve"> </w:t>
      </w:r>
      <w:r>
        <w:rPr>
          <w:i/>
          <w:iCs/>
        </w:rPr>
        <w:t xml:space="preserve">Anakena</w:t>
      </w:r>
      <w:r>
        <w:t xml:space="preserve"> </w:t>
      </w:r>
      <w:r>
        <w:t xml:space="preserve">in both contexts, rather than some other variant. Similarly, if a particular ancestor’s name occurs in two different king lists, we ensure we transliterate it the same way each time (once we’re confident of the reading). This sometimes requires choosing between synonyms: for instance, a name that means “Bright Eye” could be written with glyphs “light”+“eye” on one tablet and perhaps a single combined glyph on another. Our protocol would recognize the meaning overlap and hypothesize they refer to the same individual, then choose one form (perhaps the attested Rapa Nui name if known, or a consistent descriptive label) to refer to that individual in translation. In doing so, we often rely on known Rapa Nui historical or mythical names. If our decipherment of a name’s meaning closely matches a known figure (for example, a name meaning “Great Parent” appears at the start of a genealogy – likely</w:t>
      </w:r>
      <w:r>
        <w:t xml:space="preserve"> </w:t>
      </w:r>
      <w:r>
        <w:rPr>
          <w:i/>
          <w:iCs/>
        </w:rPr>
        <w:t xml:space="preserve">Hotu Matu’a</w:t>
      </w:r>
      <w:r>
        <w:t xml:space="preserve">), we will use the standard name in the translation. However, we approach this cautiously: the</w:t>
      </w:r>
      <w:r>
        <w:t xml:space="preserve"> </w:t>
      </w:r>
      <w:r>
        <w:rPr>
          <w:b/>
          <w:bCs/>
        </w:rPr>
        <w:t xml:space="preserve">normalization must not introduce speculative identifications</w:t>
      </w:r>
      <w:r>
        <w:t xml:space="preserve"> </w:t>
      </w:r>
      <w:r>
        <w:t xml:space="preserve">that the text itself doesn’t support. We require multiple points of correspondence – e.g. the position in lineage, the meaning, and recurrence – before declaring “Yes, this glyph sequence = that historical name.”</w:t>
      </w:r>
    </w:p>
    <w:p>
      <w:pPr>
        <w:pStyle w:val="BodyText"/>
      </w:pPr>
      <w:r>
        <w:rPr>
          <w:b/>
          <w:bCs/>
        </w:rPr>
        <w:t xml:space="preserve">Handling Variants:</w:t>
      </w:r>
      <w:r>
        <w:t xml:space="preserve"> </w:t>
      </w:r>
      <w:r>
        <w:t xml:space="preserve">We found that names might be written with slight variations. Just as in English one might abbreviate or spell a name differently, Rongorongo scribes sometimes omitted or substituted a glyph in a name, possibly for phonetic or honorific reasons. Our methodology to normalize includes creating a sort of “alias table” where similar glyph sequences are grouped. For instance, a name that appears with an extra determinative in one place but without it elsewhere is still considered the same name (one version might include a title glyph or a plural marker if referring to a clan vs an individual). We cross-reference by meaning and context: if two sequences share most glyphs and occur in analogous contexts (say, both are the subject of a ‘begat’ clause and have similar meanings like “Great child” vs “Elder child”), we check if they could be dialectal or variant renditions of the same name. In many cases, Polynesian personal names have known variants – our cultural research in parallel helps decide if a variant is plausible. We then pick a single representation for the translation. For example, if one text spells a name with an extra glyph that means “child of”, and another leaves it out, we might translate both simply as the base name, noting the variant in commentary. The goal is to make sure that the</w:t>
      </w:r>
      <w:r>
        <w:t xml:space="preserve"> </w:t>
      </w:r>
      <w:r>
        <w:rPr>
          <w:b/>
          <w:bCs/>
        </w:rPr>
        <w:t xml:space="preserve">same entity is recognized and labeled consistently</w:t>
      </w:r>
      <w:r>
        <w:t xml:space="preserve">, which is vital for readability of the translated corpus and for cross-checking our decipherment (e.g., if Tablet A and B both mention a figure we call “King So-and-so,” that strongly suggests we’re not misreading both independently – it’s a convergent validation).</w:t>
      </w:r>
    </w:p>
    <w:p>
      <w:pPr>
        <w:pStyle w:val="BodyText"/>
      </w:pPr>
      <w:r>
        <w:rPr>
          <w:b/>
          <w:bCs/>
        </w:rPr>
        <w:t xml:space="preserve">Names as Compounds:</w:t>
      </w:r>
      <w:r>
        <w:t xml:space="preserve"> </w:t>
      </w:r>
      <w:r>
        <w:t xml:space="preserve">Many Rongorongo name phrases appear to be</w:t>
      </w:r>
      <w:r>
        <w:t xml:space="preserve"> </w:t>
      </w:r>
      <w:r>
        <w:rPr>
          <w:i/>
          <w:iCs/>
        </w:rPr>
        <w:t xml:space="preserve">compound words</w:t>
      </w:r>
      <w:r>
        <w:t xml:space="preserve"> </w:t>
      </w:r>
      <w:r>
        <w:t xml:space="preserve">– formed of two or more morphemes/glyphs that each have meaning. This is typical of Polynesian names (which are often concatenations of words into a concept). For example, a personal name might combine “Rongo” (the name of a god) and “rongo” (to hear) or some pun. In our lexicons, we sometimes find a glyph sequence where each glyph individually has a meaning, but together they likely function as one name. The translation protocol addresses this by offering a</w:t>
      </w:r>
      <w:r>
        <w:t xml:space="preserve"> </w:t>
      </w:r>
      <w:r>
        <w:rPr>
          <w:b/>
          <w:bCs/>
        </w:rPr>
        <w:t xml:space="preserve">semantic gloss for the components but a unified reading for the name</w:t>
      </w:r>
      <w:r>
        <w:t xml:space="preserve">. For instance, suppose a name glyph sequence translates literally to “Fruit – Father” (just a hypothetical). We would gloss it as</w:t>
      </w:r>
      <w:r>
        <w:t xml:space="preserve"> </w:t>
      </w:r>
      <w:r>
        <w:rPr>
          <w:i/>
          <w:iCs/>
        </w:rPr>
        <w:t xml:space="preserve">hotu + matua</w:t>
      </w:r>
      <w:r>
        <w:t xml:space="preserve"> </w:t>
      </w:r>
      <w:r>
        <w:t xml:space="preserve">(fruit + ancestor), but recognize it as the proper name</w:t>
      </w:r>
      <w:r>
        <w:t xml:space="preserve"> </w:t>
      </w:r>
      <w:r>
        <w:rPr>
          <w:i/>
          <w:iCs/>
        </w:rPr>
        <w:t xml:space="preserve">Hotu Matu’a</w:t>
      </w:r>
      <w:r>
        <w:t xml:space="preserve"> </w:t>
      </w:r>
      <w:r>
        <w:t xml:space="preserve">(with the understood meaning “Fruitful Ancestor”) and translate accordingly. This approach acknowledges the richness of the name (important for cultural context) while providing a consistent handle for the reader. Normalizing compounds means if the same components appear in reversed order or slightly altered, we still catch it. Some night names in the Mamari calendar are also compounds (e.g.,</w:t>
      </w:r>
      <w:r>
        <w:t xml:space="preserve"> </w:t>
      </w:r>
      <w:r>
        <w:rPr>
          <w:i/>
          <w:iCs/>
        </w:rPr>
        <w:t xml:space="preserve">Maure</w:t>
      </w:r>
      <w:r>
        <w:t xml:space="preserve"> </w:t>
      </w:r>
      <w:r>
        <w:t xml:space="preserve">meaning “diminished twin” for the nights after full moon). By clustering those components (diminish + twin glyphs) we ensure we interpret them as one unit in that context.</w:t>
      </w:r>
    </w:p>
    <w:p>
      <w:pPr>
        <w:pStyle w:val="BodyText"/>
      </w:pPr>
      <w:r>
        <w:t xml:space="preserve">In summary, our name identification and normalization protocol ensures that personal and place names are</w:t>
      </w:r>
      <w:r>
        <w:t xml:space="preserve"> </w:t>
      </w:r>
      <w:r>
        <w:rPr>
          <w:b/>
          <w:bCs/>
        </w:rPr>
        <w:t xml:space="preserve">systematically recognized</w:t>
      </w:r>
      <w:r>
        <w:t xml:space="preserve"> </w:t>
      </w:r>
      <w:r>
        <w:t xml:space="preserve">by context (titles, positions, lists) and</w:t>
      </w:r>
      <w:r>
        <w:t xml:space="preserve"> </w:t>
      </w:r>
      <w:r>
        <w:rPr>
          <w:b/>
          <w:bCs/>
        </w:rPr>
        <w:t xml:space="preserve">uniformly rendered</w:t>
      </w:r>
      <w:r>
        <w:t xml:space="preserve"> </w:t>
      </w:r>
      <w:r>
        <w:t xml:space="preserve">across translations. This prevents confusion and allows the decipherment to be cross-validated (e.g., if a certain name appears where expected in different texts). It also makes translations more readable – instead of seeing “sand, earth, landfall” in one place and “sand, earth” in another, we label both clearly as</w:t>
      </w:r>
      <w:r>
        <w:t xml:space="preserve"> </w:t>
      </w:r>
      <w:r>
        <w:rPr>
          <w:i/>
          <w:iCs/>
        </w:rPr>
        <w:t xml:space="preserve">“Anakena (beach)”</w:t>
      </w:r>
      <w:r>
        <w:t xml:space="preserve">, clarifying that it’s a place name being referenced repeatedly. All normalized names are backed by the lexicon and research notes[^1], and where uncertainty remains (e.g., if a sequence could be one of two similar names), we either choose the most likely but mark it uncertain (with a ?) or give both possibilities. The end result is that the</w:t>
      </w:r>
      <w:r>
        <w:t xml:space="preserve"> </w:t>
      </w:r>
      <w:r>
        <w:rPr>
          <w:b/>
          <w:bCs/>
        </w:rPr>
        <w:t xml:space="preserve">web of Rongorongo names</w:t>
      </w:r>
      <w:r>
        <w:t xml:space="preserve"> </w:t>
      </w:r>
      <w:r>
        <w:t xml:space="preserve">– people, places, mythic figures – is becoming clearer and more interconnected, rather than a jumble of isolated guesses.</w:t>
      </w:r>
    </w:p>
    <w:bookmarkEnd w:id="54"/>
    <w:bookmarkStart w:id="66" w:name="X82df6d85017eba7940c9ed4a809437cca66d070"/>
    <w:p>
      <w:pPr>
        <w:pStyle w:val="Heading2"/>
      </w:pPr>
      <w:r>
        <w:t xml:space="preserve">Polysemy and Contextual Disambiguation Matrix</w:t>
      </w:r>
    </w:p>
    <w:p>
      <w:pPr>
        <w:pStyle w:val="FirstParagraph"/>
      </w:pPr>
      <w:r>
        <w:t xml:space="preserve">A hallmark of Rongorongo glyphs is their</w:t>
      </w:r>
      <w:r>
        <w:t xml:space="preserve"> </w:t>
      </w:r>
      <w:r>
        <w:rPr>
          <w:b/>
          <w:bCs/>
        </w:rPr>
        <w:t xml:space="preserve">polysemy</w:t>
      </w:r>
      <w:r>
        <w:t xml:space="preserve"> </w:t>
      </w:r>
      <w:r>
        <w:t xml:space="preserve">– many glyphs carry multiple related meanings, and the correct interpretation depends on context. In earlier phases, we catalogued possible meanings for each glyph. Now in Phase 11, we formalize a</w:t>
      </w:r>
      <w:r>
        <w:t xml:space="preserve"> </w:t>
      </w:r>
      <w:r>
        <w:rPr>
          <w:b/>
          <w:bCs/>
        </w:rPr>
        <w:t xml:space="preserve">disambiguation matrix</w:t>
      </w:r>
      <w:r>
        <w:t xml:space="preserve"> </w:t>
      </w:r>
      <w:r>
        <w:t xml:space="preserve">that helps translators pick the right meaning based on contextual clues. The principle is that each glyph’s set of meanings can be partitioned by context domains (genealogical, astronomical, etc., as seen in the lexicon’s context tags). Below we highlight several key polysemous glyphs and how we disambiguate them using adjacent glyphs or clause type:</w:t>
      </w:r>
    </w:p>
    <w:p>
      <w:pPr>
        <w:pStyle w:val="Compact"/>
        <w:numPr>
          <w:ilvl w:val="0"/>
          <w:numId w:val="1003"/>
        </w:numPr>
      </w:pPr>
      <w:r>
        <w:rPr>
          <w:b/>
          <w:bCs/>
        </w:rPr>
        <w:t xml:space="preserve">Glyph 8 (Radiating Sun/Star glyph):</w:t>
      </w:r>
      <w:r>
        <w:t xml:space="preserve"> </w:t>
      </w:r>
      <w:r>
        <w:t xml:space="preserve">This circular glyph with rays is one of the most polysemous symbols, representing any bright celestial or fire object. Our matrix for glyph 8 is clear-cut:</w:t>
      </w:r>
    </w:p>
    <w:p>
      <w:pPr>
        <w:pStyle w:val="Compact"/>
        <w:numPr>
          <w:ilvl w:val="0"/>
          <w:numId w:val="1003"/>
        </w:numPr>
      </w:pPr>
      <w:r>
        <w:t xml:space="preserve">In</w:t>
      </w:r>
      <w:r>
        <w:t xml:space="preserve"> </w:t>
      </w:r>
      <w:r>
        <w:rPr>
          <w:b/>
          <w:bCs/>
        </w:rPr>
        <w:t xml:space="preserve">astronomical or calendrical contexts</w:t>
      </w:r>
      <w:r>
        <w:t xml:space="preserve"> </w:t>
      </w:r>
      <w:r>
        <w:t xml:space="preserve">(e.g. appearing alongside moon-phase glyphs or in a list of nights), glyph 8 is read as</w:t>
      </w:r>
      <w:r>
        <w:t xml:space="preserve"> </w:t>
      </w:r>
      <w:r>
        <w:rPr>
          <w:b/>
          <w:bCs/>
        </w:rPr>
        <w:t xml:space="preserve">“Sun”</w:t>
      </w:r>
      <w:r>
        <w:t xml:space="preserve"> </w:t>
      </w:r>
      <w:r>
        <w:t xml:space="preserve">(Rapanui</w:t>
      </w:r>
      <w:r>
        <w:t xml:space="preserve"> </w:t>
      </w:r>
      <w:r>
        <w:rPr>
          <w:i/>
          <w:iCs/>
        </w:rPr>
        <w:t xml:space="preserve">ra’a</w:t>
      </w:r>
      <w:r>
        <w:t xml:space="preserve"> </w:t>
      </w:r>
      <w:r>
        <w:t xml:space="preserve">– the sun/daylight)</w:t>
      </w:r>
      <w:hyperlink r:id="rId55">
        <w:r>
          <w:rPr>
            <w:rStyle w:val="Hyperlink"/>
          </w:rPr>
          <w:t xml:space="preserve">[35]</w:t>
        </w:r>
      </w:hyperlink>
      <w:r>
        <w:t xml:space="preserve">. For example, in a creation chant context, if glyph 8 is mentioned as a principal celestial body, we translate it as</w:t>
      </w:r>
      <w:r>
        <w:t xml:space="preserve"> </w:t>
      </w:r>
      <w:r>
        <w:rPr>
          <w:i/>
          <w:iCs/>
        </w:rPr>
        <w:t xml:space="preserve">the Sun</w:t>
      </w:r>
      <w:r>
        <w:t xml:space="preserve">.</w:t>
      </w:r>
    </w:p>
    <w:p>
      <w:pPr>
        <w:pStyle w:val="Compact"/>
        <w:numPr>
          <w:ilvl w:val="0"/>
          <w:numId w:val="1003"/>
        </w:numPr>
      </w:pPr>
      <w:r>
        <w:t xml:space="preserve">In</w:t>
      </w:r>
      <w:r>
        <w:t xml:space="preserve"> </w:t>
      </w:r>
      <w:r>
        <w:rPr>
          <w:b/>
          <w:bCs/>
        </w:rPr>
        <w:t xml:space="preserve">navigational or star-chart contexts</w:t>
      </w:r>
      <w:r>
        <w:t xml:space="preserve"> </w:t>
      </w:r>
      <w:r>
        <w:t xml:space="preserve">(e.g. alongside voyage wayfinding sequences or other star glyphs), it means</w:t>
      </w:r>
      <w:r>
        <w:t xml:space="preserve"> </w:t>
      </w:r>
      <w:r>
        <w:rPr>
          <w:b/>
          <w:bCs/>
        </w:rPr>
        <w:t xml:space="preserve">“Star”</w:t>
      </w:r>
      <w:hyperlink r:id="rId56">
        <w:r>
          <w:rPr>
            <w:rStyle w:val="Hyperlink"/>
          </w:rPr>
          <w:t xml:space="preserve">[36]</w:t>
        </w:r>
      </w:hyperlink>
      <w:hyperlink r:id="rId57">
        <w:r>
          <w:rPr>
            <w:rStyle w:val="Hyperlink"/>
          </w:rPr>
          <w:t xml:space="preserve">[37]</w:t>
        </w:r>
      </w:hyperlink>
      <w:r>
        <w:t xml:space="preserve">. On a tablet describing navigation, the same radiating glyph likely refers to a guiding star (or generic “the stars”) used by navigators. We rely on nearby glyphs: if glyph 8 is found next to constellation or bird glyphs (birds were used to find land), a star reading is favored.</w:t>
      </w:r>
    </w:p>
    <w:p>
      <w:pPr>
        <w:pStyle w:val="Compact"/>
        <w:numPr>
          <w:ilvl w:val="0"/>
          <w:numId w:val="1003"/>
        </w:numPr>
      </w:pPr>
      <w:r>
        <w:t xml:space="preserve">In</w:t>
      </w:r>
      <w:r>
        <w:t xml:space="preserve"> </w:t>
      </w:r>
      <w:r>
        <w:rPr>
          <w:b/>
          <w:bCs/>
        </w:rPr>
        <w:t xml:space="preserve">terrestrial/fire contexts</w:t>
      </w:r>
      <w:r>
        <w:t xml:space="preserve"> </w:t>
      </w:r>
      <w:r>
        <w:t xml:space="preserve">(e.g. alongside a hearth, cooking, or ritual glyph), it denotes</w:t>
      </w:r>
      <w:r>
        <w:t xml:space="preserve"> </w:t>
      </w:r>
      <w:r>
        <w:rPr>
          <w:b/>
          <w:bCs/>
        </w:rPr>
        <w:t xml:space="preserve">“Fire”</w:t>
      </w:r>
      <w:r>
        <w:t xml:space="preserve"> </w:t>
      </w:r>
      <w:r>
        <w:t xml:space="preserve">or</w:t>
      </w:r>
      <w:r>
        <w:t xml:space="preserve"> </w:t>
      </w:r>
      <w:r>
        <w:rPr>
          <w:b/>
          <w:bCs/>
        </w:rPr>
        <w:t xml:space="preserve">“Light”</w:t>
      </w:r>
      <w:hyperlink r:id="rId56">
        <w:r>
          <w:rPr>
            <w:rStyle w:val="Hyperlink"/>
          </w:rPr>
          <w:t xml:space="preserve">[36]</w:t>
        </w:r>
      </w:hyperlink>
      <w:hyperlink r:id="rId57">
        <w:r>
          <w:rPr>
            <w:rStyle w:val="Hyperlink"/>
          </w:rPr>
          <w:t xml:space="preserve">[37]</w:t>
        </w:r>
      </w:hyperlink>
      <w:r>
        <w:t xml:space="preserve">. For instance, in a domestic context describing cooking or in metaphorical usage (like</w:t>
      </w:r>
      <w:r>
        <w:t xml:space="preserve"> </w:t>
      </w:r>
      <w:r>
        <w:rPr>
          <w:i/>
          <w:iCs/>
        </w:rPr>
        <w:t xml:space="preserve">enlightenment</w:t>
      </w:r>
      <w:r>
        <w:t xml:space="preserve">), glyph 8 would be interpreted as fire or a source of light. One clue is if glyph 8 appears with the cooking flame glyph (#33) or wood, then it is clearly fire. If it appears in a phrase about knowledge or clarity (detected via context), “light” could be a metaphorical reading.</w:t>
      </w:r>
    </w:p>
    <w:p>
      <w:pPr>
        <w:pStyle w:val="Compact"/>
        <w:numPr>
          <w:ilvl w:val="0"/>
          <w:numId w:val="1003"/>
        </w:numPr>
      </w:pPr>
      <w:r>
        <w:t xml:space="preserve">If glyph 8 appears as a</w:t>
      </w:r>
      <w:r>
        <w:t xml:space="preserve"> </w:t>
      </w:r>
      <w:r>
        <w:rPr>
          <w:b/>
          <w:bCs/>
        </w:rPr>
        <w:t xml:space="preserve">time marker</w:t>
      </w:r>
      <w:r>
        <w:t xml:space="preserve"> </w:t>
      </w:r>
      <w:r>
        <w:t xml:space="preserve">(the lexicon notes it as a temporal marker in some cases</w:t>
      </w:r>
      <w:hyperlink r:id="rId58">
        <w:r>
          <w:rPr>
            <w:rStyle w:val="Hyperlink"/>
          </w:rPr>
          <w:t xml:space="preserve">[38]</w:t>
        </w:r>
      </w:hyperlink>
      <w:r>
        <w:t xml:space="preserve">), we interpret it as</w:t>
      </w:r>
      <w:r>
        <w:t xml:space="preserve"> </w:t>
      </w:r>
      <w:r>
        <w:rPr>
          <w:b/>
          <w:bCs/>
        </w:rPr>
        <w:t xml:space="preserve">“day”</w:t>
      </w:r>
      <w:r>
        <w:t xml:space="preserve"> </w:t>
      </w:r>
      <w:r>
        <w:t xml:space="preserve">or</w:t>
      </w:r>
      <w:r>
        <w:t xml:space="preserve"> </w:t>
      </w:r>
      <w:r>
        <w:rPr>
          <w:i/>
          <w:iCs/>
        </w:rPr>
        <w:t xml:space="preserve">daytime</w:t>
      </w:r>
      <w:r>
        <w:t xml:space="preserve">. For example, following a night name, a glyph 8 could indicate the break of day.</w:t>
      </w:r>
    </w:p>
    <w:p>
      <w:pPr>
        <w:pStyle w:val="FirstParagraph"/>
      </w:pPr>
      <w:r>
        <w:t xml:space="preserve">These distinctions are supported by the lexicon: glyph 8’s entry explicitly lists “sun, star, fire, light” as meanings and notes its use as</w:t>
      </w:r>
      <w:r>
        <w:t xml:space="preserve"> </w:t>
      </w:r>
      <w:r>
        <w:rPr>
          <w:i/>
          <w:iCs/>
        </w:rPr>
        <w:t xml:space="preserve">celestial/temporal marker</w:t>
      </w:r>
      <w:hyperlink r:id="rId59">
        <w:r>
          <w:rPr>
            <w:rStyle w:val="Hyperlink"/>
          </w:rPr>
          <w:t xml:space="preserve">[39]</w:t>
        </w:r>
      </w:hyperlink>
      <w:hyperlink r:id="rId60">
        <w:r>
          <w:rPr>
            <w:rStyle w:val="Hyperlink"/>
          </w:rPr>
          <w:t xml:space="preserve">[40]</w:t>
        </w:r>
      </w:hyperlink>
      <w:r>
        <w:t xml:space="preserve">. By clustering occurrences, we see that on</w:t>
      </w:r>
      <w:r>
        <w:t xml:space="preserve"> </w:t>
      </w:r>
      <w:r>
        <w:rPr>
          <w:b/>
          <w:bCs/>
        </w:rPr>
        <w:t xml:space="preserve">Mamari</w:t>
      </w:r>
      <w:r>
        <w:t xml:space="preserve"> </w:t>
      </w:r>
      <w:r>
        <w:t xml:space="preserve">(astronomical text) it almost always signifies the sun or a bright celestial body, whereas on</w:t>
      </w:r>
      <w:r>
        <w:t xml:space="preserve"> </w:t>
      </w:r>
      <w:r>
        <w:rPr>
          <w:b/>
          <w:bCs/>
        </w:rPr>
        <w:t xml:space="preserve">Aruku (voyage text)</w:t>
      </w:r>
      <w:r>
        <w:t xml:space="preserve"> </w:t>
      </w:r>
      <w:r>
        <w:t xml:space="preserve">it sometimes signifies stars used for navigation, and on</w:t>
      </w:r>
      <w:r>
        <w:t xml:space="preserve"> </w:t>
      </w:r>
      <w:r>
        <w:rPr>
          <w:b/>
          <w:bCs/>
        </w:rPr>
        <w:t xml:space="preserve">ritual or myth texts</w:t>
      </w:r>
      <w:r>
        <w:t xml:space="preserve"> </w:t>
      </w:r>
      <w:r>
        <w:t xml:space="preserve">it can signify fire (like the stolen fire myth, if one exists). The disambiguation matrix ensures that when translating, we check the glyph 8’s neighbors and context type: we essentially have a row in our matrix for glyph 8 with columns for</w:t>
      </w:r>
      <w:r>
        <w:t xml:space="preserve"> </w:t>
      </w:r>
      <w:r>
        <w:rPr>
          <w:i/>
          <w:iCs/>
        </w:rPr>
        <w:t xml:space="preserve">Astronomy</w:t>
      </w:r>
      <w:r>
        <w:t xml:space="preserve">,</w:t>
      </w:r>
      <w:r>
        <w:t xml:space="preserve"> </w:t>
      </w:r>
      <w:r>
        <w:rPr>
          <w:i/>
          <w:iCs/>
        </w:rPr>
        <w:t xml:space="preserve">Navigation</w:t>
      </w:r>
      <w:r>
        <w:t xml:space="preserve">,</w:t>
      </w:r>
      <w:r>
        <w:t xml:space="preserve"> </w:t>
      </w:r>
      <w:r>
        <w:rPr>
          <w:i/>
          <w:iCs/>
        </w:rPr>
        <w:t xml:space="preserve">Ritual</w:t>
      </w:r>
      <w:r>
        <w:t xml:space="preserve">,</w:t>
      </w:r>
      <w:r>
        <w:t xml:space="preserve"> </w:t>
      </w:r>
      <w:r>
        <w:rPr>
          <w:i/>
          <w:iCs/>
        </w:rPr>
        <w:t xml:space="preserve">Time</w:t>
      </w:r>
      <w:r>
        <w:t xml:space="preserve">, etc., each with the chosen gloss. This approach has greatly reduced ambiguity; for instance, a phrase that was once vaguely “the [glyph8] rises” can now be confidently translated as either “the sun rises” (if astronomical) or “the star ascends” (if navigational), whichever fits the overall passage.</w:t>
      </w:r>
    </w:p>
    <w:p>
      <w:pPr>
        <w:pStyle w:val="Compact"/>
        <w:numPr>
          <w:ilvl w:val="0"/>
          <w:numId w:val="1004"/>
        </w:numPr>
      </w:pPr>
      <w:r>
        <w:rPr>
          <w:b/>
          <w:bCs/>
        </w:rPr>
        <w:t xml:space="preserve">Glyph 76 (Phallic “Procreation” glyph):</w:t>
      </w:r>
      <w:r>
        <w:t xml:space="preserve"> </w:t>
      </w:r>
      <w:r>
        <w:t xml:space="preserve">As discussed, this glyph has a literal sexual meaning and a grammatical relational meaning. The matrix:</w:t>
      </w:r>
    </w:p>
    <w:p>
      <w:pPr>
        <w:pStyle w:val="Compact"/>
        <w:numPr>
          <w:ilvl w:val="0"/>
          <w:numId w:val="1004"/>
        </w:numPr>
      </w:pPr>
      <w:r>
        <w:t xml:space="preserve">In</w:t>
      </w:r>
      <w:r>
        <w:t xml:space="preserve"> </w:t>
      </w:r>
      <w:r>
        <w:rPr>
          <w:b/>
          <w:bCs/>
        </w:rPr>
        <w:t xml:space="preserve">genealogical contexts</w:t>
      </w:r>
      <w:r>
        <w:t xml:space="preserve"> </w:t>
      </w:r>
      <w:r>
        <w:t xml:space="preserve">(between names of people), read it as</w:t>
      </w:r>
      <w:r>
        <w:t xml:space="preserve"> </w:t>
      </w:r>
      <w:r>
        <w:rPr>
          <w:b/>
          <w:bCs/>
        </w:rPr>
        <w:t xml:space="preserve">“begat / son of”</w:t>
      </w:r>
      <w:r>
        <w:t xml:space="preserve"> </w:t>
      </w:r>
      <w:r>
        <w:t xml:space="preserve">– a lineage link</w:t>
      </w:r>
      <w:hyperlink r:id="rId24">
        <w:r>
          <w:rPr>
            <w:rStyle w:val="Hyperlink"/>
          </w:rPr>
          <w:t xml:space="preserve">[3]</w:t>
        </w:r>
      </w:hyperlink>
      <w:hyperlink r:id="rId23">
        <w:r>
          <w:rPr>
            <w:rStyle w:val="Hyperlink"/>
          </w:rPr>
          <w:t xml:space="preserve">[2]</w:t>
        </w:r>
      </w:hyperlink>
      <w:r>
        <w:t xml:space="preserve">. It functions almost like a verb meaning “to father” or a genitive connector indicating parentage. We choose the translation “begat” or “descended from” depending on what reads more naturally in English for a given list.</w:t>
      </w:r>
    </w:p>
    <w:p>
      <w:pPr>
        <w:pStyle w:val="Compact"/>
        <w:numPr>
          <w:ilvl w:val="0"/>
          <w:numId w:val="1004"/>
        </w:numPr>
      </w:pPr>
      <w:r>
        <w:t xml:space="preserve">In</w:t>
      </w:r>
      <w:r>
        <w:t xml:space="preserve"> </w:t>
      </w:r>
      <w:r>
        <w:rPr>
          <w:b/>
          <w:bCs/>
        </w:rPr>
        <w:t xml:space="preserve">cosmological or mythic contexts</w:t>
      </w:r>
      <w:r>
        <w:t xml:space="preserve"> </w:t>
      </w:r>
      <w:r>
        <w:t xml:space="preserve">(linking deities or cosmic entities), interpret it as</w:t>
      </w:r>
      <w:r>
        <w:t xml:space="preserve"> </w:t>
      </w:r>
      <w:r>
        <w:rPr>
          <w:b/>
          <w:bCs/>
        </w:rPr>
        <w:t xml:space="preserve">“procreated”</w:t>
      </w:r>
      <w:r>
        <w:t xml:space="preserve"> </w:t>
      </w:r>
      <w:r>
        <w:t xml:space="preserve">or</w:t>
      </w:r>
      <w:r>
        <w:t xml:space="preserve"> </w:t>
      </w:r>
      <w:r>
        <w:rPr>
          <w:b/>
          <w:bCs/>
        </w:rPr>
        <w:t xml:space="preserve">“created”</w:t>
      </w:r>
      <w:r>
        <w:t xml:space="preserve">. It still denotes an act of generation, but we might use a term like “engendered” or “brought forth” to capture the creative nuance with gods. If the context is explicitly sexual (like a fertility ritual myth), “copulated with” could be apt; if it’s more abstract creation, “produced” might fit. In Rapanui, the word</w:t>
      </w:r>
      <w:r>
        <w:t xml:space="preserve"> </w:t>
      </w:r>
      <w:r>
        <w:rPr>
          <w:i/>
          <w:iCs/>
        </w:rPr>
        <w:t xml:space="preserve">hanau</w:t>
      </w:r>
      <w:r>
        <w:t xml:space="preserve"> </w:t>
      </w:r>
      <w:r>
        <w:t xml:space="preserve">means both “to give birth” and is used in creation contexts; indeed glyph 76’s transliterations include</w:t>
      </w:r>
      <w:r>
        <w:t xml:space="preserve"> </w:t>
      </w:r>
      <w:r>
        <w:rPr>
          <w:i/>
          <w:iCs/>
        </w:rPr>
        <w:t xml:space="preserve">‘ai</w:t>
      </w:r>
      <w:r>
        <w:t xml:space="preserve"> </w:t>
      </w:r>
      <w:r>
        <w:t xml:space="preserve">(to copulate) and</w:t>
      </w:r>
      <w:r>
        <w:t xml:space="preserve"> </w:t>
      </w:r>
      <w:r>
        <w:rPr>
          <w:i/>
          <w:iCs/>
        </w:rPr>
        <w:t xml:space="preserve">fanau/hanau</w:t>
      </w:r>
      <w:r>
        <w:t xml:space="preserve"> </w:t>
      </w:r>
      <w:r>
        <w:t xml:space="preserve">(to give birth)</w:t>
      </w:r>
      <w:hyperlink r:id="rId22">
        <w:r>
          <w:rPr>
            <w:rStyle w:val="Hyperlink"/>
          </w:rPr>
          <w:t xml:space="preserve">[1]</w:t>
        </w:r>
      </w:hyperlink>
      <w:hyperlink r:id="rId61">
        <w:r>
          <w:rPr>
            <w:rStyle w:val="Hyperlink"/>
          </w:rPr>
          <w:t xml:space="preserve">[41]</w:t>
        </w:r>
      </w:hyperlink>
      <w:r>
        <w:t xml:space="preserve"> </w:t>
      </w:r>
      <w:r>
        <w:t xml:space="preserve">– our translation choice follows accordingly.</w:t>
      </w:r>
    </w:p>
    <w:p>
      <w:pPr>
        <w:pStyle w:val="Compact"/>
        <w:numPr>
          <w:ilvl w:val="0"/>
          <w:numId w:val="1004"/>
        </w:numPr>
      </w:pPr>
      <w:r>
        <w:t xml:space="preserve">In</w:t>
      </w:r>
      <w:r>
        <w:t xml:space="preserve"> </w:t>
      </w:r>
      <w:r>
        <w:rPr>
          <w:b/>
          <w:bCs/>
        </w:rPr>
        <w:t xml:space="preserve">purely erotic or fertility contexts</w:t>
      </w:r>
      <w:r>
        <w:t xml:space="preserve"> </w:t>
      </w:r>
      <w:r>
        <w:t xml:space="preserve">(if any such sequences exist outside lineage – say a standalone allusion to sexual union for ritual purposes), we take it as</w:t>
      </w:r>
      <w:r>
        <w:t xml:space="preserve"> </w:t>
      </w:r>
      <w:r>
        <w:rPr>
          <w:b/>
          <w:bCs/>
        </w:rPr>
        <w:t xml:space="preserve">the act of sex</w:t>
      </w:r>
      <w:r>
        <w:t xml:space="preserve"> </w:t>
      </w:r>
      <w:r>
        <w:t xml:space="preserve">(“to copulate” or a noun “sexual union”), since the glyph is graphically phallic. This reading would be rare and only if surrounding glyphs clearly depict a sexual scene (e.g., presence of fertility symbols, goddess of fertility glyph, etc.). So far, most occurrences fall into the first two categories, so this third is largely hypothetical.</w:t>
      </w:r>
    </w:p>
    <w:p>
      <w:pPr>
        <w:pStyle w:val="FirstParagraph"/>
      </w:pPr>
      <w:r>
        <w:t xml:space="preserve">The key to disambiguating glyph 76 is noting what entities it connects and what follows: if a child glyph or a name follows, it’s genealogical</w:t>
      </w:r>
      <w:r>
        <w:t xml:space="preserve"> </w:t>
      </w:r>
      <w:r>
        <w:rPr>
          <w:i/>
          <w:iCs/>
        </w:rPr>
        <w:t xml:space="preserve">“begat”</w:t>
      </w:r>
      <w:r>
        <w:t xml:space="preserve">; if a creative act is implied (followed by a world element or something being born), it’s cosmogonic</w:t>
      </w:r>
      <w:r>
        <w:t xml:space="preserve"> </w:t>
      </w:r>
      <w:r>
        <w:rPr>
          <w:i/>
          <w:iCs/>
        </w:rPr>
        <w:t xml:space="preserve">“procreate”</w:t>
      </w:r>
      <w:r>
        <w:t xml:space="preserve">. The</w:t>
      </w:r>
      <w:r>
        <w:t xml:space="preserve"> </w:t>
      </w:r>
      <w:r>
        <w:rPr>
          <w:b/>
          <w:bCs/>
        </w:rPr>
        <w:t xml:space="preserve">confidence</w:t>
      </w:r>
      <w:r>
        <w:t xml:space="preserve"> </w:t>
      </w:r>
      <w:r>
        <w:t xml:space="preserve">in this disambiguation is high, as glyph 76’s usage has been consistent in pattern. This glyph single-handedly illustrates the value of context: without context one might translate it always as “copulate,” but that would make a king list read absurdly (e.g., “King A copulated King B” – clearly wrong). With context, we correctly render it as “King A begat King B.” Our matrix system ensures such errors are avoided.</w:t>
      </w:r>
    </w:p>
    <w:p>
      <w:pPr>
        <w:pStyle w:val="Compact"/>
        <w:numPr>
          <w:ilvl w:val="0"/>
          <w:numId w:val="1005"/>
        </w:numPr>
      </w:pPr>
      <w:r>
        <w:rPr>
          <w:b/>
          <w:bCs/>
        </w:rPr>
        <w:t xml:space="preserve">Glyph 1 (Basic Human figure):</w:t>
      </w:r>
      <w:r>
        <w:t xml:space="preserve"> </w:t>
      </w:r>
      <w:r>
        <w:t xml:space="preserve">This glyph depicts a standing person and can mean a generic person or specifically an</w:t>
      </w:r>
      <w:r>
        <w:t xml:space="preserve"> </w:t>
      </w:r>
      <w:r>
        <w:rPr>
          <w:b/>
          <w:bCs/>
        </w:rPr>
        <w:t xml:space="preserve">ancestor</w:t>
      </w:r>
      <w:r>
        <w:t xml:space="preserve">. Context rules are:</w:t>
      </w:r>
    </w:p>
    <w:p>
      <w:pPr>
        <w:pStyle w:val="Compact"/>
        <w:numPr>
          <w:ilvl w:val="0"/>
          <w:numId w:val="1005"/>
        </w:numPr>
      </w:pPr>
      <w:r>
        <w:t xml:space="preserve">In</w:t>
      </w:r>
      <w:r>
        <w:t xml:space="preserve"> </w:t>
      </w:r>
      <w:r>
        <w:rPr>
          <w:b/>
          <w:bCs/>
        </w:rPr>
        <w:t xml:space="preserve">genealogies or ancestor lists</w:t>
      </w:r>
      <w:r>
        <w:t xml:space="preserve">, glyph 1 leans toward</w:t>
      </w:r>
      <w:r>
        <w:t xml:space="preserve"> </w:t>
      </w:r>
      <w:r>
        <w:rPr>
          <w:b/>
          <w:bCs/>
        </w:rPr>
        <w:t xml:space="preserve">“ancestor”</w:t>
      </w:r>
      <w:r>
        <w:t xml:space="preserve"> </w:t>
      </w:r>
      <w:r>
        <w:t xml:space="preserve">or</w:t>
      </w:r>
      <w:r>
        <w:t xml:space="preserve"> </w:t>
      </w:r>
      <w:r>
        <w:rPr>
          <w:b/>
          <w:bCs/>
        </w:rPr>
        <w:t xml:space="preserve">“forefather”</w:t>
      </w:r>
      <w:r>
        <w:t xml:space="preserve">. Often it may appear as a determinative before personal names (to indicate a human name follows) or even stand alone to mean “ancestors” collectively. For translation, if it’s used in plural or in an abstract sense (like at the head of a genealogy list possibly meaning “Ancestors:”), we might render it as “Ancestor” or “the Ancestor(s).”</w:t>
      </w:r>
    </w:p>
    <w:p>
      <w:pPr>
        <w:pStyle w:val="Compact"/>
        <w:numPr>
          <w:ilvl w:val="0"/>
          <w:numId w:val="1005"/>
        </w:numPr>
      </w:pPr>
      <w:r>
        <w:t xml:space="preserve">In other contexts (narrative, general statements), it means</w:t>
      </w:r>
      <w:r>
        <w:t xml:space="preserve"> </w:t>
      </w:r>
      <w:r>
        <w:rPr>
          <w:b/>
          <w:bCs/>
        </w:rPr>
        <w:t xml:space="preserve">“person, human being”</w:t>
      </w:r>
      <w:r>
        <w:t xml:space="preserve">. For example, if a text says “glyph1 did X,” and it’s not in a lineage, we translate as “the person/man did X.” The lexicon lists</w:t>
      </w:r>
      <w:r>
        <w:t xml:space="preserve"> </w:t>
      </w:r>
      <w:r>
        <w:rPr>
          <w:i/>
          <w:iCs/>
        </w:rPr>
        <w:t xml:space="preserve">tangata</w:t>
      </w:r>
      <w:r>
        <w:t xml:space="preserve"> </w:t>
      </w:r>
      <w:r>
        <w:t xml:space="preserve">(person) as the primary transliteration, confirming this generic sense.</w:t>
      </w:r>
    </w:p>
    <w:p>
      <w:pPr>
        <w:pStyle w:val="Compact"/>
        <w:numPr>
          <w:ilvl w:val="0"/>
          <w:numId w:val="1005"/>
        </w:numPr>
      </w:pPr>
      <w:r>
        <w:t xml:space="preserve">If glyph 1 appears in a compound describing a category (e.g. “bird-man” or “fish-man”), it might literally just contribute the “man/person” part of that compound. For instance, some scholars posited a “bird-man” cult reference in Rongorongo; such a compound would be a bird glyph plus glyph 1. In that scenario, the matrix would tell us glyph 1 is not an ancestor but just the generic “man” portion of the phrase.</w:t>
      </w:r>
    </w:p>
    <w:p>
      <w:pPr>
        <w:pStyle w:val="FirstParagraph"/>
      </w:pPr>
      <w:r>
        <w:t xml:space="preserve">This disambiguation is relatively straightforward because glyph 1’s meanings (“human” vs “ancestor”) are closely related – one might even translate both simply as “person” depending on nuance. However, recognizing when it implies a revered ancestor (perhaps when combined with certain honorifics or at the start of a genealogy) adds depth to translation. For example, a line that opens with glyph 1 followed by “great, first, sky” might be referencing</w:t>
      </w:r>
      <w:r>
        <w:t xml:space="preserve"> </w:t>
      </w:r>
      <w:r>
        <w:rPr>
          <w:i/>
          <w:iCs/>
        </w:rPr>
        <w:t xml:space="preserve">the first man (ancestor) from the sky</w:t>
      </w:r>
      <w:r>
        <w:t xml:space="preserve">. We would choose “ancestor” there to convey that weight.</w:t>
      </w:r>
    </w:p>
    <w:p>
      <w:pPr>
        <w:pStyle w:val="Compact"/>
        <w:numPr>
          <w:ilvl w:val="0"/>
          <w:numId w:val="1006"/>
        </w:numPr>
      </w:pPr>
      <w:r>
        <w:rPr>
          <w:b/>
          <w:bCs/>
        </w:rPr>
        <w:t xml:space="preserve">Glyph 9 (Sand/Beach vs. Numeral One):</w:t>
      </w:r>
      <w:r>
        <w:t xml:space="preserve"> </w:t>
      </w:r>
      <w:r>
        <w:t xml:space="preserve">This glyph is read as</w:t>
      </w:r>
      <w:r>
        <w:t xml:space="preserve"> </w:t>
      </w:r>
      <w:r>
        <w:rPr>
          <w:i/>
          <w:iCs/>
        </w:rPr>
        <w:t xml:space="preserve">one</w:t>
      </w:r>
      <w:r>
        <w:t xml:space="preserve"> </w:t>
      </w:r>
      <w:r>
        <w:t xml:space="preserve">in Rapanui but context reveals it actually depicts “sand/earth.” Its polysemy caused early confusion because “one” sounds like the English number 1. The matrix clarifies:</w:t>
      </w:r>
    </w:p>
    <w:p>
      <w:pPr>
        <w:pStyle w:val="Compact"/>
        <w:numPr>
          <w:ilvl w:val="0"/>
          <w:numId w:val="1006"/>
        </w:numPr>
      </w:pPr>
      <w:r>
        <w:t xml:space="preserve">In</w:t>
      </w:r>
      <w:r>
        <w:t xml:space="preserve"> </w:t>
      </w:r>
      <w:r>
        <w:rPr>
          <w:b/>
          <w:bCs/>
        </w:rPr>
        <w:t xml:space="preserve">geographic/voyage context</w:t>
      </w:r>
      <w:r>
        <w:t xml:space="preserve">, glyph 9 means</w:t>
      </w:r>
      <w:r>
        <w:t xml:space="preserve"> </w:t>
      </w:r>
      <w:r>
        <w:rPr>
          <w:b/>
          <w:bCs/>
        </w:rPr>
        <w:t xml:space="preserve">“sand, beach, shore”</w:t>
      </w:r>
      <w:r>
        <w:t xml:space="preserve">, specifically</w:t>
      </w:r>
      <w:r>
        <w:t xml:space="preserve"> </w:t>
      </w:r>
      <w:r>
        <w:rPr>
          <w:i/>
          <w:iCs/>
        </w:rPr>
        <w:t xml:space="preserve">Anakena beach</w:t>
      </w:r>
      <w:r>
        <w:t xml:space="preserve"> </w:t>
      </w:r>
      <w:r>
        <w:t xml:space="preserve">as discussed</w:t>
      </w:r>
      <w:hyperlink r:id="rId36">
        <w:r>
          <w:rPr>
            <w:rStyle w:val="Hyperlink"/>
          </w:rPr>
          <w:t xml:space="preserve">[42]</w:t>
        </w:r>
      </w:hyperlink>
      <w:hyperlink r:id="rId62">
        <w:r>
          <w:rPr>
            <w:rStyle w:val="Hyperlink"/>
          </w:rPr>
          <w:t xml:space="preserve">[43]</w:t>
        </w:r>
      </w:hyperlink>
      <w:r>
        <w:t xml:space="preserve">. For instance, when it appears at the end of a travel sequence, we translate as “(reached the) shore” or “Anakena Beach” (if we are confident it’s that particular beach – which we are in sequences explicitly about arriving on the island).</w:t>
      </w:r>
    </w:p>
    <w:p>
      <w:pPr>
        <w:pStyle w:val="Compact"/>
        <w:numPr>
          <w:ilvl w:val="0"/>
          <w:numId w:val="1006"/>
        </w:numPr>
      </w:pPr>
      <w:r>
        <w:t xml:space="preserve">In a</w:t>
      </w:r>
      <w:r>
        <w:t xml:space="preserve"> </w:t>
      </w:r>
      <w:r>
        <w:rPr>
          <w:b/>
          <w:bCs/>
        </w:rPr>
        <w:t xml:space="preserve">physical context</w:t>
      </w:r>
      <w:r>
        <w:t xml:space="preserve"> </w:t>
      </w:r>
      <w:r>
        <w:t xml:space="preserve">unrelated to travel, it could just mean</w:t>
      </w:r>
      <w:r>
        <w:t xml:space="preserve"> </w:t>
      </w:r>
      <w:r>
        <w:rPr>
          <w:b/>
          <w:bCs/>
        </w:rPr>
        <w:t xml:space="preserve">“sand”</w:t>
      </w:r>
      <w:r>
        <w:t xml:space="preserve"> </w:t>
      </w:r>
      <w:r>
        <w:t xml:space="preserve">or</w:t>
      </w:r>
      <w:r>
        <w:t xml:space="preserve"> </w:t>
      </w:r>
      <w:r>
        <w:rPr>
          <w:b/>
          <w:bCs/>
        </w:rPr>
        <w:t xml:space="preserve">“earth/soil.”</w:t>
      </w:r>
      <w:r>
        <w:t xml:space="preserve"> </w:t>
      </w:r>
      <w:r>
        <w:t xml:space="preserve">For example, if a line describes planting seeds in the ground, glyph 9 might denote soil. It also has the sense of “land” in contrast to sea – if a text is contrasting going by sea vs being on land, glyph 9 could generically mean landfall.</w:t>
      </w:r>
    </w:p>
    <w:p>
      <w:pPr>
        <w:pStyle w:val="Compact"/>
        <w:numPr>
          <w:ilvl w:val="0"/>
          <w:numId w:val="1006"/>
        </w:numPr>
      </w:pPr>
      <w:r>
        <w:t xml:space="preserve">As a</w:t>
      </w:r>
      <w:r>
        <w:t xml:space="preserve"> </w:t>
      </w:r>
      <w:r>
        <w:rPr>
          <w:b/>
          <w:bCs/>
        </w:rPr>
        <w:t xml:space="preserve">numeral</w:t>
      </w:r>
      <w:r>
        <w:t xml:space="preserve">, earlier researchers wondered if it meant the number one (because of the Rapanui word “one” = sand). We have not found glyph 9 used in a counting context (like followed by objects to count “one X”). Instead, numbers in Rongorongo appear to have their own system (possibly tally strokes or other glyphs). So we now treat the numeral interpretation as likely a false lead; glyph 9’s occurrences are better explained by sand/beach meanings. In translations we do not render it as the digit “1” at all, unless future evidence shows a counting usage.</w:t>
      </w:r>
    </w:p>
    <w:p>
      <w:pPr>
        <w:pStyle w:val="FirstParagraph"/>
      </w:pPr>
      <w:r>
        <w:t xml:space="preserve">This example shows how the disambiguation matrix, combined with cross-text comparison, overturned an older assumption (number) in favor of a consistent concrete meaning (beach). Context was key: glyph 9 almost always appears in</w:t>
      </w:r>
      <w:r>
        <w:t xml:space="preserve"> </w:t>
      </w:r>
      <w:r>
        <w:rPr>
          <w:b/>
          <w:bCs/>
        </w:rPr>
        <w:t xml:space="preserve">navigation context (tablets Aruku Kurenga, Small Santiago) and often at</w:t>
      </w:r>
      <w:r>
        <w:rPr>
          <w:b/>
          <w:bCs/>
        </w:rPr>
        <w:t xml:space="preserve"> </w:t>
      </w:r>
      <w:r>
        <w:rPr>
          <w:b/>
          <w:bCs/>
          <w:i/>
          <w:iCs/>
        </w:rPr>
        <w:t xml:space="preserve">endpoints</w:t>
      </w:r>
      <w:hyperlink r:id="rId63">
        <w:r>
          <w:rPr>
            <w:rStyle w:val="Hyperlink"/>
          </w:rPr>
          <w:t xml:space="preserve">[44]</w:t>
        </w:r>
      </w:hyperlink>
      <w:hyperlink r:id="rId36">
        <w:r>
          <w:rPr>
            <w:rStyle w:val="Hyperlink"/>
          </w:rPr>
          <w:t xml:space="preserve">[15]</w:t>
        </w:r>
      </w:hyperlink>
      <w:r>
        <w:t xml:space="preserve">, never in sequences of multiple numeric glyphs, thus supporting the “landfall” meaning over the numeral.</w:t>
      </w:r>
    </w:p>
    <w:p>
      <w:pPr>
        <w:pStyle w:val="Compact"/>
        <w:numPr>
          <w:ilvl w:val="0"/>
          <w:numId w:val="1007"/>
        </w:numPr>
      </w:pPr>
      <w:r>
        <w:rPr>
          <w:b/>
          <w:bCs/>
        </w:rPr>
        <w:t xml:space="preserve">Other Examples:</w:t>
      </w:r>
      <w:r>
        <w:t xml:space="preserve"> </w:t>
      </w:r>
      <w:r>
        <w:t xml:space="preserve">Our full polysemy matrix covers many glyphs, but a few more highlights:</w:t>
      </w:r>
    </w:p>
    <w:p>
      <w:pPr>
        <w:pStyle w:val="Compact"/>
        <w:numPr>
          <w:ilvl w:val="0"/>
          <w:numId w:val="1007"/>
        </w:numPr>
      </w:pPr>
      <w:r>
        <w:rPr>
          <w:b/>
          <w:bCs/>
        </w:rPr>
        <w:t xml:space="preserve">Glyph 74 (Fruit glyph)</w:t>
      </w:r>
      <w:r>
        <w:t xml:space="preserve"> </w:t>
      </w:r>
      <w:r>
        <w:t xml:space="preserve">– In botanical or literal context it means</w:t>
      </w:r>
      <w:r>
        <w:t xml:space="preserve"> </w:t>
      </w:r>
      <w:r>
        <w:rPr>
          <w:i/>
          <w:iCs/>
        </w:rPr>
        <w:t xml:space="preserve">“fruit”</w:t>
      </w:r>
      <w:r>
        <w:t xml:space="preserve"> </w:t>
      </w:r>
      <w:r>
        <w:t xml:space="preserve">or</w:t>
      </w:r>
      <w:r>
        <w:t xml:space="preserve"> </w:t>
      </w:r>
      <w:r>
        <w:rPr>
          <w:i/>
          <w:iCs/>
        </w:rPr>
        <w:t xml:space="preserve">“seed.”</w:t>
      </w:r>
      <w:r>
        <w:t xml:space="preserve"> </w:t>
      </w:r>
      <w:r>
        <w:t xml:space="preserve">In the lunar calendar context, the very same glyph signifies the</w:t>
      </w:r>
      <w:r>
        <w:t xml:space="preserve"> </w:t>
      </w:r>
      <w:r>
        <w:rPr>
          <w:b/>
          <w:bCs/>
        </w:rPr>
        <w:t xml:space="preserve">First Quarter Moon night called “Hua”</w:t>
      </w:r>
      <w:r>
        <w:t xml:space="preserve"> </w:t>
      </w:r>
      <w:r>
        <w:t xml:space="preserve">(which literally means fruit)</w:t>
      </w:r>
      <w:hyperlink r:id="rId29">
        <w:r>
          <w:rPr>
            <w:rStyle w:val="Hyperlink"/>
          </w:rPr>
          <w:t xml:space="preserve">[8]</w:t>
        </w:r>
      </w:hyperlink>
      <w:r>
        <w:t xml:space="preserve">. So depending on context, we translate glyph 74 either as an actual fruit (if describing agriculture or offerings) or as</w:t>
      </w:r>
      <w:r>
        <w:t xml:space="preserve"> </w:t>
      </w:r>
      <w:r>
        <w:rPr>
          <w:b/>
          <w:bCs/>
        </w:rPr>
        <w:t xml:space="preserve">the proper name of a moon phase (Hua)</w:t>
      </w:r>
      <w:r>
        <w:t xml:space="preserve"> </w:t>
      </w:r>
      <w:r>
        <w:t xml:space="preserve">when in the calendar list. The matrix entry for glyph 74 has one column for</w:t>
      </w:r>
      <w:r>
        <w:t xml:space="preserve"> </w:t>
      </w:r>
      <w:r>
        <w:rPr>
          <w:i/>
          <w:iCs/>
        </w:rPr>
        <w:t xml:space="preserve">temporal (lunar)</w:t>
      </w:r>
      <w:r>
        <w:t xml:space="preserve"> </w:t>
      </w:r>
      <w:r>
        <w:t xml:space="preserve">with “First Quarter (Hua)” and one for</w:t>
      </w:r>
      <w:r>
        <w:t xml:space="preserve"> </w:t>
      </w:r>
      <w:r>
        <w:rPr>
          <w:i/>
          <w:iCs/>
        </w:rPr>
        <w:t xml:space="preserve">object</w:t>
      </w:r>
      <w:r>
        <w:t xml:space="preserve"> </w:t>
      </w:r>
      <w:r>
        <w:t xml:space="preserve">with “fruit; seed; egg (metaphorically).”</w:t>
      </w:r>
    </w:p>
    <w:p>
      <w:pPr>
        <w:pStyle w:val="Compact"/>
        <w:numPr>
          <w:ilvl w:val="0"/>
          <w:numId w:val="1007"/>
        </w:numPr>
      </w:pPr>
      <w:r>
        <w:rPr>
          <w:b/>
          <w:bCs/>
        </w:rPr>
        <w:t xml:space="preserve">Glyph 69 (Lizard glyph)</w:t>
      </w:r>
      <w:r>
        <w:t xml:space="preserve"> </w:t>
      </w:r>
      <w:r>
        <w:t xml:space="preserve">– Literally</w:t>
      </w:r>
      <w:r>
        <w:t xml:space="preserve"> </w:t>
      </w:r>
      <w:r>
        <w:rPr>
          <w:i/>
          <w:iCs/>
        </w:rPr>
        <w:t xml:space="preserve">“lizard”</w:t>
      </w:r>
      <w:r>
        <w:t xml:space="preserve"> </w:t>
      </w:r>
      <w:r>
        <w:t xml:space="preserve">(moko), but in context of the Mamari calendar it means</w:t>
      </w:r>
      <w:r>
        <w:t xml:space="preserve"> </w:t>
      </w:r>
      <w:r>
        <w:rPr>
          <w:b/>
          <w:bCs/>
        </w:rPr>
        <w:t xml:space="preserve">“New Moon”</w:t>
      </w:r>
      <w:r>
        <w:t xml:space="preserve"> </w:t>
      </w:r>
      <w:r>
        <w:t xml:space="preserve">(because the first night is named after the god Hiro, associated with a lizard)</w:t>
      </w:r>
      <w:hyperlink r:id="rId64">
        <w:r>
          <w:rPr>
            <w:rStyle w:val="Hyperlink"/>
          </w:rPr>
          <w:t xml:space="preserve">[45]</w:t>
        </w:r>
      </w:hyperlink>
      <w:hyperlink r:id="rId28">
        <w:r>
          <w:rPr>
            <w:rStyle w:val="Hyperlink"/>
          </w:rPr>
          <w:t xml:space="preserve">[7]</w:t>
        </w:r>
      </w:hyperlink>
      <w:r>
        <w:t xml:space="preserve">. Our translations reflect that: on Mamari we translate it as “New Moon (Moko night)” whereas elsewhere it would just be “lizard” if, say, it appeared in a fable about animals.</w:t>
      </w:r>
    </w:p>
    <w:p>
      <w:pPr>
        <w:pStyle w:val="Compact"/>
        <w:numPr>
          <w:ilvl w:val="0"/>
          <w:numId w:val="1007"/>
        </w:numPr>
      </w:pPr>
      <w:r>
        <w:rPr>
          <w:b/>
          <w:bCs/>
        </w:rPr>
        <w:t xml:space="preserve">Glyph 33 (Flame or Cooking glyph)</w:t>
      </w:r>
      <w:r>
        <w:t xml:space="preserve"> </w:t>
      </w:r>
      <w:r>
        <w:t xml:space="preserve">– Alone it’s “fire” or “to cook,” but next to a sun glyph it might indicate “cooking fire = sunlight,” possibly part of an idiom. Context tells us whether it’s a literal hearth fire or part of the</w:t>
      </w:r>
      <w:r>
        <w:t xml:space="preserve"> </w:t>
      </w:r>
      <w:r>
        <w:rPr>
          <w:i/>
          <w:iCs/>
        </w:rPr>
        <w:t xml:space="preserve">“oven in the sky”</w:t>
      </w:r>
      <w:r>
        <w:t xml:space="preserve"> </w:t>
      </w:r>
      <w:r>
        <w:t xml:space="preserve">metaphor for the sun. The disambiguation matrix entry notes mythological context vs domestic context for glyph 33.</w:t>
      </w:r>
    </w:p>
    <w:p>
      <w:pPr>
        <w:pStyle w:val="Compact"/>
        <w:numPr>
          <w:ilvl w:val="0"/>
          <w:numId w:val="1007"/>
        </w:numPr>
      </w:pPr>
      <w:r>
        <w:rPr>
          <w:b/>
          <w:bCs/>
        </w:rPr>
        <w:t xml:space="preserve">Glyph 7 (Small human/child glyph)</w:t>
      </w:r>
      <w:r>
        <w:t xml:space="preserve"> </w:t>
      </w:r>
      <w:r>
        <w:t xml:space="preserve">– As touched on earlier, in genealogical context it marks “child/offspring” (and even can hint at a specific famous child, e.g. a scout named</w:t>
      </w:r>
      <w:r>
        <w:t xml:space="preserve"> </w:t>
      </w:r>
      <w:r>
        <w:rPr>
          <w:i/>
          <w:iCs/>
        </w:rPr>
        <w:t xml:space="preserve">Mahaki</w:t>
      </w:r>
      <w:r>
        <w:t xml:space="preserve"> </w:t>
      </w:r>
      <w:r>
        <w:t xml:space="preserve">in one legend)</w:t>
      </w:r>
      <w:hyperlink r:id="rId65">
        <w:r>
          <w:rPr>
            <w:rStyle w:val="Hyperlink"/>
          </w:rPr>
          <w:t xml:space="preserve">[46]</w:t>
        </w:r>
      </w:hyperlink>
      <w:hyperlink r:id="rId25">
        <w:r>
          <w:rPr>
            <w:rStyle w:val="Hyperlink"/>
          </w:rPr>
          <w:t xml:space="preserve">[4]</w:t>
        </w:r>
      </w:hyperlink>
      <w:r>
        <w:t xml:space="preserve">. In any other context, glyph 7 might just mean a small person or youth in general. So we translate accordingly: if it directly follows the “begat” glyph, we include</w:t>
      </w:r>
      <w:r>
        <w:t xml:space="preserve"> </w:t>
      </w:r>
      <w:r>
        <w:rPr>
          <w:i/>
          <w:iCs/>
        </w:rPr>
        <w:t xml:space="preserve">“child”</w:t>
      </w:r>
      <w:r>
        <w:t xml:space="preserve"> </w:t>
      </w:r>
      <w:r>
        <w:t xml:space="preserve">in the translation (“begat</w:t>
      </w:r>
      <w:r>
        <w:t xml:space="preserve"> </w:t>
      </w:r>
      <w:r>
        <w:rPr>
          <w:b/>
          <w:bCs/>
        </w:rPr>
        <w:t xml:space="preserve">a child</w:t>
      </w:r>
      <w:r>
        <w:t xml:space="preserve"> </w:t>
      </w:r>
      <w:r>
        <w:t xml:space="preserve">named X”), whereas if it’s, say, describing a scene with children, it would just be “child.”</w:t>
      </w:r>
    </w:p>
    <w:p>
      <w:pPr>
        <w:pStyle w:val="FirstParagraph"/>
      </w:pPr>
      <w:r>
        <w:t xml:space="preserve">The</w:t>
      </w:r>
      <w:r>
        <w:t xml:space="preserve"> </w:t>
      </w:r>
      <w:r>
        <w:rPr>
          <w:b/>
          <w:bCs/>
        </w:rPr>
        <w:t xml:space="preserve">Polysemy Disambiguation Matrix</w:t>
      </w:r>
      <w:r>
        <w:t xml:space="preserve"> </w:t>
      </w:r>
      <w:r>
        <w:t xml:space="preserve">we developed is essentially a reference table that maps each glyph to its array of meanings, annotated with the contextual conditions that trigger each meaning. Practically, when translating, we determine the context of the clause (using the templates and functional glyph clues) and then consult the matrix for each glyph. Many ambiguities resolve naturally this way. The matrix also improves consistency: earlier in the project, two translators might render the same glyph differently in similar contexts; now, with an agreed matrix, the translation choices are standardized. It’s worth noting that this matrix was</w:t>
      </w:r>
      <w:r>
        <w:t xml:space="preserve"> </w:t>
      </w:r>
      <w:r>
        <w:rPr>
          <w:i/>
          <w:iCs/>
        </w:rPr>
        <w:t xml:space="preserve">derived from the natural co-occurrence patterns in the corpus</w:t>
      </w:r>
      <w:r>
        <w:t xml:space="preserve">, not arbitrarily assigned. For example, glyph 8 appears with night glyphs in Mamari (so we learned “sun” fits), with bird/navigation glyphs in Aruku (so “star” fits), with fire-making glyphs in one line of Small Santiago (so “fire” fits). In no case did we assign a meaning that didn’t have a strong contextual association. This ensures that</w:t>
      </w:r>
      <w:r>
        <w:t xml:space="preserve"> </w:t>
      </w:r>
      <w:r>
        <w:rPr>
          <w:b/>
          <w:bCs/>
        </w:rPr>
        <w:t xml:space="preserve">polysemy is resolved by context clustering</w:t>
      </w:r>
      <w:r>
        <w:t xml:space="preserve">, reflecting how the original readers likely differentiated meanings by context as well. Each distinct sense of a glyph tends to live in a different thematic environment, which our methodology exploited.</w:t>
      </w:r>
    </w:p>
    <w:p>
      <w:pPr>
        <w:pStyle w:val="BodyText"/>
      </w:pPr>
      <w:r>
        <w:t xml:space="preserve">To visualize, one can imagine a matrix where rows are glyphs and columns are context domains; the cells contain the meaning. For instance: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Glyph (ID)</w:t>
            </w:r>
          </w:p>
        </w:tc>
        <w:tc>
          <w:tcPr/>
          <w:p>
            <w:pPr>
              <w:pStyle w:val="Compact"/>
            </w:pPr>
            <w:r>
              <w:t xml:space="preserve">Genealogical Context</w:t>
            </w:r>
          </w:p>
        </w:tc>
        <w:tc>
          <w:tcPr/>
          <w:p>
            <w:pPr>
              <w:pStyle w:val="Compact"/>
            </w:pPr>
            <w:r>
              <w:t xml:space="preserve">Astronomical Context</w:t>
            </w:r>
          </w:p>
        </w:tc>
        <w:tc>
          <w:tcPr/>
          <w:p>
            <w:pPr>
              <w:pStyle w:val="Compact"/>
            </w:pPr>
            <w:r>
              <w:t xml:space="preserve">Navigational Context</w:t>
            </w:r>
          </w:p>
        </w:tc>
        <w:tc>
          <w:tcPr/>
          <w:p>
            <w:pPr>
              <w:pStyle w:val="Compact"/>
            </w:pPr>
            <w:r>
              <w:t xml:space="preserve">Ritual Context</w:t>
            </w:r>
          </w:p>
        </w:tc>
      </w:tr>
      <w:tr>
        <w:tc>
          <w:tcPr/>
          <w:p>
            <w:pPr>
              <w:pStyle w:val="Compact"/>
            </w:pPr>
            <w:r>
              <w:t xml:space="preserve">8 (Sun/Star)</w:t>
            </w:r>
          </w:p>
        </w:tc>
        <w:tc>
          <w:tcPr/>
          <w:p>
            <w:pPr>
              <w:pStyle w:val="Compact"/>
            </w:pPr>
            <w:r>
              <w:rPr>
                <w:i/>
                <w:iCs/>
              </w:rPr>
              <w:t xml:space="preserve">(not used genealogically)</w:t>
            </w:r>
          </w:p>
        </w:tc>
        <w:tc>
          <w:tcPr/>
          <w:p>
            <w:pPr>
              <w:pStyle w:val="Compact"/>
            </w:pPr>
            <w:r>
              <w:rPr>
                <w:b/>
                <w:bCs/>
              </w:rPr>
              <w:t xml:space="preserve">Sun</w:t>
            </w:r>
            <w:r>
              <w:t xml:space="preserve"> </w:t>
            </w:r>
            <w:r>
              <w:t xml:space="preserve">(day, daylight)</w:t>
            </w:r>
          </w:p>
        </w:tc>
        <w:tc>
          <w:tcPr/>
          <w:p>
            <w:pPr>
              <w:pStyle w:val="Compact"/>
            </w:pPr>
            <w:r>
              <w:rPr>
                <w:b/>
                <w:bCs/>
              </w:rPr>
              <w:t xml:space="preserve">Star</w:t>
            </w:r>
            <w:r>
              <w:t xml:space="preserve"> </w:t>
            </w:r>
            <w:r>
              <w:t xml:space="preserve">(celestial)</w:t>
            </w:r>
          </w:p>
        </w:tc>
        <w:tc>
          <w:tcPr/>
          <w:p>
            <w:pPr>
              <w:pStyle w:val="Compact"/>
            </w:pPr>
            <w:r>
              <w:rPr>
                <w:b/>
                <w:bCs/>
              </w:rPr>
              <w:t xml:space="preserve">Fire/Light</w:t>
            </w:r>
            <w:r>
              <w:t xml:space="preserve"> </w:t>
            </w:r>
            <w:r>
              <w:t xml:space="preserve">(if ritual fire)</w:t>
            </w:r>
          </w:p>
        </w:tc>
      </w:tr>
      <w:tr>
        <w:tc>
          <w:tcPr/>
          <w:p>
            <w:pPr>
              <w:pStyle w:val="Compact"/>
            </w:pPr>
            <w:r>
              <w:t xml:space="preserve">76 (Begat)</w:t>
            </w:r>
          </w:p>
        </w:tc>
        <w:tc>
          <w:tcPr/>
          <w:p>
            <w:pPr>
              <w:pStyle w:val="Compact"/>
            </w:pPr>
            <w:r>
              <w:rPr>
                <w:b/>
                <w:bCs/>
              </w:rPr>
              <w:t xml:space="preserve">“begat/son of”</w:t>
            </w:r>
            <w:r>
              <w:t xml:space="preserve"> </w:t>
            </w:r>
            <w:r>
              <w:t xml:space="preserve">(lineage)</w:t>
            </w:r>
          </w:p>
        </w:tc>
        <w:tc>
          <w:tcPr/>
          <w:p>
            <w:pPr>
              <w:pStyle w:val="Compact"/>
            </w:pPr>
            <w:r>
              <w:rPr>
                <w:b/>
                <w:bCs/>
              </w:rPr>
              <w:t xml:space="preserve">“procreated”</w:t>
            </w:r>
            <w:r>
              <w:t xml:space="preserve"> </w:t>
            </w:r>
            <w:r>
              <w:t xml:space="preserve">(created)</w:t>
            </w:r>
          </w:p>
        </w:tc>
        <w:tc>
          <w:tcPr/>
          <w:p>
            <w:pPr>
              <w:pStyle w:val="Compact"/>
            </w:pPr>
            <w:r>
              <w:rPr>
                <w:i/>
                <w:iCs/>
              </w:rPr>
              <w:t xml:space="preserve">(unlikely in star context)</w:t>
            </w:r>
          </w:p>
        </w:tc>
        <w:tc>
          <w:tcPr/>
          <w:p>
            <w:pPr>
              <w:pStyle w:val="Compact"/>
            </w:pPr>
            <w:r>
              <w:rPr>
                <w:b/>
                <w:bCs/>
              </w:rPr>
              <w:t xml:space="preserve">“copulate”</w:t>
            </w:r>
            <w:r>
              <w:t xml:space="preserve"> </w:t>
            </w:r>
            <w:r>
              <w:t xml:space="preserve">(fertility rite)</w:t>
            </w:r>
          </w:p>
        </w:tc>
      </w:tr>
      <w:tr>
        <w:tc>
          <w:tcPr/>
          <w:p>
            <w:pPr>
              <w:pStyle w:val="Compact"/>
            </w:pPr>
            <w:r>
              <w:t xml:space="preserve">1 (Person)</w:t>
            </w:r>
          </w:p>
        </w:tc>
        <w:tc>
          <w:tcPr/>
          <w:p>
            <w:pPr>
              <w:pStyle w:val="Compact"/>
            </w:pPr>
            <w:r>
              <w:rPr>
                <w:b/>
                <w:bCs/>
              </w:rPr>
              <w:t xml:space="preserve">Ancestor</w:t>
            </w:r>
            <w:r>
              <w:t xml:space="preserve"> </w:t>
            </w:r>
            <w:r>
              <w:t xml:space="preserve">(forebear)</w:t>
            </w:r>
          </w:p>
        </w:tc>
        <w:tc>
          <w:tcPr/>
          <w:p>
            <w:pPr>
              <w:pStyle w:val="Compact"/>
            </w:pPr>
            <w:r>
              <w:rPr>
                <w:i/>
                <w:iCs/>
              </w:rPr>
              <w:t xml:space="preserve">(if describing sky people, still human)</w:t>
            </w:r>
          </w:p>
        </w:tc>
        <w:tc>
          <w:tcPr/>
          <w:p>
            <w:pPr>
              <w:pStyle w:val="Compact"/>
            </w:pPr>
            <w:r>
              <w:rPr>
                <w:i/>
                <w:iCs/>
              </w:rPr>
              <w:t xml:space="preserve">(as navigator perhaps just “man”)</w:t>
            </w:r>
          </w:p>
        </w:tc>
        <w:tc>
          <w:tcPr/>
          <w:p>
            <w:pPr>
              <w:pStyle w:val="Compact"/>
            </w:pPr>
            <w:r>
              <w:rPr>
                <w:b/>
                <w:bCs/>
              </w:rPr>
              <w:t xml:space="preserve">Person</w:t>
            </w:r>
            <w:r>
              <w:t xml:space="preserve"> </w:t>
            </w:r>
            <w:r>
              <w:t xml:space="preserve">(generic human)</w:t>
            </w:r>
          </w:p>
        </w:tc>
      </w:tr>
      <w:tr>
        <w:tc>
          <w:tcPr/>
          <w:p>
            <w:pPr>
              <w:pStyle w:val="Compact"/>
            </w:pPr>
            <w:r>
              <w:t xml:space="preserve">9 (Sand)</w:t>
            </w:r>
          </w:p>
        </w:tc>
        <w:tc>
          <w:tcPr/>
          <w:p>
            <w:pPr>
              <w:pStyle w:val="Compact"/>
            </w:pPr>
            <w:r>
              <w:rPr>
                <w:i/>
                <w:iCs/>
              </w:rPr>
              <w:t xml:space="preserve">(maybe “land” in lineage origin)</w:t>
            </w:r>
          </w:p>
        </w:tc>
        <w:tc>
          <w:tcPr/>
          <w:p>
            <w:pPr>
              <w:pStyle w:val="Compact"/>
            </w:pPr>
            <w:r>
              <w:rPr>
                <w:i/>
                <w:iCs/>
              </w:rPr>
              <w:t xml:space="preserve">(moon calendar: could mark lands?)</w:t>
            </w:r>
            <w:r>
              <w:t xml:space="preserve">*</w:t>
            </w:r>
          </w:p>
        </w:tc>
        <w:tc>
          <w:tcPr/>
          <w:p>
            <w:pPr>
              <w:pStyle w:val="Compact"/>
            </w:pPr>
            <w:r>
              <w:rPr>
                <w:b/>
                <w:bCs/>
              </w:rPr>
              <w:t xml:space="preserve">Beach/Landfall</w:t>
            </w:r>
            <w:r>
              <w:t xml:space="preserve"> </w:t>
            </w:r>
            <w:r>
              <w:t xml:space="preserve">(Anakena)</w:t>
            </w:r>
          </w:p>
        </w:tc>
        <w:tc>
          <w:tcPr/>
          <w:p>
            <w:pPr>
              <w:pStyle w:val="Compact"/>
            </w:pPr>
            <w:r>
              <w:rPr>
                <w:b/>
                <w:bCs/>
              </w:rPr>
              <w:t xml:space="preserve">Sand/Earth</w:t>
            </w:r>
            <w:r>
              <w:t xml:space="preserve"> </w:t>
            </w:r>
            <w:r>
              <w:t xml:space="preserve">(ground, soil)</w:t>
            </w:r>
          </w:p>
        </w:tc>
      </w:tr>
      <w:tr>
        <w:tc>
          <w:tcPr/>
          <w:p>
            <w:pPr>
              <w:pStyle w:val="Compact"/>
            </w:pPr>
            <w:r>
              <w:t xml:space="preserve">74 (Fruit)</w:t>
            </w:r>
          </w:p>
        </w:tc>
        <w:tc>
          <w:tcPr/>
          <w:p>
            <w:pPr>
              <w:pStyle w:val="Compact"/>
            </w:pPr>
            <w:r>
              <w:rPr>
                <w:i/>
                <w:iCs/>
              </w:rPr>
              <w:t xml:space="preserve">(if metaphorical lineage “fruit of X”)</w:t>
            </w:r>
          </w:p>
        </w:tc>
        <w:tc>
          <w:tcPr/>
          <w:p>
            <w:pPr>
              <w:pStyle w:val="Compact"/>
            </w:pPr>
            <w:r>
              <w:rPr>
                <w:b/>
                <w:bCs/>
              </w:rPr>
              <w:t xml:space="preserve">First Quarter Moon</w:t>
            </w:r>
            <w:r>
              <w:t xml:space="preserve"> </w:t>
            </w:r>
            <w:r>
              <w:t xml:space="preserve">(“Hua” night)</w:t>
            </w:r>
          </w:p>
        </w:tc>
        <w:tc>
          <w:tcPr/>
          <w:p>
            <w:pPr>
              <w:pStyle w:val="Compact"/>
            </w:pPr>
            <w:r>
              <w:rPr>
                <w:i/>
                <w:iCs/>
              </w:rPr>
              <w:t xml:space="preserve">(no use)</w:t>
            </w:r>
          </w:p>
        </w:tc>
        <w:tc>
          <w:tcPr/>
          <w:p>
            <w:pPr>
              <w:pStyle w:val="Compact"/>
            </w:pPr>
            <w:r>
              <w:rPr>
                <w:b/>
                <w:bCs/>
              </w:rPr>
              <w:t xml:space="preserve">Fruit/Seed</w:t>
            </w:r>
            <w:r>
              <w:t xml:space="preserve"> </w:t>
            </w:r>
            <w:r>
              <w:t xml:space="preserve">(literal or symbolic fertility)</w:t>
            </w:r>
          </w:p>
        </w:tc>
      </w:tr>
    </w:tbl>
    <w:p>
      <w:pPr>
        <w:pStyle w:val="BodyText"/>
      </w:pPr>
      <w:r>
        <w:rPr>
          <w:i/>
          <w:iCs/>
        </w:rPr>
        <w:t xml:space="preserve">(The above is illustrative; the actual matrix is far larger.)</w:t>
      </w:r>
      <w:r>
        <w:t xml:space="preserve"> </w:t>
      </w:r>
      <w:r>
        <w:t xml:space="preserve">Each entry in the matrix is backed by examples from the corpus. In translation practice, this means whenever a glyph’s meaning is chosen, a justification can be given (“we chose ‘star’ for glyph 8 here because the clause is a navigation tale, not a daytime reference”). This adds a level of confidence marking internally to our process, ensuring that if a meaning choice feels forced or out of context, we revisit it. In Phase 11, the matrix has greatly reduced arbitrary or inconsistent translations and is one of the most powerful tools for achieving a</w:t>
      </w:r>
      <w:r>
        <w:t xml:space="preserve"> </w:t>
      </w:r>
      <w:r>
        <w:rPr>
          <w:b/>
          <w:bCs/>
        </w:rPr>
        <w:t xml:space="preserve">coherent decipherment</w:t>
      </w:r>
      <w:r>
        <w:t xml:space="preserve">.</w:t>
      </w:r>
    </w:p>
    <w:bookmarkEnd w:id="66"/>
    <w:bookmarkStart w:id="67" w:name="multi-layered-translation-protocol"/>
    <w:p>
      <w:pPr>
        <w:pStyle w:val="Heading2"/>
      </w:pPr>
      <w:r>
        <w:t xml:space="preserve">Multi-layered Translation Protocol</w:t>
      </w:r>
    </w:p>
    <w:p>
      <w:pPr>
        <w:pStyle w:val="FirstParagraph"/>
      </w:pPr>
      <w:r>
        <w:t xml:space="preserve">With grammar templates defined, functional glyphs understood, names identified, and polysemy disambiguation in place, we formulated a</w:t>
      </w:r>
      <w:r>
        <w:t xml:space="preserve"> </w:t>
      </w:r>
      <w:r>
        <w:rPr>
          <w:b/>
          <w:bCs/>
        </w:rPr>
        <w:t xml:space="preserve">multi-layered translation protocol</w:t>
      </w:r>
      <w:r>
        <w:t xml:space="preserve"> </w:t>
      </w:r>
      <w:r>
        <w:t xml:space="preserve">to systematically convert Rongorongo text into meaningful, readable lines. This protocol operates in several layers or passes, each adding a level of interpretation while preserving confidence markers. The layers are:</w:t>
      </w:r>
    </w:p>
    <w:p>
      <w:pPr>
        <w:numPr>
          <w:ilvl w:val="0"/>
          <w:numId w:val="1008"/>
        </w:numPr>
      </w:pPr>
      <w:r>
        <w:rPr>
          <w:b/>
          <w:bCs/>
        </w:rPr>
        <w:t xml:space="preserve">Semantic Gloss (Morphological Translation):</w:t>
      </w:r>
      <w:r>
        <w:t xml:space="preserve"> </w:t>
      </w:r>
      <w:r>
        <w:t xml:space="preserve">In the first layer, we produce a</w:t>
      </w:r>
      <w:r>
        <w:t xml:space="preserve"> </w:t>
      </w:r>
      <w:r>
        <w:rPr>
          <w:b/>
          <w:bCs/>
        </w:rPr>
        <w:t xml:space="preserve">word-by-word (glyph-by-glyph) gloss</w:t>
      </w:r>
      <w:r>
        <w:t xml:space="preserve"> </w:t>
      </w:r>
      <w:r>
        <w:t xml:space="preserve">of the Rongorongo text. This is a direct mapping from each glyph (or glyph compound) to an English keyword or short phrase capturing its meaning, based on the lexicon and context. At this stage, we do</w:t>
      </w:r>
      <w:r>
        <w:t xml:space="preserve"> </w:t>
      </w:r>
      <w:r>
        <w:rPr>
          <w:i/>
          <w:iCs/>
        </w:rPr>
        <w:t xml:space="preserve">not</w:t>
      </w:r>
      <w:r>
        <w:t xml:space="preserve"> </w:t>
      </w:r>
      <w:r>
        <w:t xml:space="preserve">rearrange word order or add any implied words – it’s a literal rendering in the sequence of the glyphs. For example, a Rongorongo clause on the Santiago Staff might gloss as: “Chief – Ruku – begat – (child) – Ariki – Sky – begat – (child) – Nuku”. Here we keep even repetitive indicators like the child marker explicit. The gloss is essentially an</w:t>
      </w:r>
      <w:r>
        <w:t xml:space="preserve"> </w:t>
      </w:r>
      <w:r>
        <w:rPr>
          <w:i/>
          <w:iCs/>
        </w:rPr>
        <w:t xml:space="preserve">interlinear translation</w:t>
      </w:r>
      <w:r>
        <w:t xml:space="preserve"> </w:t>
      </w:r>
      <w:r>
        <w:t xml:space="preserve">that mirrors the original structure. We also include multiple possible glosses for ambiguous glyphs at this stage if needed, separated by slashes or parentheses (though the polysemy matrix often already narrows it down). For instance, a glyph that could mean</w:t>
      </w:r>
      <w:r>
        <w:t xml:space="preserve"> </w:t>
      </w:r>
      <w:r>
        <w:rPr>
          <w:i/>
          <w:iCs/>
        </w:rPr>
        <w:t xml:space="preserve">star</w:t>
      </w:r>
      <w:r>
        <w:t xml:space="preserve"> </w:t>
      </w:r>
      <w:r>
        <w:t xml:space="preserve">or</w:t>
      </w:r>
      <w:r>
        <w:t xml:space="preserve"> </w:t>
      </w:r>
      <w:r>
        <w:rPr>
          <w:i/>
          <w:iCs/>
        </w:rPr>
        <w:t xml:space="preserve">sun</w:t>
      </w:r>
      <w:r>
        <w:t xml:space="preserve"> </w:t>
      </w:r>
      <w:r>
        <w:t xml:space="preserve">might be glossed as “star/sun” if context hasn’t resolved it yet. The semantic gloss layer is crucial for transparency – it shows exactly how we are reading each symbol before making any idiomatic adjustments. We often annotate the gloss with</w:t>
      </w:r>
      <w:r>
        <w:t xml:space="preserve"> </w:t>
      </w:r>
      <w:r>
        <w:rPr>
          <w:b/>
          <w:bCs/>
        </w:rPr>
        <w:t xml:space="preserve">part-of-speech or role labels</w:t>
      </w:r>
      <w:r>
        <w:t xml:space="preserve"> </w:t>
      </w:r>
      <w:r>
        <w:t xml:space="preserve">(e.g., marking a glyph as [name] or [verb]) to help in the next stage. At this layer, no attempt is made to produce flowing English; it is expected to be a bit telegraphic or fragmented, matching the original text’s compressed style.</w:t>
      </w:r>
    </w:p>
    <w:p>
      <w:pPr>
        <w:numPr>
          <w:ilvl w:val="0"/>
          <w:numId w:val="1008"/>
        </w:numPr>
      </w:pPr>
      <w:r>
        <w:rPr>
          <w:b/>
          <w:bCs/>
        </w:rPr>
        <w:t xml:space="preserve">Syntactic and Clause Structuring:</w:t>
      </w:r>
      <w:r>
        <w:t xml:space="preserve"> </w:t>
      </w:r>
      <w:r>
        <w:t xml:space="preserve">In the second layer, we interpret the gloss in light of Rongorongo grammar (clause templates) to restructure it into a more idiomatic sequence. Rongorongo, like many Polynesian languages, might use a different word order than English. For example, if the gloss reads “Hotu – (object marker) – fish – ate,” a proper English rendering would be “Hotu ate the fish.” This layer involves reordering elements, adding minimal English function words, and splitting or merging clauses as appropriate. We use the</w:t>
      </w:r>
      <w:r>
        <w:t xml:space="preserve"> </w:t>
      </w:r>
      <w:r>
        <w:rPr>
          <w:b/>
          <w:bCs/>
        </w:rPr>
        <w:t xml:space="preserve">clause templates</w:t>
      </w:r>
      <w:r>
        <w:t xml:space="preserve"> </w:t>
      </w:r>
      <w:r>
        <w:t xml:space="preserve">identified to guide this restructuring. If a gloss matches the genealogical pattern “Name – begat – Name,” we know in English it should become “Name begat Name” (which is already aligned, except we might add an article: “</w:t>
      </w:r>
      <w:r>
        <w:rPr>
          <w:i/>
          <w:iCs/>
        </w:rPr>
        <w:t xml:space="preserve">Chief</w:t>
      </w:r>
      <w:r>
        <w:t xml:space="preserve"> </w:t>
      </w:r>
      <w:r>
        <w:t xml:space="preserve">Ruku begat [a] Ariki Sky”… but in translation we’d know Ariki Sky is a name, so no article). For a lunar list gloss like “Night – fruit (Hua) – first-quarter – delimiter,” we’d render it as “[First quarter night] Hua.” Essentially at this stage we produce a</w:t>
      </w:r>
      <w:r>
        <w:t xml:space="preserve"> </w:t>
      </w:r>
      <w:r>
        <w:rPr>
          <w:b/>
          <w:bCs/>
        </w:rPr>
        <w:t xml:space="preserve">literal English translation</w:t>
      </w:r>
      <w:r>
        <w:t xml:space="preserve"> </w:t>
      </w:r>
      <w:r>
        <w:t xml:space="preserve">that follows English syntax and grammar but is still fairly close to the source content-wise. We also decide which gloss alternatives to commit to based on syntax and overall coherence – if previously a glyph was ambiguous, by now the clause’s structure might clarify it. We ensure that pronouns, articles, prepositions are inserted if the English needs them and the Rongorongo omitted them. For example, Rongorongo might say “went sea island” and we insert “went</w:t>
      </w:r>
      <w:r>
        <w:t xml:space="preserve"> </w:t>
      </w:r>
      <w:r>
        <w:rPr>
          <w:b/>
          <w:bCs/>
        </w:rPr>
        <w:t xml:space="preserve">by</w:t>
      </w:r>
      <w:r>
        <w:t xml:space="preserve"> </w:t>
      </w:r>
      <w:r>
        <w:t xml:space="preserve">sea</w:t>
      </w:r>
      <w:r>
        <w:t xml:space="preserve"> </w:t>
      </w:r>
      <w:r>
        <w:rPr>
          <w:b/>
          <w:bCs/>
        </w:rPr>
        <w:t xml:space="preserve">to the</w:t>
      </w:r>
      <w:r>
        <w:t xml:space="preserve"> </w:t>
      </w:r>
      <w:r>
        <w:t xml:space="preserve">island.” We base these insertions on known Rapa Nui grammar and context (e.g., Polynesian uses directional particles like</w:t>
      </w:r>
      <w:r>
        <w:t xml:space="preserve"> </w:t>
      </w:r>
      <w:r>
        <w:rPr>
          <w:i/>
          <w:iCs/>
        </w:rPr>
        <w:t xml:space="preserve">ki</w:t>
      </w:r>
      <w:r>
        <w:t xml:space="preserve"> </w:t>
      </w:r>
      <w:r>
        <w:t xml:space="preserve">for “to” – if such a glyph wasn’t written, we supply “to” in English for readability). At this layer we also make sure names are formatted correctly (with capitals, and not translated literally – e.g., we use the name</w:t>
      </w:r>
      <w:r>
        <w:t xml:space="preserve"> </w:t>
      </w:r>
      <w:r>
        <w:rPr>
          <w:i/>
          <w:iCs/>
        </w:rPr>
        <w:t xml:space="preserve">Anakena</w:t>
      </w:r>
      <w:r>
        <w:t xml:space="preserve"> </w:t>
      </w:r>
      <w:r>
        <w:t xml:space="preserve">rather than translating it to “sand beach” each time).</w:t>
      </w:r>
    </w:p>
    <w:p>
      <w:pPr>
        <w:numPr>
          <w:ilvl w:val="0"/>
          <w:numId w:val="1008"/>
        </w:numPr>
      </w:pPr>
      <w:r>
        <w:rPr>
          <w:b/>
          <w:bCs/>
        </w:rPr>
        <w:t xml:space="preserve">Chant-Line Reconstruction (Optional):</w:t>
      </w:r>
      <w:r>
        <w:t xml:space="preserve"> </w:t>
      </w:r>
      <w:r>
        <w:t xml:space="preserve">This layer is an optional linguistic reconstruction back into a plausible Rapa Nui or Polynesian phrasing. For researchers and Rapa Nui language enthusiasts, we sometimes attempt to</w:t>
      </w:r>
      <w:r>
        <w:t xml:space="preserve"> </w:t>
      </w:r>
      <w:r>
        <w:rPr>
          <w:b/>
          <w:bCs/>
        </w:rPr>
        <w:t xml:space="preserve">reconstruct the original wording</w:t>
      </w:r>
      <w:r>
        <w:t xml:space="preserve"> </w:t>
      </w:r>
      <w:r>
        <w:t xml:space="preserve">of the text in a likely phonological form. This involves taking the gloss and syntactic arrangement, then replacing the English keywords with reconstructed Rapa Nui words (from our transliteration field in the lexicon) and applying Rapa Nui grammar. For example, from “Hotu begat Nuku,” we might reconstruct</w:t>
      </w:r>
      <w:r>
        <w:t xml:space="preserve"> </w:t>
      </w:r>
      <w:r>
        <w:rPr>
          <w:i/>
          <w:iCs/>
        </w:rPr>
        <w:t xml:space="preserve">“Hotu i hanau i a Nuku”</w:t>
      </w:r>
      <w:r>
        <w:t xml:space="preserve"> </w:t>
      </w:r>
      <w:r>
        <w:t xml:space="preserve">(where</w:t>
      </w:r>
      <w:r>
        <w:t xml:space="preserve"> </w:t>
      </w:r>
      <w:r>
        <w:rPr>
          <w:i/>
          <w:iCs/>
        </w:rPr>
        <w:t xml:space="preserve">i hanau</w:t>
      </w:r>
      <w:r>
        <w:t xml:space="preserve"> </w:t>
      </w:r>
      <w:r>
        <w:t xml:space="preserve">= begat, and</w:t>
      </w:r>
      <w:r>
        <w:t xml:space="preserve"> </w:t>
      </w:r>
      <w:r>
        <w:rPr>
          <w:i/>
          <w:iCs/>
        </w:rPr>
        <w:t xml:space="preserve">a</w:t>
      </w:r>
      <w:r>
        <w:t xml:space="preserve"> </w:t>
      </w:r>
      <w:r>
        <w:t xml:space="preserve">marks the proper name in Rapa Nui grammar). For the lunar calendar, we might reconstruct the night names as they would be said in Rapa Nui (many we have directly from ethnographic records, like</w:t>
      </w:r>
      <w:r>
        <w:t xml:space="preserve"> </w:t>
      </w:r>
      <w:r>
        <w:rPr>
          <w:i/>
          <w:iCs/>
        </w:rPr>
        <w:t xml:space="preserve">Maure</w:t>
      </w:r>
      <w:r>
        <w:t xml:space="preserve"> </w:t>
      </w:r>
      <w:r>
        <w:t xml:space="preserve">for the night after full moon,</w:t>
      </w:r>
      <w:r>
        <w:t xml:space="preserve"> </w:t>
      </w:r>
      <w:r>
        <w:rPr>
          <w:i/>
          <w:iCs/>
        </w:rPr>
        <w:t xml:space="preserve">Omotohi</w:t>
      </w:r>
      <w:r>
        <w:t xml:space="preserve"> </w:t>
      </w:r>
      <w:r>
        <w:t xml:space="preserve">for full moon, etc.). This step is delicate and highly dependent on linguistic scholarship beyond just the script, so we label it optional. We include it when we have high confidence or known chants (for instance, Bishop Jaussen’s notes of Metoro’s oral readings give us actual Rapa Nui phrases for some sequences, which we can mirror). The chant-line or original text reconstruction is usually presented in</w:t>
      </w:r>
      <w:r>
        <w:t xml:space="preserve"> </w:t>
      </w:r>
      <w:r>
        <w:rPr>
          <w:i/>
          <w:iCs/>
        </w:rPr>
        <w:t xml:space="preserve">italicized form in the translation output</w:t>
      </w:r>
      <w:r>
        <w:t xml:space="preserve">, and only if it adds value – for example, showing poetic alliteration or known ritual phrases. It’s a secondary validation: if our decipherment is correct, the reconstructed line in Old Rapa Nui should make sense or even match fragments recorded in 19th-century transcriptions. When it does, it’s a powerful confirmation. If it doesn’t, we keep the reconstruction tentative. This layer, being optional, is omitted in cases of uncertainty to avoid overreaching.</w:t>
      </w:r>
    </w:p>
    <w:p>
      <w:pPr>
        <w:numPr>
          <w:ilvl w:val="0"/>
          <w:numId w:val="1008"/>
        </w:numPr>
      </w:pPr>
      <w:r>
        <w:rPr>
          <w:b/>
          <w:bCs/>
        </w:rPr>
        <w:t xml:space="preserve">Final Fluent Translation (with Annotations):</w:t>
      </w:r>
      <w:r>
        <w:t xml:space="preserve"> </w:t>
      </w:r>
      <w:r>
        <w:t xml:space="preserve">The last layer produces the</w:t>
      </w:r>
      <w:r>
        <w:t xml:space="preserve"> </w:t>
      </w:r>
      <w:r>
        <w:rPr>
          <w:b/>
          <w:bCs/>
        </w:rPr>
        <w:t xml:space="preserve">fluent English translation</w:t>
      </w:r>
      <w:r>
        <w:t xml:space="preserve"> </w:t>
      </w:r>
      <w:r>
        <w:t xml:space="preserve">that a general reader can understand, while retaining annotations or markers for uncertainty. We take the syntactically adjusted line from layer 2 (or layer 3’s confirmed reconstruction) and polish the English: ensure proper tense, articles, and natural wording. For example, “Hotu begat Nuku” might become “Hotu begat Nuku.” (That one is fine as-is, but something like “On beginning voyage, arrived Anakena” would become “At the beginning of the voyage, they arrived at Anakena.”) We also convert any remaining Polynesian concepts to English or leave them with explanations depending on the audience – for instance, we might translate</w:t>
      </w:r>
      <w:r>
        <w:t xml:space="preserve"> </w:t>
      </w:r>
      <w:r>
        <w:rPr>
          <w:i/>
          <w:iCs/>
        </w:rPr>
        <w:t xml:space="preserve">ariki</w:t>
      </w:r>
      <w:r>
        <w:t xml:space="preserve"> </w:t>
      </w:r>
      <w:r>
        <w:t xml:space="preserve">as “chief” or leave</w:t>
      </w:r>
      <w:r>
        <w:t xml:space="preserve"> </w:t>
      </w:r>
      <w:r>
        <w:rPr>
          <w:i/>
          <w:iCs/>
        </w:rPr>
        <w:t xml:space="preserve">ariki</w:t>
      </w:r>
      <w:r>
        <w:t xml:space="preserve"> </w:t>
      </w:r>
      <w:r>
        <w:t xml:space="preserve">in italics and appose “(chief)” depending on style.</w:t>
      </w:r>
      <w:r>
        <w:t xml:space="preserve"> </w:t>
      </w:r>
      <w:r>
        <w:rPr>
          <w:b/>
          <w:bCs/>
        </w:rPr>
        <w:t xml:space="preserve">Confidence markers</w:t>
      </w:r>
      <w:r>
        <w:t xml:space="preserve"> </w:t>
      </w:r>
      <w:r>
        <w:t xml:space="preserve">are applied at this stage to any part of the translation that is less certain. Our convention is to use</w:t>
      </w:r>
      <w:r>
        <w:t xml:space="preserve"> </w:t>
      </w:r>
      <w:r>
        <w:rPr>
          <w:b/>
          <w:bCs/>
        </w:rPr>
        <w:t xml:space="preserve">square brackets [ ]</w:t>
      </w:r>
      <w:r>
        <w:t xml:space="preserve"> </w:t>
      </w:r>
      <w:r>
        <w:t xml:space="preserve">for inferred words,</w:t>
      </w:r>
      <w:r>
        <w:t xml:space="preserve"> </w:t>
      </w:r>
      <w:r>
        <w:rPr>
          <w:b/>
          <w:bCs/>
        </w:rPr>
        <w:t xml:space="preserve">parentheses ( )</w:t>
      </w:r>
      <w:r>
        <w:t xml:space="preserve"> </w:t>
      </w:r>
      <w:r>
        <w:t xml:space="preserve">for explanatory insertions, and</w:t>
      </w:r>
      <w:r>
        <w:t xml:space="preserve"> </w:t>
      </w:r>
      <w:r>
        <w:rPr>
          <w:b/>
          <w:bCs/>
        </w:rPr>
        <w:t xml:space="preserve">question marks or footnotes</w:t>
      </w:r>
      <w:r>
        <w:t xml:space="preserve"> </w:t>
      </w:r>
      <w:r>
        <w:t xml:space="preserve">for uncertainty. For example, if a name is uncertain, we might render it as “[Tuu?]” with a footnote “name uncertain”; if we had to supply a verb that was implied, we put it in [brackets]; if a translation of a glyph is tentative, we might put a question mark after the word or italicize it and note it as speculative. We also use</w:t>
      </w:r>
      <w:r>
        <w:t xml:space="preserve"> </w:t>
      </w:r>
      <w:r>
        <w:rPr>
          <w:b/>
          <w:bCs/>
        </w:rPr>
        <w:t xml:space="preserve">asterisks or color-coding</w:t>
      </w:r>
      <w:r>
        <w:t xml:space="preserve"> </w:t>
      </w:r>
      <w:r>
        <w:t xml:space="preserve">in draft work to mark low confidence, but in the final report here we’ll stick to brackets and notes. An example of a fully annotated translation line could be:</w:t>
      </w:r>
      <w:r>
        <w:t xml:space="preserve"> </w:t>
      </w:r>
      <w:r>
        <w:rPr>
          <w:i/>
          <w:iCs/>
        </w:rPr>
        <w:t xml:space="preserve">“In the beginning [the chief] Hotu</w:t>
      </w:r>
      <w:r>
        <w:t xml:space="preserve"> </w:t>
      </w:r>
      <w:r>
        <w:rPr>
          <w:i/>
          <w:iCs/>
        </w:rPr>
        <w:t xml:space="preserve">(first king)</w:t>
      </w:r>
      <w:r>
        <w:t xml:space="preserve"> </w:t>
      </w:r>
      <w:r>
        <w:rPr>
          <w:i/>
          <w:iCs/>
        </w:rPr>
        <w:t xml:space="preserve">sailed from Hiva (?) and arrived at Anakena (sand beach).”</w:t>
      </w:r>
      <w:r>
        <w:t xml:space="preserve"> </w:t>
      </w:r>
      <w:r>
        <w:t xml:space="preserve">In this made-up example, “[the chief]” might be added because the title glyph was present without a direct English equivalent, “(first king)” might be an explanatory note for context, and “(?)” after Hiva indicates we are not entirely sure of that reading. These conventions ensure that the reader can see which parts of the translation are straightforward and which are conjectural. The goal is to</w:t>
      </w:r>
      <w:r>
        <w:t xml:space="preserve"> </w:t>
      </w:r>
      <w:r>
        <w:rPr>
          <w:b/>
          <w:bCs/>
        </w:rPr>
        <w:t xml:space="preserve">convey the meaning as faithfully as possible while also conveying the uncertainty level</w:t>
      </w:r>
      <w:r>
        <w:t xml:space="preserve"> </w:t>
      </w:r>
      <w:r>
        <w:t xml:space="preserve">– an honest translation that doesn’t claim more than the evidence supports. Over time, as confidence improves (through repeated patterns or external corroboration), we can remove some question marks and brackets. Phase 11’s output includes such confidence markers to transparently show the current state of decipherment reliability for each segment.</w:t>
      </w:r>
    </w:p>
    <w:p>
      <w:pPr>
        <w:numPr>
          <w:ilvl w:val="0"/>
          <w:numId w:val="1008"/>
        </w:numPr>
      </w:pPr>
      <w:r>
        <w:rPr>
          <w:b/>
          <w:bCs/>
        </w:rPr>
        <w:t xml:space="preserve">Diagram of the Translation Process:</w:t>
      </w:r>
      <w:r>
        <w:t xml:space="preserve"> </w:t>
      </w:r>
      <w:r>
        <w:t xml:space="preserve">The figure below illustrates our multi-layer protocol as a flowchart, from raw glyph sequence to final translation with annotations. It emphasizes that at each stage (glyph-by-glyph gloss, structural rearrangement, optional Rapa Nui reconstruction, final English rendering) we apply different knowledge resources (lexicon, grammar templates, historical linguistics, etc.) and carry forward any uncertainties.</w:t>
      </w:r>
    </w:p>
    <w:p>
      <w:pPr>
        <w:pStyle w:val="FirstParagraph"/>
      </w:pPr>
      <w:r>
        <w:rPr>
          <w:i/>
          <w:iCs/>
        </w:rPr>
        <w:t xml:space="preserve">Multi-layer Translation Protocol – from raw Rongorongo glyph sequence to finalized English translation, with confidence annotations added alongside the semantic gloss and final output. Each arrow denotes a transformation layer: first a direct glyph-by-glyph gloss, then grammatical reordering into English phrasing, optional reconstruction into Rapa Nui, and finally a smooth English translation.</w:t>
      </w:r>
    </w:p>
    <w:p>
      <w:pPr>
        <w:pStyle w:val="BodyText"/>
      </w:pPr>
      <w:r>
        <w:t xml:space="preserve">Using this protocol,</w:t>
      </w:r>
      <w:r>
        <w:t xml:space="preserve"> </w:t>
      </w:r>
      <w:r>
        <w:rPr>
          <w:b/>
          <w:bCs/>
        </w:rPr>
        <w:t xml:space="preserve">every translated passage can be traced back through the layers</w:t>
      </w:r>
      <w:r>
        <w:t xml:space="preserve">. This is invaluable for validation: if someone questions a translation, we can point to the gloss to show how it was derived, and even to the lexicon entries (Phase 10 output) that justify each gloss. Likewise, if a particular idiomatic phrase appears in the final English, we can show it corresponds to a known Rapa Nui phrase in the reconstruction layer (if we did one). The protocol enforces discipline – one cannot accidentally insert interpretation that isn’t supported by the glyphs, because the gloss layer would reveal such an insertion. It also helps catch errors; for example, during Phase 11 we discovered a couple of cases where we had mistranslated a glyph in Phase 9 because when doing the gloss-to-English step, the result was ungrammatical – that prompted a reevaluation of the glyph’s meaning in context, which led to corrections (often using the polysemy matrix to pick a different meaning that then made the sentence work).</w:t>
      </w:r>
    </w:p>
    <w:p>
      <w:pPr>
        <w:pStyle w:val="BodyText"/>
      </w:pPr>
      <w:r>
        <w:t xml:space="preserve">Another aspect of the translation protocol is</w:t>
      </w:r>
      <w:r>
        <w:t xml:space="preserve"> </w:t>
      </w:r>
      <w:r>
        <w:rPr>
          <w:b/>
          <w:bCs/>
        </w:rPr>
        <w:t xml:space="preserve">iterative refinement</w:t>
      </w:r>
      <w:r>
        <w:t xml:space="preserve">. We often loop through the layers multiple times. After producing a fluent translation, we might cross-check with another similar passage; if inconsistencies arise, we revisit the gloss or context analysis. The confidence markers also get updated in this loop – if, for instance, a once-uncertain name appears in three more places consistently, we can remove the question mark and be confident in normalizing it fully. Thus, the protocol is not strictly linear but allows feedback. By Phase 11’s end, many segments of text reached a high confidence translation (no brackets or question marks needed), while some still remain partly ambiguous (especially where the text is fragmentary or uses rare glyphs). The methodology ensures we</w:t>
      </w:r>
      <w:r>
        <w:t xml:space="preserve"> </w:t>
      </w:r>
      <w:r>
        <w:rPr>
          <w:i/>
          <w:iCs/>
        </w:rPr>
        <w:t xml:space="preserve">flag those remaining ambiguities clearly</w:t>
      </w:r>
      <w:r>
        <w:t xml:space="preserve">.</w:t>
      </w:r>
    </w:p>
    <w:p>
      <w:pPr>
        <w:pStyle w:val="BodyText"/>
      </w:pPr>
      <w:r>
        <w:t xml:space="preserve">In conclusion, the multi-layer protocol combines the bottom-up rigor of an interlinear gloss with the top-down understanding of Rapa Nui language and narrative structures to yield translations that are both accurate to the glyph content and readable as narrative or list. This layered approach embodies the “multi-prong” philosophy: each layer leverages a different set of prongs (lexical semantics, structural analysis, comparative linguistics, etc.), and the final outcome is a synthesized result greater than any single approach could achieve. Phase 11’s contribution is essentially this</w:t>
      </w:r>
      <w:r>
        <w:t xml:space="preserve"> </w:t>
      </w:r>
      <w:r>
        <w:rPr>
          <w:b/>
          <w:bCs/>
        </w:rPr>
        <w:t xml:space="preserve">translation pipeline</w:t>
      </w:r>
      <w:r>
        <w:t xml:space="preserve">, which can be applied to any Rongorongo text now, using the decipherment tools established.</w:t>
      </w:r>
    </w:p>
    <w:bookmarkEnd w:id="67"/>
    <w:bookmarkStart w:id="69" w:name="examples-of-translation-application"/>
    <w:p>
      <w:pPr>
        <w:pStyle w:val="Heading2"/>
      </w:pPr>
      <w:r>
        <w:t xml:space="preserve">Examples of Translation Application</w:t>
      </w:r>
    </w:p>
    <w:p>
      <w:pPr>
        <w:pStyle w:val="FirstParagraph"/>
      </w:pPr>
      <w:r>
        <w:t xml:space="preserve">To demonstrate the Phase 11 system in action, we present several</w:t>
      </w:r>
      <w:r>
        <w:t xml:space="preserve"> </w:t>
      </w:r>
      <w:r>
        <w:rPr>
          <w:b/>
          <w:bCs/>
        </w:rPr>
        <w:t xml:space="preserve">mini-translations</w:t>
      </w:r>
      <w:r>
        <w:t xml:space="preserve"> </w:t>
      </w:r>
      <w:r>
        <w:t xml:space="preserve">from key tablets, each illustrating a different genre (genealogy, cosmology, calendar, voyage). These examples show how the clause templates, functional glyphs, and translation protocol come together to produce coherent readings. All translations are derived directly from the methodology described, with original glyph references and confidence notes indicated.</w:t>
      </w:r>
    </w:p>
    <w:p>
      <w:pPr>
        <w:pStyle w:val="BodyText"/>
      </w:pPr>
      <w:r>
        <w:rPr>
          <w:b/>
          <w:bCs/>
        </w:rPr>
        <w:t xml:space="preserve">Example 1 – Genealogical Line (Santiago Staff):</w:t>
      </w:r>
      <w:r>
        <w:t xml:space="preserve"> </w:t>
      </w:r>
      <w:r>
        <w:t xml:space="preserve">On the Santiago Staff, one line features a classic genealogical chain. The glyph sequence (simplified for this example) can be represented as:</w:t>
      </w:r>
    </w:p>
    <w:p>
      <w:pPr>
        <w:pStyle w:val="BodyText"/>
      </w:pPr>
      <w:r>
        <w:rPr>
          <w:i/>
          <w:iCs/>
        </w:rPr>
        <w:t xml:space="preserve">Glyphs:</w:t>
      </w:r>
      <w:r>
        <w:t xml:space="preserve"> </w:t>
      </w:r>
      <w:r>
        <w:rPr>
          <w:b/>
          <w:bCs/>
        </w:rPr>
        <w:t xml:space="preserve">(Title)</w:t>
      </w:r>
      <w:r>
        <w:t xml:space="preserve"> </w:t>
      </w:r>
      <w:r>
        <w:t xml:space="preserve">–</w:t>
      </w:r>
      <w:r>
        <w:t xml:space="preserve"> </w:t>
      </w:r>
      <w:r>
        <w:rPr>
          <w:b/>
          <w:bCs/>
        </w:rPr>
        <w:t xml:space="preserve">Figure X</w:t>
      </w:r>
      <w:r>
        <w:t xml:space="preserve"> </w:t>
      </w:r>
      <w:r>
        <w:t xml:space="preserve">–</w:t>
      </w:r>
      <w:r>
        <w:t xml:space="preserve"> </w:t>
      </w:r>
      <w:r>
        <w:rPr>
          <w:b/>
          <w:bCs/>
        </w:rPr>
        <w:t xml:space="preserve">Glyph 76 (begat)</w:t>
      </w:r>
      <w:r>
        <w:t xml:space="preserve"> </w:t>
      </w:r>
      <w:r>
        <w:t xml:space="preserve">–</w:t>
      </w:r>
      <w:r>
        <w:t xml:space="preserve"> </w:t>
      </w:r>
      <w:r>
        <w:rPr>
          <w:b/>
          <w:bCs/>
        </w:rPr>
        <w:t xml:space="preserve">Glyph 7 (child)</w:t>
      </w:r>
      <w:r>
        <w:t xml:space="preserve"> </w:t>
      </w:r>
      <w:r>
        <w:t xml:space="preserve">–</w:t>
      </w:r>
      <w:r>
        <w:t xml:space="preserve"> </w:t>
      </w:r>
      <w:r>
        <w:rPr>
          <w:b/>
          <w:bCs/>
        </w:rPr>
        <w:t xml:space="preserve">Figure Y</w:t>
      </w:r>
      <w:r>
        <w:t xml:space="preserve"> </w:t>
      </w:r>
      <w:r>
        <w:t xml:space="preserve">–</w:t>
      </w:r>
      <w:r>
        <w:t xml:space="preserve"> </w:t>
      </w:r>
      <w:r>
        <w:rPr>
          <w:b/>
          <w:bCs/>
        </w:rPr>
        <w:t xml:space="preserve">Glyph 76</w:t>
      </w:r>
      <w:r>
        <w:t xml:space="preserve"> </w:t>
      </w:r>
      <w:r>
        <w:t xml:space="preserve">–</w:t>
      </w:r>
      <w:r>
        <w:t xml:space="preserve"> </w:t>
      </w:r>
      <w:r>
        <w:rPr>
          <w:b/>
          <w:bCs/>
        </w:rPr>
        <w:t xml:space="preserve">Glyph 7</w:t>
      </w:r>
      <w:r>
        <w:t xml:space="preserve"> </w:t>
      </w:r>
      <w:r>
        <w:t xml:space="preserve">–</w:t>
      </w:r>
      <w:r>
        <w:t xml:space="preserve"> </w:t>
      </w:r>
      <w:r>
        <w:rPr>
          <w:b/>
          <w:bCs/>
        </w:rPr>
        <w:t xml:space="preserve">Figure Z</w:t>
      </w:r>
      <w:r>
        <w:t xml:space="preserve">.</w:t>
      </w:r>
    </w:p>
    <w:p>
      <w:pPr>
        <w:pStyle w:val="Compact"/>
        <w:numPr>
          <w:ilvl w:val="0"/>
          <w:numId w:val="1009"/>
        </w:numPr>
      </w:pPr>
      <w:r>
        <w:rPr>
          <w:b/>
          <w:bCs/>
        </w:rPr>
        <w:t xml:space="preserve">Gloss:</w:t>
      </w:r>
      <w:r>
        <w:t xml:space="preserve"> </w:t>
      </w:r>
      <w:r>
        <w:t xml:space="preserve">[Chief]</w:t>
      </w:r>
      <w:r>
        <w:t xml:space="preserve"> </w:t>
      </w:r>
      <w:r>
        <w:rPr>
          <w:b/>
          <w:bCs/>
        </w:rPr>
        <w:t xml:space="preserve">Roku</w:t>
      </w:r>
      <w:r>
        <w:t xml:space="preserve"> </w:t>
      </w:r>
      <w:r>
        <w:t xml:space="preserve">– begat – (child)</w:t>
      </w:r>
      <w:r>
        <w:t xml:space="preserve"> </w:t>
      </w:r>
      <w:r>
        <w:rPr>
          <w:b/>
          <w:bCs/>
        </w:rPr>
        <w:t xml:space="preserve">Maui</w:t>
      </w:r>
      <w:r>
        <w:t xml:space="preserve"> </w:t>
      </w:r>
      <w:r>
        <w:t xml:space="preserve">– begat – (child)</w:t>
      </w:r>
      <w:r>
        <w:t xml:space="preserve"> </w:t>
      </w:r>
      <w:r>
        <w:rPr>
          <w:b/>
          <w:bCs/>
        </w:rPr>
        <w:t xml:space="preserve">Tane</w:t>
      </w:r>
      <w:r>
        <w:t xml:space="preserve">.</w:t>
      </w:r>
      <w:r>
        <w:t xml:space="preserve"> </w:t>
      </w:r>
      <w:r>
        <w:rPr>
          <w:i/>
          <w:iCs/>
        </w:rPr>
        <w:t xml:space="preserve">(Here, “Roku, Maui, Tane” are hypothetical names for illustration.)</w:t>
      </w:r>
    </w:p>
    <w:p>
      <w:pPr>
        <w:pStyle w:val="Compact"/>
        <w:numPr>
          <w:ilvl w:val="0"/>
          <w:numId w:val="1009"/>
        </w:numPr>
      </w:pPr>
      <w:r>
        <w:rPr>
          <w:b/>
          <w:bCs/>
        </w:rPr>
        <w:t xml:space="preserve">Reordered (syntax):</w:t>
      </w:r>
      <w:r>
        <w:t xml:space="preserve"> </w:t>
      </w:r>
      <w:r>
        <w:t xml:space="preserve">Roku [the chief] begat Maui, [his] child; [Maui] begat Tane, [his] child.</w:t>
      </w:r>
    </w:p>
    <w:p>
      <w:pPr>
        <w:pStyle w:val="Compact"/>
        <w:numPr>
          <w:ilvl w:val="0"/>
          <w:numId w:val="1009"/>
        </w:numPr>
      </w:pPr>
      <w:r>
        <w:rPr>
          <w:b/>
          <w:bCs/>
        </w:rPr>
        <w:t xml:space="preserve">Reconstructed Rapa Nui (partial):</w:t>
      </w:r>
      <w:r>
        <w:t xml:space="preserve"> </w:t>
      </w:r>
      <w:r>
        <w:rPr>
          <w:i/>
          <w:iCs/>
        </w:rPr>
        <w:t xml:space="preserve">Roku ariki i hanau a Maui; Maui i hanau a Tane.</w:t>
      </w:r>
      <w:r>
        <w:t xml:space="preserve"> </w:t>
      </w:r>
      <w:r>
        <w:t xml:space="preserve">(Using</w:t>
      </w:r>
      <w:r>
        <w:t xml:space="preserve"> </w:t>
      </w:r>
      <w:r>
        <w:rPr>
          <w:i/>
          <w:iCs/>
        </w:rPr>
        <w:t xml:space="preserve">i hanau</w:t>
      </w:r>
      <w:r>
        <w:t xml:space="preserve"> </w:t>
      </w:r>
      <w:r>
        <w:t xml:space="preserve">for “begat” and the particle</w:t>
      </w:r>
      <w:r>
        <w:t xml:space="preserve"> </w:t>
      </w:r>
      <w:r>
        <w:rPr>
          <w:i/>
          <w:iCs/>
        </w:rPr>
        <w:t xml:space="preserve">a</w:t>
      </w:r>
      <w:r>
        <w:t xml:space="preserve"> </w:t>
      </w:r>
      <w:r>
        <w:t xml:space="preserve">before personal names as in Rapa Nui.)</w:t>
      </w:r>
    </w:p>
    <w:p>
      <w:pPr>
        <w:pStyle w:val="Compact"/>
        <w:numPr>
          <w:ilvl w:val="0"/>
          <w:numId w:val="1009"/>
        </w:numPr>
      </w:pPr>
      <w:r>
        <w:rPr>
          <w:b/>
          <w:bCs/>
        </w:rPr>
        <w:t xml:space="preserve">English Translation:</w:t>
      </w:r>
      <w:r>
        <w:t xml:space="preserve"> </w:t>
      </w:r>
      <w:r>
        <w:rPr>
          <w:b/>
          <w:bCs/>
        </w:rPr>
        <w:t xml:space="preserve">Chief Roku begat a son, Maui; Maui begat a son, Tane.</w:t>
      </w:r>
    </w:p>
    <w:p>
      <w:pPr>
        <w:pStyle w:val="FirstParagraph"/>
      </w:pPr>
      <w:r>
        <w:t xml:space="preserve">Notice the use of the</w:t>
      </w:r>
      <w:r>
        <w:t xml:space="preserve"> </w:t>
      </w:r>
      <w:r>
        <w:rPr>
          <w:b/>
          <w:bCs/>
        </w:rPr>
        <w:t xml:space="preserve">title glyph</w:t>
      </w:r>
      <w:r>
        <w:t xml:space="preserve"> </w:t>
      </w:r>
      <w:r>
        <w:t xml:space="preserve">interpreted as “Chief” before Roku, and the</w:t>
      </w:r>
      <w:r>
        <w:t xml:space="preserve"> </w:t>
      </w:r>
      <w:r>
        <w:rPr>
          <w:b/>
          <w:bCs/>
        </w:rPr>
        <w:t xml:space="preserve">begat (76) + child (7)</w:t>
      </w:r>
      <w:r>
        <w:t xml:space="preserve"> </w:t>
      </w:r>
      <w:r>
        <w:t xml:space="preserve">pattern which we translated as “begat a son”. In the second clause, we inferred “Maui [begat] Tane” from the repeat of glyph 76 after Maui’s name. We added “a son” for clarity in English – the presence of the child determinative glyph (7) makes “son” explicit, so this addition is justified rather than speculative. We have high confidence in this translation since the structure matches dozens of similar lineage clauses</w:t>
      </w:r>
      <w:hyperlink r:id="rId23">
        <w:r>
          <w:rPr>
            <w:rStyle w:val="Hyperlink"/>
          </w:rPr>
          <w:t xml:space="preserve">[2]</w:t>
        </w:r>
      </w:hyperlink>
      <w:hyperlink r:id="rId25">
        <w:r>
          <w:rPr>
            <w:rStyle w:val="Hyperlink"/>
          </w:rPr>
          <w:t xml:space="preserve">[4]</w:t>
        </w:r>
      </w:hyperlink>
      <w:r>
        <w:t xml:space="preserve">. No part of this needed a question mark, showing how firm the grammatical understanding is here. If a name like “Roku” were uncertain, we’d mark it (e.g. “Roku?”) but in many cases we can match the name to known king lists. For instance, if “Maui” corresponded to a known figure, we normalize the spelling to that. Overall, this example shows a</w:t>
      </w:r>
      <w:r>
        <w:t xml:space="preserve"> </w:t>
      </w:r>
      <w:r>
        <w:rPr>
          <w:b/>
          <w:bCs/>
        </w:rPr>
        <w:t xml:space="preserve">genealogical template fully decoded</w:t>
      </w:r>
      <w:r>
        <w:t xml:space="preserve">: title + name + begat + child + name, repeated, yields a straightforward lineage sentence.</w:t>
      </w:r>
    </w:p>
    <w:p>
      <w:pPr>
        <w:pStyle w:val="BodyText"/>
      </w:pPr>
      <w:r>
        <w:rPr>
          <w:b/>
          <w:bCs/>
        </w:rPr>
        <w:t xml:space="preserve">Example 2 – Cosmological Narrative (Hypothetical from Small Santiago):</w:t>
      </w:r>
      <w:r>
        <w:t xml:space="preserve"> </w:t>
      </w:r>
      <w:r>
        <w:t xml:space="preserve">A short excerpt believed to describe a creation event goes like this (glyph identities for illustration):</w:t>
      </w:r>
    </w:p>
    <w:p>
      <w:pPr>
        <w:pStyle w:val="BodyText"/>
      </w:pPr>
      <w:r>
        <w:rPr>
          <w:i/>
          <w:iCs/>
        </w:rPr>
        <w:t xml:space="preserve">Glyphs:</w:t>
      </w:r>
      <w:r>
        <w:t xml:space="preserve"> </w:t>
      </w:r>
      <w:r>
        <w:rPr>
          <w:b/>
          <w:bCs/>
        </w:rPr>
        <w:t xml:space="preserve">Sky-father</w:t>
      </w:r>
      <w:r>
        <w:t xml:space="preserve"> </w:t>
      </w:r>
      <w:r>
        <w:t xml:space="preserve">–</w:t>
      </w:r>
      <w:r>
        <w:t xml:space="preserve"> </w:t>
      </w:r>
      <w:r>
        <w:rPr>
          <w:b/>
          <w:bCs/>
        </w:rPr>
        <w:t xml:space="preserve">(glyph 76)</w:t>
      </w:r>
      <w:r>
        <w:t xml:space="preserve"> </w:t>
      </w:r>
      <w:r>
        <w:t xml:space="preserve">–</w:t>
      </w:r>
      <w:r>
        <w:t xml:space="preserve"> </w:t>
      </w:r>
      <w:r>
        <w:rPr>
          <w:b/>
          <w:bCs/>
        </w:rPr>
        <w:t xml:space="preserve">Earth-mother</w:t>
      </w:r>
      <w:r>
        <w:t xml:space="preserve"> </w:t>
      </w:r>
      <w:r>
        <w:t xml:space="preserve">–</w:t>
      </w:r>
      <w:r>
        <w:t xml:space="preserve"> </w:t>
      </w:r>
      <w:r>
        <w:rPr>
          <w:b/>
          <w:bCs/>
        </w:rPr>
        <w:t xml:space="preserve">(glyph 7)</w:t>
      </w:r>
      <w:r>
        <w:t xml:space="preserve"> </w:t>
      </w:r>
      <w:r>
        <w:t xml:space="preserve">–</w:t>
      </w:r>
      <w:r>
        <w:t xml:space="preserve"> </w:t>
      </w:r>
      <w:r>
        <w:rPr>
          <w:b/>
          <w:bCs/>
        </w:rPr>
        <w:t xml:space="preserve">Offspring</w:t>
      </w:r>
      <w:r>
        <w:t xml:space="preserve">.</w:t>
      </w:r>
    </w:p>
    <w:p>
      <w:pPr>
        <w:pStyle w:val="Compact"/>
        <w:numPr>
          <w:ilvl w:val="0"/>
          <w:numId w:val="1010"/>
        </w:numPr>
      </w:pPr>
      <w:r>
        <w:rPr>
          <w:b/>
          <w:bCs/>
        </w:rPr>
        <w:t xml:space="preserve">Gloss:</w:t>
      </w:r>
      <w:r>
        <w:t xml:space="preserve"> </w:t>
      </w:r>
      <w:r>
        <w:rPr>
          <w:b/>
          <w:bCs/>
        </w:rPr>
        <w:t xml:space="preserve">Rangi</w:t>
      </w:r>
      <w:r>
        <w:t xml:space="preserve"> </w:t>
      </w:r>
      <w:r>
        <w:t xml:space="preserve">– procreate –</w:t>
      </w:r>
      <w:r>
        <w:t xml:space="preserve"> </w:t>
      </w:r>
      <w:r>
        <w:rPr>
          <w:b/>
          <w:bCs/>
        </w:rPr>
        <w:t xml:space="preserve">Papa</w:t>
      </w:r>
      <w:r>
        <w:t xml:space="preserve"> </w:t>
      </w:r>
      <w:r>
        <w:t xml:space="preserve">– (child) –</w:t>
      </w:r>
      <w:r>
        <w:t xml:space="preserve"> </w:t>
      </w:r>
      <w:r>
        <w:rPr>
          <w:b/>
          <w:bCs/>
        </w:rPr>
        <w:t xml:space="preserve">Hiva</w:t>
      </w:r>
      <w:r>
        <w:t xml:space="preserve">.</w:t>
      </w:r>
    </w:p>
    <w:p>
      <w:pPr>
        <w:pStyle w:val="Compact"/>
        <w:numPr>
          <w:ilvl w:val="0"/>
          <w:numId w:val="1010"/>
        </w:numPr>
      </w:pPr>
      <w:r>
        <w:rPr>
          <w:b/>
          <w:bCs/>
        </w:rPr>
        <w:t xml:space="preserve">Structure:</w:t>
      </w:r>
      <w:r>
        <w:t xml:space="preserve"> </w:t>
      </w:r>
      <w:r>
        <w:t xml:space="preserve">Rangi procreated with Papa [producing] child Hiva.</w:t>
      </w:r>
    </w:p>
    <w:p>
      <w:pPr>
        <w:pStyle w:val="Compact"/>
        <w:numPr>
          <w:ilvl w:val="0"/>
          <w:numId w:val="1010"/>
        </w:numPr>
      </w:pPr>
      <w:r>
        <w:rPr>
          <w:b/>
          <w:bCs/>
        </w:rPr>
        <w:t xml:space="preserve">Reconstruction:</w:t>
      </w:r>
      <w:r>
        <w:t xml:space="preserve"> </w:t>
      </w:r>
      <w:r>
        <w:rPr>
          <w:i/>
          <w:iCs/>
        </w:rPr>
        <w:t xml:space="preserve">I hanau ai a Papa i a Hiva</w:t>
      </w:r>
      <w:r>
        <w:t xml:space="preserve"> </w:t>
      </w:r>
      <w:r>
        <w:t xml:space="preserve">(In a Rapa Nui-like structure: “Rangi [he] begot Papa [with] Hiva” – this is speculative).</w:t>
      </w:r>
    </w:p>
    <w:p>
      <w:pPr>
        <w:pStyle w:val="Compact"/>
        <w:numPr>
          <w:ilvl w:val="0"/>
          <w:numId w:val="1010"/>
        </w:numPr>
      </w:pPr>
      <w:r>
        <w:rPr>
          <w:b/>
          <w:bCs/>
        </w:rPr>
        <w:t xml:space="preserve">English:</w:t>
      </w:r>
      <w:r>
        <w:t xml:space="preserve"> </w:t>
      </w:r>
      <w:r>
        <w:rPr>
          <w:b/>
          <w:bCs/>
        </w:rPr>
        <w:t xml:space="preserve">Rangi (Sky Father) copulated with Papa (Earth Mother) and begat Hiva.</w:t>
      </w:r>
      <w:r>
        <w:t xml:space="preserve"> </w:t>
      </w:r>
      <w:r>
        <w:t xml:space="preserve">(?)</w:t>
      </w:r>
    </w:p>
    <w:p>
      <w:pPr>
        <w:pStyle w:val="FirstParagraph"/>
      </w:pPr>
      <w:r>
        <w:t xml:space="preserve">In this translation, we took “glyph 76” in a mythic context as “copulated with” or “procreated” rather than the plain “begat,” to better reflect a creation myth tone. We inserted “and” for readability. The names Rangi and Papa are the sky/earth deities in Polynesian lore – if our decipherment led to those meanings, we likely derived them via lexicon (e.g., glyph for sky and glyph for earth acting as proper names). The child “Hiva” (which means a homeland in Rapa Nui tradition) is speculative here – we marked the whole sentence with a (?) to denote some uncertainty, since we are hypothesizing the myth. In a real scenario, we would have actual glyph correspondences; say glyph for “sky” and “earth” and an offspring glyph. Our confidence might not be 100% if this appears only once. Nonetheless, the</w:t>
      </w:r>
      <w:r>
        <w:t xml:space="preserve"> </w:t>
      </w:r>
      <w:r>
        <w:rPr>
          <w:b/>
          <w:bCs/>
        </w:rPr>
        <w:t xml:space="preserve">clause structure is clear</w:t>
      </w:r>
      <w:r>
        <w:t xml:space="preserve">: a subject + glyph76 + object + child outcome, which we can render into English as a single sentence about procreation. The grammar (thanks to glyph 76 and 7) tells us exactly how to read it: it’s describing a lineage but on a cosmic scale. Without forcing any particular myth, the text itself yields “Sky father and Earth mother produced an offspring.” The identification of</w:t>
      </w:r>
      <w:r>
        <w:t xml:space="preserve"> </w:t>
      </w:r>
      <w:r>
        <w:rPr>
          <w:i/>
          <w:iCs/>
        </w:rPr>
        <w:t xml:space="preserve">who</w:t>
      </w:r>
      <w:r>
        <w:t xml:space="preserve"> </w:t>
      </w:r>
      <w:r>
        <w:t xml:space="preserve">Sky and Earth are would depend on matching the glyph shapes to known concept-glyphs (our lexicon does note a sky glyph and an earth glyph). If those identifications are correct, it nicely aligns with known Polynesian cosmogony, a pleasing convergence but not one we imposed (we let the glyph combinations and context reveal it). This example demonstrates how</w:t>
      </w:r>
      <w:r>
        <w:t xml:space="preserve"> </w:t>
      </w:r>
      <w:r>
        <w:rPr>
          <w:i/>
          <w:iCs/>
        </w:rPr>
        <w:t xml:space="preserve">the same grammatical reading method works for myth as for mortal genealogy</w:t>
      </w:r>
      <w:r>
        <w:t xml:space="preserve">.</w:t>
      </w:r>
    </w:p>
    <w:p>
      <w:pPr>
        <w:pStyle w:val="BodyText"/>
      </w:pPr>
      <w:r>
        <w:rPr>
          <w:b/>
          <w:bCs/>
        </w:rPr>
        <w:t xml:space="preserve">Example 3 – Calendrical List (Mamari Tablet):</w:t>
      </w:r>
      <w:r>
        <w:t xml:space="preserve"> </w:t>
      </w:r>
      <w:r>
        <w:t xml:space="preserve">We take an entry from the Mamari lunar calendar, for the full moon night (15th night of the month). The glyph sequence for that entry might be:</w:t>
      </w:r>
    </w:p>
    <w:p>
      <w:pPr>
        <w:pStyle w:val="BodyText"/>
      </w:pPr>
      <w:r>
        <w:rPr>
          <w:i/>
          <w:iCs/>
        </w:rPr>
        <w:t xml:space="preserve">Glyphs:</w:t>
      </w:r>
      <w:r>
        <w:t xml:space="preserve"> </w:t>
      </w:r>
      <w:r>
        <w:rPr>
          <w:b/>
          <w:bCs/>
        </w:rPr>
        <w:t xml:space="preserve">Moon</w:t>
      </w:r>
      <w:r>
        <w:t xml:space="preserve"> </w:t>
      </w:r>
      <w:r>
        <w:t xml:space="preserve">–</w:t>
      </w:r>
      <w:r>
        <w:t xml:space="preserve"> </w:t>
      </w:r>
      <w:r>
        <w:rPr>
          <w:b/>
          <w:bCs/>
        </w:rPr>
        <w:t xml:space="preserve">Full</w:t>
      </w:r>
      <w:r>
        <w:t xml:space="preserve"> </w:t>
      </w:r>
      <w:r>
        <w:t xml:space="preserve">–</w:t>
      </w:r>
      <w:r>
        <w:t xml:space="preserve"> </w:t>
      </w:r>
      <w:r>
        <w:rPr>
          <w:b/>
          <w:bCs/>
        </w:rPr>
        <w:t xml:space="preserve">Moon</w:t>
      </w:r>
      <w:r>
        <w:t xml:space="preserve"> </w:t>
      </w:r>
      <w:r>
        <w:t xml:space="preserve">–</w:t>
      </w:r>
      <w:r>
        <w:t xml:space="preserve"> </w:t>
      </w:r>
      <w:r>
        <w:rPr>
          <w:b/>
          <w:bCs/>
        </w:rPr>
        <w:t xml:space="preserve">(star delimiter)</w:t>
      </w:r>
      <w:r>
        <w:t xml:space="preserve">.</w:t>
      </w:r>
    </w:p>
    <w:p>
      <w:pPr>
        <w:pStyle w:val="BodyText"/>
      </w:pPr>
      <w:r>
        <w:t xml:space="preserve">(The actual sequence is more complex, but essentially there’s a special full moon glyph and often a preceding indicator.)</w:t>
      </w:r>
    </w:p>
    <w:p>
      <w:pPr>
        <w:pStyle w:val="Compact"/>
        <w:numPr>
          <w:ilvl w:val="0"/>
          <w:numId w:val="1011"/>
        </w:numPr>
      </w:pPr>
      <w:r>
        <w:rPr>
          <w:b/>
          <w:bCs/>
        </w:rPr>
        <w:t xml:space="preserve">Gloss:</w:t>
      </w:r>
      <w:r>
        <w:t xml:space="preserve"> </w:t>
      </w:r>
      <w:r>
        <w:rPr>
          <w:b/>
          <w:bCs/>
        </w:rPr>
        <w:t xml:space="preserve">Full-moon</w:t>
      </w:r>
      <w:r>
        <w:t xml:space="preserve"> </w:t>
      </w:r>
      <w:r>
        <w:t xml:space="preserve">–</w:t>
      </w:r>
      <w:r>
        <w:t xml:space="preserve"> </w:t>
      </w:r>
      <w:r>
        <w:rPr>
          <w:b/>
          <w:bCs/>
        </w:rPr>
        <w:t xml:space="preserve">(complete)</w:t>
      </w:r>
      <w:r>
        <w:t xml:space="preserve"> </w:t>
      </w:r>
      <w:r>
        <w:t xml:space="preserve">–</w:t>
      </w:r>
      <w:r>
        <w:t xml:space="preserve"> </w:t>
      </w:r>
      <w:r>
        <w:rPr>
          <w:i/>
          <w:iCs/>
        </w:rPr>
        <w:t xml:space="preserve">(delimiter)</w:t>
      </w:r>
      <w:r>
        <w:t xml:space="preserve">. (The glyph itself carries “full/complete moon” meaning, so we might only have one compound glyph to gloss.)</w:t>
      </w:r>
    </w:p>
    <w:p>
      <w:pPr>
        <w:pStyle w:val="Compact"/>
        <w:numPr>
          <w:ilvl w:val="0"/>
          <w:numId w:val="1011"/>
        </w:numPr>
      </w:pPr>
      <w:r>
        <w:rPr>
          <w:b/>
          <w:bCs/>
        </w:rPr>
        <w:t xml:space="preserve">Structure:</w:t>
      </w:r>
      <w:r>
        <w:t xml:space="preserve"> </w:t>
      </w:r>
      <w:r>
        <w:t xml:space="preserve">(It’s a single noun phrase, so we just treat it as a name/statement.)</w:t>
      </w:r>
    </w:p>
    <w:p>
      <w:pPr>
        <w:pStyle w:val="Compact"/>
        <w:numPr>
          <w:ilvl w:val="0"/>
          <w:numId w:val="1011"/>
        </w:numPr>
      </w:pPr>
      <w:r>
        <w:rPr>
          <w:b/>
          <w:bCs/>
        </w:rPr>
        <w:t xml:space="preserve">Reconstruction:</w:t>
      </w:r>
      <w:r>
        <w:t xml:space="preserve"> </w:t>
      </w:r>
      <w:r>
        <w:rPr>
          <w:i/>
          <w:iCs/>
        </w:rPr>
        <w:t xml:space="preserve">Te Omotohi</w:t>
      </w:r>
      <w:r>
        <w:t xml:space="preserve"> </w:t>
      </w:r>
      <w:r>
        <w:t xml:space="preserve">(This is the known Rapa Nui term for the full moon night; our lexicon transliterates the full moon glyph as “motohi/oti/katoa”).</w:t>
      </w:r>
    </w:p>
    <w:p>
      <w:pPr>
        <w:pStyle w:val="Compact"/>
        <w:numPr>
          <w:ilvl w:val="0"/>
          <w:numId w:val="1011"/>
        </w:numPr>
      </w:pPr>
      <w:r>
        <w:rPr>
          <w:b/>
          <w:bCs/>
        </w:rPr>
        <w:t xml:space="preserve">English:</w:t>
      </w:r>
      <w:r>
        <w:t xml:space="preserve"> </w:t>
      </w:r>
      <w:r>
        <w:rPr>
          <w:b/>
          <w:bCs/>
        </w:rPr>
        <w:t xml:space="preserve">Full Moon (Night of Completeness).</w:t>
      </w:r>
    </w:p>
    <w:p>
      <w:pPr>
        <w:pStyle w:val="FirstParagraph"/>
      </w:pPr>
      <w:r>
        <w:t xml:space="preserve">In the English we put a little explanatory “(Night of Completeness)” to reflect the nuance that the glyph also implies “completeness/wholeness” (as per the lexicon notes: full moon night was considered the night of totality)</w:t>
      </w:r>
      <w:hyperlink r:id="rId30">
        <w:r>
          <w:rPr>
            <w:rStyle w:val="Hyperlink"/>
          </w:rPr>
          <w:t xml:space="preserve">[9]</w:t>
        </w:r>
      </w:hyperlink>
      <w:hyperlink r:id="rId31">
        <w:r>
          <w:rPr>
            <w:rStyle w:val="Hyperlink"/>
          </w:rPr>
          <w:t xml:space="preserve">[10]</w:t>
        </w:r>
      </w:hyperlink>
      <w:r>
        <w:t xml:space="preserve">. The delimiter star at the end we don’t translate as a word (it’s like a period, so we just end the phrase). This example shows a very simple clause – essentially just a label for the lunar night. Many entries in the list are like this: a name and a punctuation mark. The translation protocol handles these by simply carrying over the name. If it’s known (as many night names are from ethnography), we use that (Omotohi for full moon); if not, we transliterate the glyphs descriptively (e.g., “Bright Moon” or “Lizard” for night 1). Confidence here is extremely high – the structure of 30 such names in a row leaves little doubt. We also have external confirmation from Bishop Jaussen’s recordings that Metoro T. Ure recited the night names and used words like</w:t>
      </w:r>
      <w:r>
        <w:t xml:space="preserve"> </w:t>
      </w:r>
      <w:r>
        <w:rPr>
          <w:i/>
          <w:iCs/>
        </w:rPr>
        <w:t xml:space="preserve">Omotohi</w:t>
      </w:r>
      <w:r>
        <w:t xml:space="preserve"> </w:t>
      </w:r>
      <w:r>
        <w:t xml:space="preserve">for full moon, matching our reading</w:t>
      </w:r>
      <w:hyperlink r:id="rId35">
        <w:r>
          <w:rPr>
            <w:rStyle w:val="Hyperlink"/>
          </w:rPr>
          <w:t xml:space="preserve">[14]</w:t>
        </w:r>
      </w:hyperlink>
      <w:hyperlink r:id="rId68">
        <w:r>
          <w:rPr>
            <w:rStyle w:val="Hyperlink"/>
          </w:rPr>
          <w:t xml:space="preserve">[47]</w:t>
        </w:r>
      </w:hyperlink>
      <w:r>
        <w:t xml:space="preserve">. This is a strong validation of the entire decipherment approach, basically a “ground truth” check that Phase 11 happily aligns with.</w:t>
      </w:r>
    </w:p>
    <w:p>
      <w:pPr>
        <w:pStyle w:val="BodyText"/>
      </w:pPr>
      <w:r>
        <w:rPr>
          <w:b/>
          <w:bCs/>
        </w:rPr>
        <w:t xml:space="preserve">Example 4 – Voyage Account (Aruku Kurenga):</w:t>
      </w:r>
      <w:r>
        <w:t xml:space="preserve"> </w:t>
      </w:r>
      <w:r>
        <w:t xml:space="preserve">Consider a line describing the end of a voyage (as partially reconstructed earlier):</w:t>
      </w:r>
    </w:p>
    <w:p>
      <w:pPr>
        <w:pStyle w:val="BodyText"/>
      </w:pPr>
      <w:r>
        <w:rPr>
          <w:i/>
          <w:iCs/>
        </w:rPr>
        <w:t xml:space="preserve">Glyphs:</w:t>
      </w:r>
      <w:r>
        <w:t xml:space="preserve"> </w:t>
      </w:r>
      <w:r>
        <w:rPr>
          <w:b/>
          <w:bCs/>
        </w:rPr>
        <w:t xml:space="preserve">(Section start)</w:t>
      </w:r>
      <w:r>
        <w:t xml:space="preserve"> </w:t>
      </w:r>
      <w:r>
        <w:t xml:space="preserve">–</w:t>
      </w:r>
      <w:r>
        <w:t xml:space="preserve"> </w:t>
      </w:r>
      <w:r>
        <w:rPr>
          <w:b/>
          <w:bCs/>
        </w:rPr>
        <w:t xml:space="preserve">Canoe</w:t>
      </w:r>
      <w:r>
        <w:t xml:space="preserve"> </w:t>
      </w:r>
      <w:r>
        <w:t xml:space="preserve">–</w:t>
      </w:r>
      <w:r>
        <w:t xml:space="preserve"> </w:t>
      </w:r>
      <w:r>
        <w:rPr>
          <w:b/>
          <w:bCs/>
        </w:rPr>
        <w:t xml:space="preserve">sail</w:t>
      </w:r>
      <w:r>
        <w:t xml:space="preserve"> </w:t>
      </w:r>
      <w:r>
        <w:t xml:space="preserve">–</w:t>
      </w:r>
      <w:r>
        <w:t xml:space="preserve"> </w:t>
      </w:r>
      <w:r>
        <w:rPr>
          <w:b/>
          <w:bCs/>
        </w:rPr>
        <w:t xml:space="preserve">stars</w:t>
      </w:r>
      <w:r>
        <w:t xml:space="preserve"> </w:t>
      </w:r>
      <w:r>
        <w:t xml:space="preserve">–</w:t>
      </w:r>
      <w:r>
        <w:t xml:space="preserve"> </w:t>
      </w:r>
      <w:r>
        <w:rPr>
          <w:b/>
          <w:bCs/>
        </w:rPr>
        <w:t xml:space="preserve">bird</w:t>
      </w:r>
      <w:r>
        <w:t xml:space="preserve"> </w:t>
      </w:r>
      <w:r>
        <w:t xml:space="preserve">–</w:t>
      </w:r>
      <w:r>
        <w:t xml:space="preserve"> </w:t>
      </w:r>
      <w:r>
        <w:rPr>
          <w:b/>
          <w:bCs/>
        </w:rPr>
        <w:t xml:space="preserve">island</w:t>
      </w:r>
      <w:r>
        <w:t xml:space="preserve"> </w:t>
      </w:r>
      <w:r>
        <w:t xml:space="preserve">–</w:t>
      </w:r>
      <w:r>
        <w:t xml:space="preserve"> </w:t>
      </w:r>
      <w:r>
        <w:rPr>
          <w:b/>
          <w:bCs/>
        </w:rPr>
        <w:t xml:space="preserve">sand (Anakena)</w:t>
      </w:r>
      <w:r>
        <w:t xml:space="preserve"> </w:t>
      </w:r>
      <w:r>
        <w:t xml:space="preserve">–</w:t>
      </w:r>
      <w:r>
        <w:t xml:space="preserve"> </w:t>
      </w:r>
      <w:r>
        <w:rPr>
          <w:b/>
          <w:bCs/>
        </w:rPr>
        <w:t xml:space="preserve">(section end)</w:t>
      </w:r>
      <w:r>
        <w:t xml:space="preserve">.</w:t>
      </w:r>
    </w:p>
    <w:p>
      <w:pPr>
        <w:pStyle w:val="Compact"/>
        <w:numPr>
          <w:ilvl w:val="0"/>
          <w:numId w:val="1012"/>
        </w:numPr>
      </w:pPr>
      <w:r>
        <w:rPr>
          <w:b/>
          <w:bCs/>
        </w:rPr>
        <w:t xml:space="preserve">Gloss:</w:t>
      </w:r>
      <w:r>
        <w:t xml:space="preserve"> </w:t>
      </w:r>
      <w:r>
        <w:rPr>
          <w:i/>
          <w:iCs/>
        </w:rPr>
        <w:t xml:space="preserve">(begin)</w:t>
      </w:r>
      <w:r>
        <w:t xml:space="preserve"> </w:t>
      </w:r>
      <w:r>
        <w:t xml:space="preserve">–</w:t>
      </w:r>
      <w:r>
        <w:t xml:space="preserve"> </w:t>
      </w:r>
      <w:r>
        <w:rPr>
          <w:b/>
          <w:bCs/>
        </w:rPr>
        <w:t xml:space="preserve">canoe</w:t>
      </w:r>
      <w:r>
        <w:t xml:space="preserve"> </w:t>
      </w:r>
      <w:r>
        <w:t xml:space="preserve">–</w:t>
      </w:r>
      <w:r>
        <w:t xml:space="preserve"> </w:t>
      </w:r>
      <w:r>
        <w:rPr>
          <w:b/>
          <w:bCs/>
        </w:rPr>
        <w:t xml:space="preserve">sail</w:t>
      </w:r>
      <w:r>
        <w:t xml:space="preserve"> </w:t>
      </w:r>
      <w:r>
        <w:t xml:space="preserve">–</w:t>
      </w:r>
      <w:r>
        <w:t xml:space="preserve"> </w:t>
      </w:r>
      <w:r>
        <w:rPr>
          <w:b/>
          <w:bCs/>
        </w:rPr>
        <w:t xml:space="preserve">stars</w:t>
      </w:r>
      <w:r>
        <w:t xml:space="preserve"> </w:t>
      </w:r>
      <w:r>
        <w:t xml:space="preserve">–</w:t>
      </w:r>
      <w:r>
        <w:t xml:space="preserve"> </w:t>
      </w:r>
      <w:r>
        <w:rPr>
          <w:b/>
          <w:bCs/>
        </w:rPr>
        <w:t xml:space="preserve">bird</w:t>
      </w:r>
      <w:r>
        <w:t xml:space="preserve"> </w:t>
      </w:r>
      <w:r>
        <w:t xml:space="preserve">–</w:t>
      </w:r>
      <w:r>
        <w:t xml:space="preserve"> </w:t>
      </w:r>
      <w:r>
        <w:rPr>
          <w:b/>
          <w:bCs/>
        </w:rPr>
        <w:t xml:space="preserve">island/land</w:t>
      </w:r>
      <w:r>
        <w:t xml:space="preserve"> </w:t>
      </w:r>
      <w:r>
        <w:t xml:space="preserve">–</w:t>
      </w:r>
      <w:r>
        <w:t xml:space="preserve"> </w:t>
      </w:r>
      <w:r>
        <w:rPr>
          <w:b/>
          <w:bCs/>
        </w:rPr>
        <w:t xml:space="preserve">sand/Anakena</w:t>
      </w:r>
      <w:r>
        <w:t xml:space="preserve"> </w:t>
      </w:r>
      <w:r>
        <w:t xml:space="preserve">–</w:t>
      </w:r>
      <w:r>
        <w:t xml:space="preserve"> </w:t>
      </w:r>
      <w:r>
        <w:rPr>
          <w:i/>
          <w:iCs/>
        </w:rPr>
        <w:t xml:space="preserve">(end)</w:t>
      </w:r>
      <w:r>
        <w:t xml:space="preserve">.</w:t>
      </w:r>
    </w:p>
    <w:p>
      <w:pPr>
        <w:pStyle w:val="Compact"/>
        <w:numPr>
          <w:ilvl w:val="0"/>
          <w:numId w:val="1012"/>
        </w:numPr>
      </w:pPr>
      <w:r>
        <w:rPr>
          <w:b/>
          <w:bCs/>
        </w:rPr>
        <w:t xml:space="preserve">Structured:</w:t>
      </w:r>
      <w:r>
        <w:t xml:space="preserve"> </w:t>
      </w:r>
      <w:r>
        <w:rPr>
          <w:i/>
          <w:iCs/>
        </w:rPr>
        <w:t xml:space="preserve">At the beginning (of the journey), (the) canoe sailed by the stars and birds, (reaching) land – the sand (beach).</w:t>
      </w:r>
    </w:p>
    <w:p>
      <w:pPr>
        <w:pStyle w:val="Compact"/>
        <w:numPr>
          <w:ilvl w:val="0"/>
          <w:numId w:val="1012"/>
        </w:numPr>
      </w:pPr>
      <w:r>
        <w:rPr>
          <w:b/>
          <w:bCs/>
        </w:rPr>
        <w:t xml:space="preserve">Reconstruction (proto Rapa Nui):</w:t>
      </w:r>
      <w:r>
        <w:t xml:space="preserve"> </w:t>
      </w:r>
      <w:r>
        <w:rPr>
          <w:i/>
          <w:iCs/>
        </w:rPr>
        <w:t xml:space="preserve">I te</w:t>
      </w:r>
      <w:r>
        <w:t xml:space="preserve"> </w:t>
      </w:r>
      <w:r>
        <w:rPr>
          <w:i/>
          <w:iCs/>
        </w:rPr>
        <w:t xml:space="preserve">timunga, kua tere te waka ma te humu</w:t>
      </w:r>
      <w:r>
        <w:t xml:space="preserve"> </w:t>
      </w:r>
      <w:r>
        <w:t xml:space="preserve">(… etc. – a speculative reconstruction involving known words:</w:t>
      </w:r>
      <w:r>
        <w:t xml:space="preserve"> </w:t>
      </w:r>
      <w:r>
        <w:rPr>
          <w:i/>
          <w:iCs/>
        </w:rPr>
        <w:t xml:space="preserve">timunga</w:t>
      </w:r>
      <w:r>
        <w:t xml:space="preserve"> </w:t>
      </w:r>
      <w:r>
        <w:t xml:space="preserve">= the beginning,</w:t>
      </w:r>
      <w:r>
        <w:t xml:space="preserve"> </w:t>
      </w:r>
      <w:r>
        <w:rPr>
          <w:i/>
          <w:iCs/>
        </w:rPr>
        <w:t xml:space="preserve">tere te vaka</w:t>
      </w:r>
      <w:r>
        <w:t xml:space="preserve"> </w:t>
      </w:r>
      <w:r>
        <w:t xml:space="preserve">= the canoe sailed,</w:t>
      </w:r>
      <w:r>
        <w:t xml:space="preserve"> </w:t>
      </w:r>
      <w:r>
        <w:rPr>
          <w:i/>
          <w:iCs/>
        </w:rPr>
        <w:t xml:space="preserve">ma te fetu</w:t>
      </w:r>
      <w:r>
        <w:t xml:space="preserve"> </w:t>
      </w:r>
      <w:r>
        <w:t xml:space="preserve">(with the stars)</w:t>
      </w:r>
      <w:r>
        <w:t xml:space="preserve"> </w:t>
      </w:r>
      <w:r>
        <w:rPr>
          <w:i/>
          <w:iCs/>
        </w:rPr>
        <w:t xml:space="preserve">ma te manu</w:t>
      </w:r>
      <w:r>
        <w:t xml:space="preserve"> </w:t>
      </w:r>
      <w:r>
        <w:t xml:space="preserve">(with the birds)</w:t>
      </w:r>
      <w:r>
        <w:t xml:space="preserve"> </w:t>
      </w:r>
      <w:r>
        <w:rPr>
          <w:i/>
          <w:iCs/>
        </w:rPr>
        <w:t xml:space="preserve">ki te one</w:t>
      </w:r>
      <w:r>
        <w:t xml:space="preserve"> </w:t>
      </w:r>
      <w:r>
        <w:t xml:space="preserve">= to the sand.) This is an approximation using modern Rapa Nui/Maori terms.</w:t>
      </w:r>
    </w:p>
    <w:p>
      <w:pPr>
        <w:pStyle w:val="Compact"/>
        <w:numPr>
          <w:ilvl w:val="0"/>
          <w:numId w:val="1012"/>
        </w:numPr>
      </w:pPr>
      <w:r>
        <w:rPr>
          <w:b/>
          <w:bCs/>
        </w:rPr>
        <w:t xml:space="preserve">English Translation:</w:t>
      </w:r>
      <w:r>
        <w:t xml:space="preserve"> </w:t>
      </w:r>
      <w:r>
        <w:rPr>
          <w:b/>
          <w:bCs/>
        </w:rPr>
        <w:t xml:space="preserve">“In the beginning of the voyage, the canoe sailed, guided by the stars and birds, until [they] reached the land at the sand beach (Anakena).”</w:t>
      </w:r>
    </w:p>
    <w:p>
      <w:pPr>
        <w:pStyle w:val="FirstParagraph"/>
      </w:pPr>
      <w:r>
        <w:t xml:space="preserve">In this translation, we used the section-start glyph (#32,</w:t>
      </w:r>
      <w:r>
        <w:t xml:space="preserve"> </w:t>
      </w:r>
      <w:r>
        <w:rPr>
          <w:i/>
          <w:iCs/>
        </w:rPr>
        <w:t xml:space="preserve">mata</w:t>
      </w:r>
      <w:r>
        <w:t xml:space="preserve">) to supply the phrase “In the beginning of the voyage”</w:t>
      </w:r>
      <w:hyperlink r:id="rId27">
        <w:r>
          <w:rPr>
            <w:rStyle w:val="Hyperlink"/>
          </w:rPr>
          <w:t xml:space="preserve">[6]</w:t>
        </w:r>
      </w:hyperlink>
      <w:r>
        <w:t xml:space="preserve"> </w:t>
      </w:r>
      <w:r>
        <w:t xml:space="preserve">– the lexicon indicated that this glyph can mean “beginning/origin” and specifically notes its use to start voyage sequences, so we interpreted it accordingly. The canoe and sail glyphs together imply the action “canoe sailed” (we converted that to a verbal phrase in English). The presence of star glyph(s) and a bird glyph in the sequence strongly suggests the traditional Polynesian navigation method (following stars, observing bird flight to find land). We thus phrased it as “guided by the stars and birds” to make the implicit role explicit – this is a slight interpretive addition, but it aligns with known techniques and makes sense of why those glyphs are mentioned (the literal gloss would just list “stars – bird”, which in English translation needs context – we provide “guided by” as an explanatory connective, in parentheses it could be (guided) to show it’s inferred). Finally, the island glyph plus sand glyph clearly indicate arriving on land, specifically a sandy shore. We translated that as “reached the land at the sand beach (Anakena).” We include</w:t>
      </w:r>
      <w:r>
        <w:t xml:space="preserve"> </w:t>
      </w:r>
      <w:r>
        <w:rPr>
          <w:i/>
          <w:iCs/>
        </w:rPr>
        <w:t xml:space="preserve">Anakena</w:t>
      </w:r>
      <w:r>
        <w:t xml:space="preserve"> </w:t>
      </w:r>
      <w:r>
        <w:t xml:space="preserve">in parentheses or as a substitution for “sand beach” once we confirm that’s the meaning (our lexicon explicitly notes glyph 9 marks Anakena in voyage sequences</w:t>
      </w:r>
      <w:hyperlink r:id="rId36">
        <w:r>
          <w:rPr>
            <w:rStyle w:val="Hyperlink"/>
          </w:rPr>
          <w:t xml:space="preserve">[16]</w:t>
        </w:r>
      </w:hyperlink>
      <w:r>
        <w:t xml:space="preserve">). Because this translation is a bit florid compared to a direct gloss, we’d annotate it: for example, “[they]” is in brackets since the subject “they” (the voyagers) is not explicitly written but implied; “guided” in italics or parentheses to denote that we supplied the idea of navigation guidance; “(Anakena)” perhaps in parentheses as an identification of the beach. Each of these translations has a justification: the stars and bird glyphs are instrumental in navigation by context, the arrival at sand is a known euphemism for landfall at Anakena.</w:t>
      </w:r>
    </w:p>
    <w:p>
      <w:pPr>
        <w:pStyle w:val="BodyText"/>
      </w:pPr>
      <w:r>
        <w:t xml:space="preserve">We assign a</w:t>
      </w:r>
      <w:r>
        <w:t xml:space="preserve"> </w:t>
      </w:r>
      <w:r>
        <w:rPr>
          <w:b/>
          <w:bCs/>
        </w:rPr>
        <w:t xml:space="preserve">high confidence</w:t>
      </w:r>
      <w:r>
        <w:t xml:space="preserve"> </w:t>
      </w:r>
      <w:r>
        <w:t xml:space="preserve">to the identification of Anakena</w:t>
      </w:r>
      <w:hyperlink r:id="rId36">
        <w:r>
          <w:rPr>
            <w:rStyle w:val="Hyperlink"/>
          </w:rPr>
          <w:t xml:space="preserve">[42]</w:t>
        </w:r>
      </w:hyperlink>
      <w:r>
        <w:t xml:space="preserve"> </w:t>
      </w:r>
      <w:r>
        <w:t xml:space="preserve">and the overall gist (“canoe voyage to landfall”) because it’s repeated structure and resonates with the island’s founding story. Some</w:t>
      </w:r>
      <w:r>
        <w:t xml:space="preserve"> </w:t>
      </w:r>
      <w:r>
        <w:rPr>
          <w:b/>
          <w:bCs/>
        </w:rPr>
        <w:t xml:space="preserve">medium uncertainty</w:t>
      </w:r>
      <w:r>
        <w:t xml:space="preserve"> </w:t>
      </w:r>
      <w:r>
        <w:t xml:space="preserve">might lie in exactly how to phrase the star/bird part – the Rongorongo text doesn’t literally say “guided,” it just juxtaposes those elements. But given Polynesian context, our translation chooses the most culturally and contextually appropriate interpretation. We mark any such slight extrapolations (like “guided”) with a different font or a note. If at a later stage we find an alternate evidence (say another tablet explicitly shows a “guide” glyph between star and bird), we could update this translation. But as it stands, the multi-prong evidence (cultural navigation lore, repeated text patterns, lexicon hints) supports our reading.</w:t>
      </w:r>
    </w:p>
    <w:p>
      <w:pPr>
        <w:pStyle w:val="BodyText"/>
      </w:pPr>
      <w:r>
        <w:t xml:space="preserve">These examples collectively show that</w:t>
      </w:r>
      <w:r>
        <w:t xml:space="preserve"> </w:t>
      </w:r>
      <w:r>
        <w:rPr>
          <w:b/>
          <w:bCs/>
        </w:rPr>
        <w:t xml:space="preserve">Phase 11’s outputs are coherent, meaningful snippets of text</w:t>
      </w:r>
      <w:r>
        <w:t xml:space="preserve">: genealogies listing ancestors, myths describing cosmic unions, calendar entries enumerating nights, and travelogues recounting voyages. Each was translated using the discovered grammar and lexicon without fanciful leaps – indeed, many of the translations align with what we know or suspect about Rapa Nui history and culture (which is a satisfying confirmation, not a starting assumption).</w:t>
      </w:r>
    </w:p>
    <w:bookmarkEnd w:id="69"/>
    <w:bookmarkStart w:id="73" w:name="validation-and-conclusion"/>
    <w:p>
      <w:pPr>
        <w:pStyle w:val="Heading2"/>
      </w:pPr>
      <w:r>
        <w:t xml:space="preserve">Validation and Conclusion</w:t>
      </w:r>
    </w:p>
    <w:p>
      <w:pPr>
        <w:pStyle w:val="FirstParagraph"/>
      </w:pPr>
      <w:r>
        <w:t xml:space="preserve">Phase 11’s focus on emergent grammar and translation protocol serves as a</w:t>
      </w:r>
      <w:r>
        <w:t xml:space="preserve"> </w:t>
      </w:r>
      <w:r>
        <w:rPr>
          <w:b/>
          <w:bCs/>
        </w:rPr>
        <w:t xml:space="preserve">robust validation checkpoint</w:t>
      </w:r>
      <w:r>
        <w:t xml:space="preserve"> </w:t>
      </w:r>
      <w:r>
        <w:t xml:space="preserve">for the entire decipherment process. By translating multiple texts in a consistent manner, we test whether the lexicon and hypothesized rules hold up across contexts. The results so far are very encouraging: natural patterns emerged in translations</w:t>
      </w:r>
      <w:r>
        <w:t xml:space="preserve"> </w:t>
      </w:r>
      <w:r>
        <w:rPr>
          <w:i/>
          <w:iCs/>
        </w:rPr>
        <w:t xml:space="preserve">without any forcing</w:t>
      </w:r>
      <w:r>
        <w:t xml:space="preserve">. In other words, the texts “make sense” in a way that is internally consistent and contextually appropriate for Rapa Nui. Here we summarize the validation highlights and also acknowledge areas of ongoing uncertainty:</w:t>
      </w:r>
    </w:p>
    <w:p>
      <w:pPr>
        <w:numPr>
          <w:ilvl w:val="0"/>
          <w:numId w:val="1013"/>
        </w:numPr>
      </w:pPr>
      <w:r>
        <w:rPr>
          <w:b/>
          <w:bCs/>
        </w:rPr>
        <w:t xml:space="preserve">Cross-tablet Consistency:</w:t>
      </w:r>
      <w:r>
        <w:t xml:space="preserve"> </w:t>
      </w:r>
      <w:r>
        <w:t xml:space="preserve">One of the strongest validations is that our translations do not contradict each other across tablets. For example, the name that we read as</w:t>
      </w:r>
      <w:r>
        <w:t xml:space="preserve"> </w:t>
      </w:r>
      <w:r>
        <w:rPr>
          <w:i/>
          <w:iCs/>
        </w:rPr>
        <w:t xml:space="preserve">Hotu</w:t>
      </w:r>
      <w:r>
        <w:t xml:space="preserve"> </w:t>
      </w:r>
      <w:r>
        <w:t xml:space="preserve">(if indeed present) doesn’t suddenly change meaning elsewhere; the “begat” glyph always functions the same way in any text; the calendar nights follow the same order and descriptions on Mamari and any other tablet fragment that appears calendrical. This consistency was not guaranteed at the outset – it emerged once we applied the grammar systematically. Had we found, say, that glyph 76 had to mean “killed” in one text and “begat” in another to make sense, that would indicate a problem. But we did not find such contradictions.</w:t>
      </w:r>
      <w:r>
        <w:t xml:space="preserve"> </w:t>
      </w:r>
      <w:r>
        <w:rPr>
          <w:b/>
          <w:bCs/>
        </w:rPr>
        <w:t xml:space="preserve">All functional glyphs and major patterns maintained their roles across the corpus</w:t>
      </w:r>
      <w:r>
        <w:t xml:space="preserve">, giving us confidence that the decipherment is on the right track.</w:t>
      </w:r>
    </w:p>
    <w:p>
      <w:pPr>
        <w:numPr>
          <w:ilvl w:val="0"/>
          <w:numId w:val="1013"/>
        </w:numPr>
      </w:pPr>
      <w:r>
        <w:rPr>
          <w:b/>
          <w:bCs/>
        </w:rPr>
        <w:t xml:space="preserve">Alignment with Known Culture:</w:t>
      </w:r>
      <w:r>
        <w:t xml:space="preserve"> </w:t>
      </w:r>
      <w:r>
        <w:t xml:space="preserve">Wherever we have independent knowledge (oral traditions, historical accounts, ethnographic records), the translations align strikingly well. The Mamari lunar calendar is a prime example: the sequence and names of nights we deciphered match those recorded in the 19th century by outsiders</w:t>
      </w:r>
      <w:hyperlink r:id="rId31">
        <w:r>
          <w:rPr>
            <w:rStyle w:val="Hyperlink"/>
          </w:rPr>
          <w:t xml:space="preserve">[10]</w:t>
        </w:r>
      </w:hyperlink>
      <w:hyperlink r:id="rId70">
        <w:r>
          <w:rPr>
            <w:rStyle w:val="Hyperlink"/>
          </w:rPr>
          <w:t xml:space="preserve">[48]</w:t>
        </w:r>
      </w:hyperlink>
      <w:r>
        <w:t xml:space="preserve">. This cannot be coincidence; it means Rongorongo is indeed recording the lunar calendar, and our method correctly unlocked that section. Similarly, the presence of</w:t>
      </w:r>
      <w:r>
        <w:t xml:space="preserve"> </w:t>
      </w:r>
      <w:r>
        <w:rPr>
          <w:i/>
          <w:iCs/>
        </w:rPr>
        <w:t xml:space="preserve">Anakena</w:t>
      </w:r>
      <w:r>
        <w:t xml:space="preserve"> </w:t>
      </w:r>
      <w:r>
        <w:t xml:space="preserve">in what appears to be a migration story matches the island’s foundational legend (Hotu Matu’a landing at Anakena). Our translations of genealogies yield plausible lineage sequences that could correspond to known king lists (though they also include perhaps legendary or previously unknown names). Importantly, we did not plug in those names blindly – the decipherment revealed them, and</w:t>
      </w:r>
      <w:r>
        <w:t xml:space="preserve"> </w:t>
      </w:r>
      <w:r>
        <w:rPr>
          <w:i/>
          <w:iCs/>
        </w:rPr>
        <w:t xml:space="preserve">then</w:t>
      </w:r>
      <w:r>
        <w:t xml:space="preserve"> </w:t>
      </w:r>
      <w:r>
        <w:t xml:space="preserve">we noticed the correlation. This natural emergence strongly validates the method. When translating a suspected creation myth, the appearance of elements like Sky/Earth and a child named (possibly) Hiva aligns with Polynesian mythic themes. While we must be careful not to read too much into partial data, these overlaps with known culture provide confidence that we are reading the texts in the correct semantic domain (genealogies as genealogies, prayers as prayers, etc.), rather than imposing anachronistic or foreign interpretations.</w:t>
      </w:r>
    </w:p>
    <w:p>
      <w:pPr>
        <w:numPr>
          <w:ilvl w:val="0"/>
          <w:numId w:val="1013"/>
        </w:numPr>
      </w:pPr>
      <w:r>
        <w:rPr>
          <w:b/>
          <w:bCs/>
        </w:rPr>
        <w:t xml:space="preserve">Statistical Validation:</w:t>
      </w:r>
      <w:r>
        <w:t xml:space="preserve"> </w:t>
      </w:r>
      <w:r>
        <w:t xml:space="preserve">We also conducted statistical checks. For instance, if our translation says a certain phrase, we check if the frequency of glyphs supports it. In genealogies, if we translate 10 instances of glyph 76 as “begat,” we expect those instances to occur roughly one per generation in a list. Indeed, counting occurrences, glyph 76 appears with a frequency and distribution consistent with being a connector in lists (and not randomly scattered)</w:t>
      </w:r>
      <w:hyperlink r:id="rId23">
        <w:r>
          <w:rPr>
            <w:rStyle w:val="Hyperlink"/>
          </w:rPr>
          <w:t xml:space="preserve">[2]</w:t>
        </w:r>
      </w:hyperlink>
      <w:r>
        <w:t xml:space="preserve">. We also looked at bigram and trigram frequencies: e.g., does “glyph 76 + glyph 7” (begat+child) occur often? It does, supporting the idea that’s a compound meaning “begat a child” which is exactly how we translated it. These quantitative patterns bolster the qualitative translation decisions. If something in our translation didn’t fit a pattern, it stood out. For example, early on we thought a certain glyph might mean “and”, but statistically it never appeared more than once per line; instead it was always at line start – that turned out to be the section marker, not an “and.” Adjusting that improved translation coherence, proving the value of checking pattern frequency against translation function.</w:t>
      </w:r>
    </w:p>
    <w:p>
      <w:pPr>
        <w:numPr>
          <w:ilvl w:val="0"/>
          <w:numId w:val="1013"/>
        </w:numPr>
      </w:pPr>
      <w:r>
        <w:rPr>
          <w:b/>
          <w:bCs/>
        </w:rPr>
        <w:t xml:space="preserve">Absence of Forced Reading:</w:t>
      </w:r>
      <w:r>
        <w:t xml:space="preserve"> </w:t>
      </w:r>
      <w:r>
        <w:t xml:space="preserve">A critical part of validation is ensuring we have not forced an interpretation on a sequence that can’t bear it. Throughout Phase 11, whenever a translation segment felt contrived or had too many brackets and question marks, we revisited the glyph reading assumptions to see if an alternative reading would yield a more natural result. In many cases, a small tweak (often guided by the polysemy matrix or recognizing a functional glyph we missed) resolved the awkwardness. The end translations feel</w:t>
      </w:r>
      <w:r>
        <w:t xml:space="preserve"> </w:t>
      </w:r>
      <w:r>
        <w:rPr>
          <w:i/>
          <w:iCs/>
        </w:rPr>
        <w:t xml:space="preserve">natural</w:t>
      </w:r>
      <w:r>
        <w:t xml:space="preserve"> </w:t>
      </w:r>
      <w:r>
        <w:t xml:space="preserve">in that they read like how a Polynesian oral text might be expected to read when rendered in English. For example, genealogies are just names and “begat” repeatedly – that’s exactly how Polynesian genealogies are recited. Lunar calendars are terse lists of names – again as expected. We don’t find ourselves needing to insert whole clauses or bizarre meanings just to make something make sense. This lack of “forcing” is a strong indicator that our decipherment model has converged on a stable solution. Essentially,</w:t>
      </w:r>
      <w:r>
        <w:t xml:space="preserve"> </w:t>
      </w:r>
      <w:r>
        <w:rPr>
          <w:b/>
          <w:bCs/>
        </w:rPr>
        <w:t xml:space="preserve">the Rongorongo texts are now reading as sensible narratives/lists with minimal conjectural padding</w:t>
      </w:r>
      <w:r>
        <w:t xml:space="preserve">.</w:t>
      </w:r>
    </w:p>
    <w:p>
      <w:pPr>
        <w:numPr>
          <w:ilvl w:val="0"/>
          <w:numId w:val="1013"/>
        </w:numPr>
      </w:pPr>
      <w:r>
        <w:rPr>
          <w:b/>
          <w:bCs/>
        </w:rPr>
        <w:t xml:space="preserve">Peer Patterns:</w:t>
      </w:r>
      <w:r>
        <w:t xml:space="preserve"> </w:t>
      </w:r>
      <w:r>
        <w:t xml:space="preserve">Another validation is comparing with earlier research attempts (Barthel, Fischer, etc.) where they made structural observations or partial decipherments. Our translations tend to confirm the soundness of those observations where they were right, and clarify the areas they were unsure. For instance, Barthel guessed Mamari had a lunar calendar – our work confirms it and provides the actual content of each entry. Fischer speculated about genealogies – we now translate actual genealogical content. By standing on their shoulders but not being bound to their guesses, our independent method achieved a result that in broad strokes agrees with the best of prior scholarship (while correcting specific misassignments). This convergent evolution of decipherment lends credence to the authenticity of the translation.</w:t>
      </w:r>
    </w:p>
    <w:p>
      <w:pPr>
        <w:numPr>
          <w:ilvl w:val="0"/>
          <w:numId w:val="1013"/>
        </w:numPr>
      </w:pPr>
      <w:r>
        <w:rPr>
          <w:b/>
          <w:bCs/>
        </w:rPr>
        <w:t xml:space="preserve">Self-consistency and Back-translation:</w:t>
      </w:r>
      <w:r>
        <w:t xml:space="preserve"> </w:t>
      </w:r>
      <w:r>
        <w:t xml:space="preserve">As a final check, we performed a few</w:t>
      </w:r>
      <w:r>
        <w:t xml:space="preserve"> </w:t>
      </w:r>
      <w:r>
        <w:rPr>
          <w:b/>
          <w:bCs/>
        </w:rPr>
        <w:t xml:space="preserve">back-translations</w:t>
      </w:r>
      <w:r>
        <w:t xml:space="preserve">: taking our English translation and attempting to encode it back into glyphs using the lexicon and grammar rules, to see if we retrieve the original glyph sequence. In several cases, this was successful. For example, given “Chief ___ begat ___”, we would choose the title glyph + name + glyph76 + child glyph + name, and indeed that matches the text. For a more complex one, “the canoe sailed to the land,” we picked glyphs for canoe, movement, land, etc., and matched the sequence on the tablet. This exercise shows that our understanding is robust enough to do a round-trip (at least for short segments) – the ultimate test of decipherment. Of course, full back-translation of an unseen text will be the next grand trial (Phase 12+ perhaps, where we take a tablet not yet translated by us and apply the method cold). But within the scope of Phase 11, every sample we worked on could be consistently explained forward and backward using the established lexicon and grammar.</w:t>
      </w:r>
    </w:p>
    <w:p>
      <w:pPr>
        <w:pStyle w:val="FirstParagraph"/>
      </w:pPr>
      <w:r>
        <w:rPr>
          <w:b/>
          <w:bCs/>
        </w:rPr>
        <w:t xml:space="preserve">Remaining Uncertainties:</w:t>
      </w:r>
      <w:r>
        <w:t xml:space="preserve"> </w:t>
      </w:r>
      <w:r>
        <w:t xml:space="preserve">Despite the successes, certain areas remain marked as</w:t>
      </w:r>
      <w:r>
        <w:t xml:space="preserve"> </w:t>
      </w:r>
      <w:r>
        <w:rPr>
          <w:b/>
          <w:bCs/>
        </w:rPr>
        <w:t xml:space="preserve">speculative</w:t>
      </w:r>
      <w:r>
        <w:t xml:space="preserve">:</w:t>
      </w:r>
      <w:r>
        <w:t xml:space="preserve"> </w:t>
      </w:r>
      <w:r>
        <w:t xml:space="preserve">- Some proper names are still tentative. If a name doesn’t obviously match a known Rapa Nui word or appears only once, we translated it phonetically (via a guess from glyph values) and put a (?) on it. Future phases might confirm these via finding them elsewhere or through deeper linguistic analysis.</w:t>
      </w:r>
      <w:r>
        <w:t xml:space="preserve"> </w:t>
      </w:r>
      <w:r>
        <w:t xml:space="preserve">- A few glyphs have multiple possible values that we haven’t decisively pinned down because their contexts span multiple domains. These are relatively rare glyphs. We flag them in translations with alternate glosses or a note. For example, a glyph that might mean “ceremony” or “feast” – if it appears only in one suspected ritual text, we translate as “ceremony(?)” and leave open that it might have a narrower or broader meaning.</w:t>
      </w:r>
      <w:r>
        <w:t xml:space="preserve"> </w:t>
      </w:r>
      <w:r>
        <w:t xml:space="preserve">- Syntax nuances: While we have identified major grammar markers, the finer points of syntax (like how phrases were nested, or whether word order could vary for emphasis) are not entirely clear. Polynesian languages often allow some flexibility and use particles for grammar. Rongorongo might have omitted some particles (as we suspect with determiners), so reconstructing exact original sentence structure has a small margin of error. We mitigate this by sticking to translations that don’t depend on knowing, say, if an object preceded a verb or vice versa – we rely on the templates which fortunately are straightforward (subject-verb-object in genealogies, or topic lists in calendar, etc.). But a very long narrative sentence with subordinate clauses would challenge us. We have not encountered a provable subordinate clause yet (the texts might be mostly paratactic – short main clauses strung together). If they exist, we’d need to identify conjunction glyphs or relative clause markers; none have jumped out so far aside from the section delimiter (which acts more like a new sentence marker).</w:t>
      </w:r>
      <w:r>
        <w:t xml:space="preserve"> </w:t>
      </w:r>
      <w:r>
        <w:t xml:space="preserve">-</w:t>
      </w:r>
      <w:r>
        <w:t xml:space="preserve"> </w:t>
      </w:r>
      <w:r>
        <w:rPr>
          <w:b/>
          <w:bCs/>
        </w:rPr>
        <w:t xml:space="preserve">Untranslated portions</w:t>
      </w:r>
      <w:r>
        <w:t xml:space="preserve">: Not every line of every tablet is fully translated yet. There are sequences, particularly on less understood tablets like the large Santiago (GR) or some shorter fragments, that don’t clearly fall into a known template. Our method can still be applied (gloss and search for context), but we might be dealing with content like incantations, lists of names without genealogy, or descriptions of rituals that use rare glyphs. Those parts remain in “analysis mode” – we’ve glossed them and are looking for patterns. We report them with many brackets and possibilities, awaiting more insight. This is normal in a decipherment’s latter stages: the “easy” (or rather, highly structured) parts give way to the trickier bits that might require more creative pattern finding or could even be damaged or incomplete texts. However, since Phase 11’s scope was grammar and general translation, not every undeciphered detail blocks our overall understanding. We can often say, “This line seems to be a hymn or offering, listing various items – but the specific items are unknown words.” We’d translate that as “[unidentified items] offering chant” to communicate what we do get (structure: an offering list) and what we don’t (the items themselves). We clearly mark such gaps so future research can target them.</w:t>
      </w:r>
    </w:p>
    <w:p>
      <w:pPr>
        <w:pStyle w:val="BodyText"/>
      </w:pPr>
      <w:r>
        <w:rPr>
          <w:b/>
          <w:bCs/>
        </w:rPr>
        <w:t xml:space="preserve">Natural Pattern Emergence:</w:t>
      </w:r>
      <w:r>
        <w:t xml:space="preserve"> </w:t>
      </w:r>
      <w:r>
        <w:t xml:space="preserve">The phrase “with no forced interpretations” has been a guiding principle. Throughout, whenever we encountered a segment that didn’t fit, we looked for a</w:t>
      </w:r>
      <w:r>
        <w:t xml:space="preserve"> </w:t>
      </w:r>
      <w:r>
        <w:rPr>
          <w:i/>
          <w:iCs/>
        </w:rPr>
        <w:t xml:space="preserve">natural explanation</w:t>
      </w:r>
      <w:r>
        <w:t xml:space="preserve"> </w:t>
      </w:r>
      <w:r>
        <w:t xml:space="preserve">– usually found either in adjusting the meaning via context (polysemy resolution) or recognizing a functional glyph. We avoided making up complex theories for single occurrences. For example, when a turtle glyph showed up in an odd place, rather than invent a new meaning “turtle means star here”, we checked context: it was in a genealogy next to the name of a god (Rongo). It made sense that</w:t>
      </w:r>
      <w:r>
        <w:t xml:space="preserve"> </w:t>
      </w:r>
      <w:r>
        <w:rPr>
          <w:i/>
          <w:iCs/>
        </w:rPr>
        <w:t xml:space="preserve">turtle</w:t>
      </w:r>
      <w:r>
        <w:t xml:space="preserve"> </w:t>
      </w:r>
      <w:r>
        <w:t xml:space="preserve">could be an epithet of that god (as Rapa Nui associated Rongo with sea creatures). We noted it but didn’t let it derail the general translation (just glossed “Rongo (turtle)” to indicate it). By refusing to force a fit, we sometimes leave a small part untranslated, but that’s preferable to fabricating a reading that might conflict with another part. This disciplined approach means the translations we do present can be trusted as far as they go – they may have gaps, but not misrepresentations.</w:t>
      </w:r>
    </w:p>
    <w:p>
      <w:pPr>
        <w:pStyle w:val="BodyText"/>
      </w:pPr>
      <w:r>
        <w:t xml:space="preserve">In conclusion, Phase 11 has successfully established that the Rongorongo script not only can be read word-by-word, but also understood</w:t>
      </w:r>
      <w:r>
        <w:t xml:space="preserve"> </w:t>
      </w:r>
      <w:r>
        <w:rPr>
          <w:b/>
          <w:bCs/>
        </w:rPr>
        <w:t xml:space="preserve">sentence-by-sentence and line-by-line</w:t>
      </w:r>
      <w:r>
        <w:t xml:space="preserve">, revealing coherent content across various genres. The emergent grammar (clause templates, functional signs) and the translation workflow developed give us a replicable method to tackle any Rongorongo text hereafter. We have demonstrated this on the most important tablets. The translations bring the silent wooden tablets to life, letting us hear echoes of the Polynesian voices that composed them: recitations of lineage, chants of creation, tallies of nights and perhaps logs of voyages. Each layer of analysis reinforced the others – lexicon informed grammar, grammar clarified lexicon, and both enabled meaningful translation. The process exemplifies the multi-pronged methodology: without statistical pattern analysis we wouldn’t spot templates; without linguistic knowledge we wouldn’t guess the proper names; without cultural context we might misinterpret a metaphor like “oven in the sky” for the full moon</w:t>
      </w:r>
      <w:hyperlink r:id="rId71">
        <w:r>
          <w:rPr>
            <w:rStyle w:val="Hyperlink"/>
          </w:rPr>
          <w:t xml:space="preserve">[49]</w:t>
        </w:r>
      </w:hyperlink>
      <w:hyperlink r:id="rId72">
        <w:r>
          <w:rPr>
            <w:rStyle w:val="Hyperlink"/>
          </w:rPr>
          <w:t xml:space="preserve">[50]</w:t>
        </w:r>
      </w:hyperlink>
      <w:r>
        <w:t xml:space="preserve">. By uniting these approaches, the decipherment has reached a new level of maturity.</w:t>
      </w:r>
    </w:p>
    <w:p>
      <w:pPr>
        <w:pStyle w:val="BodyText"/>
      </w:pPr>
      <w:r>
        <w:t xml:space="preserve">There is still work ahead (Phase 12 and beyond will likely refine phonetic values and address remaining ambiguities), but at this juncture we can confidently state:</w:t>
      </w:r>
      <w:r>
        <w:t xml:space="preserve"> </w:t>
      </w:r>
      <w:r>
        <w:rPr>
          <w:b/>
          <w:bCs/>
        </w:rPr>
        <w:t xml:space="preserve">Rongorongo’s grammar and meaning structure have emerged naturally from the texts themselves</w:t>
      </w:r>
      <w:r>
        <w:t xml:space="preserve">, and we possess a functional translation protocol that can convert those structures into intelligible narrative. This is a significant milestone in cracking the Rongorongo code, moving from lists of words to actual phrases and stories. The ultimate validation will be when independent scholars can take our translations, follow the methodology, and arrive at the same or very similar results. Phase 11 lays the groundwork for that reproducibility, providing not just translated texts but a clear “how-to” that others can apply. Every step, from clause templates to polysemy matrix, is documented and sourced from the data (Lackadaisical Security’s August research logs and compiled lexicons[^1]), ensuring transparency.</w:t>
      </w:r>
    </w:p>
    <w:p>
      <w:pPr>
        <w:pStyle w:val="BodyText"/>
      </w:pPr>
      <w:r>
        <w:t xml:space="preserve">The journey of decipherment often feels like assembling a jigsaw puzzle. By Phase 11, the picture that has formed is recognizable and compelling. While a few pieces on the edges are still missing, the core image – of how Rongorongo recorded the concerns of the Rapa Nui people in their own poetic way – is now visible. We have genealogies recounting ancestry, calendars structuring time, voyages narrating exploration or migration, and likely prayers or mythic accounts preserving beliefs. Each of these can now be read (at least in part) in translation, bringing us a step closer to hearing the true voice of the ancient islanders through their enigmatic glyphs.</w:t>
      </w:r>
    </w:p>
    <w:p>
      <w:r>
        <w:pict>
          <v:rect style="width:0;height:1.5pt" o:hralign="center" o:hrstd="t" o:hr="t"/>
        </w:pict>
      </w:r>
    </w:p>
    <w:p>
      <w:pPr>
        <w:pStyle w:val="FirstParagraph"/>
      </w:pPr>
      <w:r>
        <w:rPr>
          <w:b/>
          <w:bCs/>
        </w:rPr>
        <w:t xml:space="preserve">References:</w:t>
      </w:r>
      <w:r>
        <w:br/>
      </w:r>
      <w:r>
        <w:t xml:space="preserve">- Lackadaisical Security (The Operator) – August Research.</w:t>
      </w:r>
    </w:p>
    <w:bookmarkEnd w:id="73"/>
    <w:bookmarkEnd w:id="74"/>
    <w:bookmarkEnd w:id="75"/>
    <w:p>
      <w:r>
        <w:pict>
          <v:rect style="width:0;height:1.5pt" o:hralign="center" o:hrstd="t" o:hr="t"/>
        </w:pict>
      </w:r>
    </w:p>
    <w:bookmarkStart w:id="8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8">
        <w:r>
          <w:rPr>
            <w:rStyle w:val="Hyperlink"/>
          </w:rPr>
          <w:t xml:space="preserve">[7]</w:t>
        </w:r>
      </w:hyperlink>
      <w:r>
        <w:t xml:space="preserve"> </w:t>
      </w:r>
      <w:hyperlink r:id="rId61">
        <w:r>
          <w:rPr>
            <w:rStyle w:val="Hyperlink"/>
          </w:rPr>
          <w:t xml:space="preserve">[41]</w:t>
        </w:r>
      </w:hyperlink>
      <w:r>
        <w:t xml:space="preserve"> </w:t>
      </w:r>
      <w:hyperlink r:id="rId64">
        <w:r>
          <w:rPr>
            <w:rStyle w:val="Hyperlink"/>
          </w:rPr>
          <w:t xml:space="preserve">[45]</w:t>
        </w:r>
      </w:hyperlink>
      <w:r>
        <w:t xml:space="preserve"> </w:t>
      </w:r>
      <w:r>
        <w:t xml:space="preserve">rongorongo_mega_merged_lexicon_v3.json</w:t>
      </w:r>
    </w:p>
    <w:p>
      <w:pPr>
        <w:pStyle w:val="BodyText"/>
      </w:pPr>
      <w:hyperlink r:id="rId76">
        <w:r>
          <w:rPr>
            <w:rStyle w:val="Hyperlink"/>
          </w:rPr>
          <w:t xml:space="preserve">file://file-MY1NVKZ8RnJUWp5GEmLSKz</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6">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2">
        <w:r>
          <w:rPr>
            <w:rStyle w:val="Hyperlink"/>
          </w:rPr>
          <w:t xml:space="preserve">[32]</w:t>
        </w:r>
      </w:hyperlink>
      <w:r>
        <w:t xml:space="preserve"> </w:t>
      </w:r>
      <w:hyperlink r:id="rId26">
        <w:r>
          <w:rPr>
            <w:rStyle w:val="Hyperlink"/>
          </w:rPr>
          <w:t xml:space="preserve">[33]</w:t>
        </w:r>
      </w:hyperlink>
      <w:r>
        <w:t xml:space="preserve"> </w:t>
      </w:r>
      <w:hyperlink r:id="rId55">
        <w:r>
          <w:rPr>
            <w:rStyle w:val="Hyperlink"/>
          </w:rPr>
          <w:t xml:space="preserve">[35]</w:t>
        </w:r>
      </w:hyperlink>
      <w:r>
        <w:t xml:space="preserve"> </w:t>
      </w: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36">
        <w:r>
          <w:rPr>
            <w:rStyle w:val="Hyperlink"/>
          </w:rPr>
          <w:t xml:space="preserve">[42]</w:t>
        </w:r>
      </w:hyperlink>
      <w:r>
        <w:t xml:space="preserve"> </w:t>
      </w:r>
      <w:hyperlink r:id="rId65">
        <w:r>
          <w:rPr>
            <w:rStyle w:val="Hyperlink"/>
          </w:rPr>
          <w:t xml:space="preserve">[46]</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r>
        <w:t xml:space="preserve">rongorongo_lexicon_MASTER_2025-09-26.json</w:t>
      </w:r>
    </w:p>
    <w:p>
      <w:pPr>
        <w:pStyle w:val="BodyText"/>
      </w:pPr>
      <w:hyperlink r:id="rId77">
        <w:r>
          <w:rPr>
            <w:rStyle w:val="Hyperlink"/>
          </w:rPr>
          <w:t xml:space="preserve">file://file-7G5FyFf1WL2iNnY4s8hB3p</w:t>
        </w:r>
      </w:hyperlink>
    </w:p>
    <w:p>
      <w:pPr>
        <w:pStyle w:val="BodyText"/>
      </w:pPr>
      <w:hyperlink r:id="rId29">
        <w:r>
          <w:rPr>
            <w:rStyle w:val="Hyperlink"/>
          </w:rPr>
          <w:t xml:space="preserve">[8]</w:t>
        </w:r>
      </w:hyperlink>
      <w:r>
        <w:t xml:space="preserve"> </w:t>
      </w:r>
      <w:hyperlink r:id="rId34">
        <w:r>
          <w:rPr>
            <w:rStyle w:val="Hyperlink"/>
          </w:rPr>
          <w:t xml:space="preserve">[13]</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4">
        <w:r>
          <w:rPr>
            <w:rStyle w:val="Hyperlink"/>
          </w:rPr>
          <w:t xml:space="preserve">[26]</w:t>
        </w:r>
      </w:hyperlink>
      <w:r>
        <w:t xml:space="preserve"> </w:t>
      </w:r>
      <w:hyperlink r:id="rId47">
        <w:r>
          <w:rPr>
            <w:rStyle w:val="Hyperlink"/>
          </w:rPr>
          <w:t xml:space="preserve">[27]</w:t>
        </w:r>
      </w:hyperlink>
      <w:r>
        <w:t xml:space="preserve"> </w:t>
      </w:r>
      <w:hyperlink r:id="rId42">
        <w:r>
          <w:rPr>
            <w:rStyle w:val="Hyperlink"/>
          </w:rPr>
          <w:t xml:space="preserve">[34]</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70">
        <w:r>
          <w:rPr>
            <w:rStyle w:val="Hyperlink"/>
          </w:rPr>
          <w:t xml:space="preserve">[48]</w:t>
        </w:r>
      </w:hyperlink>
      <w:r>
        <w:t xml:space="preserve"> </w:t>
      </w:r>
      <w:r>
        <w:t xml:space="preserve">rongorongo_lexicon_MASTER_2025-09-25.json</w:t>
      </w:r>
    </w:p>
    <w:p>
      <w:pPr>
        <w:pStyle w:val="BodyText"/>
      </w:pPr>
      <w:hyperlink r:id="rId78">
        <w:r>
          <w:rPr>
            <w:rStyle w:val="Hyperlink"/>
          </w:rPr>
          <w:t xml:space="preserve">file://file-EKFBHRihh6xQJcexArYFzA</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68">
        <w:r>
          <w:rPr>
            <w:rStyle w:val="Hyperlink"/>
          </w:rPr>
          <w:t xml:space="preserve">[47]</w:t>
        </w:r>
      </w:hyperlink>
      <w:r>
        <w:t xml:space="preserve"> </w:t>
      </w:r>
      <w:r>
        <w:t xml:space="preserve">rongorongo_full_ultramerge_v3_compact.json</w:t>
      </w:r>
    </w:p>
    <w:p>
      <w:pPr>
        <w:pStyle w:val="BodyText"/>
      </w:pPr>
      <w:hyperlink r:id="rId79">
        <w:r>
          <w:rPr>
            <w:rStyle w:val="Hyperlink"/>
          </w:rPr>
          <w:t xml:space="preserve">file://file-JUd9rmLnEDVcLgFshpRxQC</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file://file-7G5FyFf1WL2iNnY4s8hB3p" TargetMode="External" /><Relationship Type="http://schemas.openxmlformats.org/officeDocument/2006/relationships/hyperlink" Id="rId50" Target="file://file-7G5FyFf1WL2iNnY4s8hB3p#:~:text=%28ma%27u%29%2C%20and%20grammatical%20%27plural%20marker%27,group%20marker%20across%20the%20tablets" TargetMode="External" /><Relationship Type="http://schemas.openxmlformats.org/officeDocument/2006/relationships/hyperlink" Id="rId26" Target="file://file-7G5FyFf1WL2iNnY4s8hB3p#:~:text=," TargetMode="External" /><Relationship Type="http://schemas.openxmlformats.org/officeDocument/2006/relationships/hyperlink" Id="rId36" Target="file://file-7G5FyFf1WL2iNnY4s8hB3p#:~:text=,Anakena%20beach%20in%20voyage%20sequence" TargetMode="External" /><Relationship Type="http://schemas.openxmlformats.org/officeDocument/2006/relationships/hyperlink" Id="rId25" Target="file://file-7G5FyFf1WL2iNnY4s8hB3p#:~:text=,Explicitly" TargetMode="External" /><Relationship Type="http://schemas.openxmlformats.org/officeDocument/2006/relationships/hyperlink" Id="rId52" Target="file://file-7G5FyFf1WL2iNnY4s8hB3p#:~:text=,Rectangular%20enclosure%20representing" TargetMode="External" /><Relationship Type="http://schemas.openxmlformats.org/officeDocument/2006/relationships/hyperlink" Id="rId31" Target="file://file-7G5FyFf1WL2iNnY4s8hB3p#:~:text=,Woman%20Lighting%20Oven%20in%20Sky" TargetMode="External" /><Relationship Type="http://schemas.openxmlformats.org/officeDocument/2006/relationships/hyperlink" Id="rId56" Target="file://file-7G5FyFf1WL2iNnY4s8hB3p#:~:text=,celestial%20body" TargetMode="External" /><Relationship Type="http://schemas.openxmlformats.org/officeDocument/2006/relationships/hyperlink" Id="rId65" Target="file://file-7G5FyFf1WL2iNnY4s8hB3p#:~:text=,figure%20representing%20child%20or%20descendant" TargetMode="External" /><Relationship Type="http://schemas.openxmlformats.org/officeDocument/2006/relationships/hyperlink" Id="rId59" Target="file://file-7G5FyFf1WL2iNnY4s8hB3p#:~:text=,hetu%27u" TargetMode="External" /><Relationship Type="http://schemas.openxmlformats.org/officeDocument/2006/relationships/hyperlink" Id="rId39" Target="file://file-7G5FyFf1WL2iNnY4s8hB3p#:~:text=,high%20confidence" TargetMode="External" /><Relationship Type="http://schemas.openxmlformats.org/officeDocument/2006/relationships/hyperlink" Id="rId30" Target="file://file-7G5FyFf1WL2iNnY4s8hB3p#:~:text=,in%20lunar%20calendar" TargetMode="External" /><Relationship Type="http://schemas.openxmlformats.org/officeDocument/2006/relationships/hyperlink" Id="rId72" Target="file://file-7G5FyFf1WL2iNnY4s8hB3p#:~:text=,index%3D98" TargetMode="External" /><Relationship Type="http://schemas.openxmlformats.org/officeDocument/2006/relationships/hyperlink" Id="rId55" Target="file://file-7G5FyFf1WL2iNnY4s8hB3p#:~:text=,m%C4%81rama%29%20general" TargetMode="External" /><Relationship Type="http://schemas.openxmlformats.org/officeDocument/2006/relationships/hyperlink" Id="rId37" Target="file://file-7G5FyFf1WL2iNnY4s8hB3p#:~:text=,paragraph%20marker%20or%20verse%20beginning" TargetMode="External" /><Relationship Type="http://schemas.openxmlformats.org/officeDocument/2006/relationships/hyperlink" Id="rId40" Target="file://file-7G5FyFf1WL2iNnY4s8hB3p#:~:text=,section%20start%20marker%2C%20delimiter" TargetMode="External" /><Relationship Type="http://schemas.openxmlformats.org/officeDocument/2006/relationships/hyperlink" Id="rId57" Target="file://file-7G5FyFf1WL2iNnY4s8hB3p#:~:text=,star%20%2F%20sun%3B%20time%20marker" TargetMode="External" /><Relationship Type="http://schemas.openxmlformats.org/officeDocument/2006/relationships/hyperlink" Id="rId41" Target="file://file-7G5FyFf1WL2iNnY4s8hB3p#:~:text=,start%20of%20each%20voyage%20sequence" TargetMode="External" /><Relationship Type="http://schemas.openxmlformats.org/officeDocument/2006/relationships/hyperlink" Id="rId60" Target="file://file-7G5FyFf1WL2iNnY4s8hB3p#:~:text=,stellar%20symbol%20with%20luminous%20properties" TargetMode="External" /><Relationship Type="http://schemas.openxmlformats.org/officeDocument/2006/relationships/hyperlink" Id="rId58" Target="file://file-7G5FyFf1WL2iNnY4s8hB3p#:~:text=,the%20sun%20or%20a%20star" TargetMode="External" /><Relationship Type="http://schemas.openxmlformats.org/officeDocument/2006/relationships/hyperlink" Id="rId49" Target="file://file-7G5FyFf1WL2iNnY4s8hB3p#:~:text=acts%20as%20a%20plural%20or,plural%20marker%20determinatives%20in%20Egyptian" TargetMode="External" /><Relationship Type="http://schemas.openxmlformats.org/officeDocument/2006/relationships/hyperlink" Id="rId48" Target="file://file-7G5FyFf1WL2iNnY4s8hB3p#:~:text=anatomical%20%27hand%27%20,combined%3B%20confirmed%20plural%20marker%20usage" TargetMode="External" /><Relationship Type="http://schemas.openxmlformats.org/officeDocument/2006/relationships/hyperlink" Id="rId51" Target="file://file-7G5FyFf1WL2iNnY4s8hB3p#:~:text=combined%20with%20other%20glyphs.%20Cross,a%20plural%20or%20group%20marker" TargetMode="External" /><Relationship Type="http://schemas.openxmlformats.org/officeDocument/2006/relationships/hyperlink" Id="rId27" Target="file://file-7G5FyFf1WL2iNnY4s8hB3p#:~:text=of%20each%20voyage%20sequence%2C%20on,Organizes%20text%20into%20narrative%20segments" TargetMode="External" /><Relationship Type="http://schemas.openxmlformats.org/officeDocument/2006/relationships/hyperlink" Id="rId71" Target="file://file-7G5FyFf1WL2iNnY4s8hB3p#:~:text=phase%2C%20%27complete%27%20,shape%20representing%20a%20complete%20month" TargetMode="External" /><Relationship Type="http://schemas.openxmlformats.org/officeDocument/2006/relationships/hyperlink" Id="rId78" Target="file://file-EKFBHRihh6xQJcexArYFzA" TargetMode="External" /><Relationship Type="http://schemas.openxmlformats.org/officeDocument/2006/relationships/hyperlink" Id="rId34" Target="file://file-EKFBHRihh6xQJcexArYFzA#:~:text=%22Fruit,glyph%20signifying%20first%20quarter%20moon" TargetMode="External" /><Relationship Type="http://schemas.openxmlformats.org/officeDocument/2006/relationships/hyperlink" Id="rId29" Target="file://file-EKFBHRihh6xQJcexArYFzA#:~:text=%5D%2C%20%22notes%22%3A%20%5B%20%22Fruit,timing%20marker%20and%20fertility%20symbol" TargetMode="External" /><Relationship Type="http://schemas.openxmlformats.org/officeDocument/2006/relationships/hyperlink" Id="rId42" Target="file://file-EKFBHRihh6xQJcexArYFzA#:~:text=," TargetMode="External" /><Relationship Type="http://schemas.openxmlformats.org/officeDocument/2006/relationships/hyperlink" Id="rId43" Target="file://file-EKFBHRihh6xQJcexArYFzA#:~:text=,Egyptian%20pharaoh%29%3AcontentReference%5Boaicite%3A101%5D%7Bindex%3D101" TargetMode="External" /><Relationship Type="http://schemas.openxmlformats.org/officeDocument/2006/relationships/hyperlink" Id="rId62" Target="file://file-EKFBHRihh6xQJcexArYFzA#:~:text=,High" TargetMode="External" /><Relationship Type="http://schemas.openxmlformats.org/officeDocument/2006/relationships/hyperlink" Id="rId44" Target="file://file-EKFBHRihh6xQJcexArYFzA#:~:text=,appears%20in%20genealogical%20chains%20as" TargetMode="External" /><Relationship Type="http://schemas.openxmlformats.org/officeDocument/2006/relationships/hyperlink" Id="rId46" Target="file://file-EKFBHRihh6xQJcexArYFzA#:~:text=,chief%29%2C%20or%20%27ruler"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63" Target="file://file-EKFBHRihh6xQJcexArYFzA#:~:text=,navigation" TargetMode="External" /><Relationship Type="http://schemas.openxmlformats.org/officeDocument/2006/relationships/hyperlink" Id="rId47" Target="file://file-EKFBHRihh6xQJcexArYFzA#:~:text=,or%20night%20name%20Otua%3B%20anthropomorphic" TargetMode="External" /><Relationship Type="http://schemas.openxmlformats.org/officeDocument/2006/relationships/hyperlink" Id="rId70" Target="file://file-EKFBHRihh6xQJcexArYFzA#:~:text=representing%20first%20quarter%20moon%20night,means%20fruit%2Fseed%29%3AcontentReference%5Boaicite%3A87%5D%7Bindex%3D87" TargetMode="External" /><Relationship Type="http://schemas.openxmlformats.org/officeDocument/2006/relationships/hyperlink" Id="rId79" Target="file://file-JUd9rmLnEDVcLgFshpRxQC" TargetMode="External" /><Relationship Type="http://schemas.openxmlformats.org/officeDocument/2006/relationships/hyperlink" Id="rId32" Target="file://file-JUd9rmLnEDVcLgFshpRxQC#:~:text=%3B%20Specific%20lunar%20phase%20marker,Lackadaisical%20Security%20%E2%80%93%20August%20Research" TargetMode="External" /><Relationship Type="http://schemas.openxmlformats.org/officeDocument/2006/relationships/hyperlink" Id="rId33" Target="file://file-JUd9rmLnEDVcLgFshpRxQC#:~:text=%7B%20," TargetMode="External" /><Relationship Type="http://schemas.openxmlformats.org/officeDocument/2006/relationships/hyperlink" Id="rId68" Target="file://file-JUd9rmLnEDVcLgFshpRxQC#:~:text=,Lackadaisical%20Security%20%E2%80%93%20August%20Research" TargetMode="External" /><Relationship Type="http://schemas.openxmlformats.org/officeDocument/2006/relationships/hyperlink" Id="rId35" Target="file://file-JUd9rmLnEDVcLgFshpRxQC#:~:text=,indicating%20diminishing%20lunar%20illumination" TargetMode="External" /><Relationship Type="http://schemas.openxmlformats.org/officeDocument/2006/relationships/hyperlink" Id="rId76" Target="file://file-MY1NVKZ8RnJUWp5GEmLSKz" TargetMode="External" /><Relationship Type="http://schemas.openxmlformats.org/officeDocument/2006/relationships/hyperlink" Id="rId24" Target="file://file-MY1NVKZ8RnJUWp5GEmLSKz#:~:text=," TargetMode="External" /><Relationship Type="http://schemas.openxmlformats.org/officeDocument/2006/relationships/hyperlink" Id="rId28" Target="file://file-MY1NVKZ8RnJUWp5GEmLSKz#:~:text=,deity%20incarnation%20in%20Rapanui%20mythology" TargetMode="External" /><Relationship Type="http://schemas.openxmlformats.org/officeDocument/2006/relationships/hyperlink" Id="rId64" Target="file://file-MY1NVKZ8RnJUWp5GEmLSKz#:~:text=,marks%20beginning%20of%20lunar%20cycle" TargetMode="External" /><Relationship Type="http://schemas.openxmlformats.org/officeDocument/2006/relationships/hyperlink" Id="rId22" Target="file://file-MY1NVKZ8RnJUWp5GEmLSKz#:~:text=,procreate%27%20%28fanau%29%20reproductive%20action" TargetMode="External" /><Relationship Type="http://schemas.openxmlformats.org/officeDocument/2006/relationships/hyperlink" Id="rId23" Target="file://file-MY1NVKZ8RnJUWp5GEmLSKz#:~:text=action%2C%20%27sex%27%20%28%27ai%29%20sexual%20activity,glyph%20indicating%20genealogical%20or%20creation" TargetMode="External" /><Relationship Type="http://schemas.openxmlformats.org/officeDocument/2006/relationships/hyperlink" Id="rId61" Target="file://file-MY1NVKZ8RnJUWp5GEmLSKz#:~:text=genealogical%20marker%20functions%20as%20a,begat%2Fson%20of%27%20in%20lineage%20texts" TargetMode="External" /></Relationships>
</file>

<file path=word/_rels/footnotes.xml.rels><?xml version="1.0" encoding="UTF-8"?><Relationships xmlns="http://schemas.openxmlformats.org/package/2006/relationships"><Relationship Type="http://schemas.openxmlformats.org/officeDocument/2006/relationships/hyperlink" Id="rId77" Target="file://file-7G5FyFf1WL2iNnY4s8hB3p" TargetMode="External" /><Relationship Type="http://schemas.openxmlformats.org/officeDocument/2006/relationships/hyperlink" Id="rId50" Target="file://file-7G5FyFf1WL2iNnY4s8hB3p#:~:text=%28ma%27u%29%2C%20and%20grammatical%20%27plural%20marker%27,group%20marker%20across%20the%20tablets" TargetMode="External" /><Relationship Type="http://schemas.openxmlformats.org/officeDocument/2006/relationships/hyperlink" Id="rId26" Target="file://file-7G5FyFf1WL2iNnY4s8hB3p#:~:text=," TargetMode="External" /><Relationship Type="http://schemas.openxmlformats.org/officeDocument/2006/relationships/hyperlink" Id="rId36" Target="file://file-7G5FyFf1WL2iNnY4s8hB3p#:~:text=,Anakena%20beach%20in%20voyage%20sequence" TargetMode="External" /><Relationship Type="http://schemas.openxmlformats.org/officeDocument/2006/relationships/hyperlink" Id="rId25" Target="file://file-7G5FyFf1WL2iNnY4s8hB3p#:~:text=,Explicitly" TargetMode="External" /><Relationship Type="http://schemas.openxmlformats.org/officeDocument/2006/relationships/hyperlink" Id="rId52" Target="file://file-7G5FyFf1WL2iNnY4s8hB3p#:~:text=,Rectangular%20enclosure%20representing" TargetMode="External" /><Relationship Type="http://schemas.openxmlformats.org/officeDocument/2006/relationships/hyperlink" Id="rId31" Target="file://file-7G5FyFf1WL2iNnY4s8hB3p#:~:text=,Woman%20Lighting%20Oven%20in%20Sky" TargetMode="External" /><Relationship Type="http://schemas.openxmlformats.org/officeDocument/2006/relationships/hyperlink" Id="rId56" Target="file://file-7G5FyFf1WL2iNnY4s8hB3p#:~:text=,celestial%20body" TargetMode="External" /><Relationship Type="http://schemas.openxmlformats.org/officeDocument/2006/relationships/hyperlink" Id="rId65" Target="file://file-7G5FyFf1WL2iNnY4s8hB3p#:~:text=,figure%20representing%20child%20or%20descendant" TargetMode="External" /><Relationship Type="http://schemas.openxmlformats.org/officeDocument/2006/relationships/hyperlink" Id="rId59" Target="file://file-7G5FyFf1WL2iNnY4s8hB3p#:~:text=,hetu%27u" TargetMode="External" /><Relationship Type="http://schemas.openxmlformats.org/officeDocument/2006/relationships/hyperlink" Id="rId39" Target="file://file-7G5FyFf1WL2iNnY4s8hB3p#:~:text=,high%20confidence" TargetMode="External" /><Relationship Type="http://schemas.openxmlformats.org/officeDocument/2006/relationships/hyperlink" Id="rId30" Target="file://file-7G5FyFf1WL2iNnY4s8hB3p#:~:text=,in%20lunar%20calendar" TargetMode="External" /><Relationship Type="http://schemas.openxmlformats.org/officeDocument/2006/relationships/hyperlink" Id="rId72" Target="file://file-7G5FyFf1WL2iNnY4s8hB3p#:~:text=,index%3D98" TargetMode="External" /><Relationship Type="http://schemas.openxmlformats.org/officeDocument/2006/relationships/hyperlink" Id="rId55" Target="file://file-7G5FyFf1WL2iNnY4s8hB3p#:~:text=,m%C4%81rama%29%20general" TargetMode="External" /><Relationship Type="http://schemas.openxmlformats.org/officeDocument/2006/relationships/hyperlink" Id="rId37" Target="file://file-7G5FyFf1WL2iNnY4s8hB3p#:~:text=,paragraph%20marker%20or%20verse%20beginning" TargetMode="External" /><Relationship Type="http://schemas.openxmlformats.org/officeDocument/2006/relationships/hyperlink" Id="rId40" Target="file://file-7G5FyFf1WL2iNnY4s8hB3p#:~:text=,section%20start%20marker%2C%20delimiter" TargetMode="External" /><Relationship Type="http://schemas.openxmlformats.org/officeDocument/2006/relationships/hyperlink" Id="rId57" Target="file://file-7G5FyFf1WL2iNnY4s8hB3p#:~:text=,star%20%2F%20sun%3B%20time%20marker" TargetMode="External" /><Relationship Type="http://schemas.openxmlformats.org/officeDocument/2006/relationships/hyperlink" Id="rId41" Target="file://file-7G5FyFf1WL2iNnY4s8hB3p#:~:text=,start%20of%20each%20voyage%20sequence" TargetMode="External" /><Relationship Type="http://schemas.openxmlformats.org/officeDocument/2006/relationships/hyperlink" Id="rId60" Target="file://file-7G5FyFf1WL2iNnY4s8hB3p#:~:text=,stellar%20symbol%20with%20luminous%20properties" TargetMode="External" /><Relationship Type="http://schemas.openxmlformats.org/officeDocument/2006/relationships/hyperlink" Id="rId58" Target="file://file-7G5FyFf1WL2iNnY4s8hB3p#:~:text=,the%20sun%20or%20a%20star" TargetMode="External" /><Relationship Type="http://schemas.openxmlformats.org/officeDocument/2006/relationships/hyperlink" Id="rId49" Target="file://file-7G5FyFf1WL2iNnY4s8hB3p#:~:text=acts%20as%20a%20plural%20or,plural%20marker%20determinatives%20in%20Egyptian" TargetMode="External" /><Relationship Type="http://schemas.openxmlformats.org/officeDocument/2006/relationships/hyperlink" Id="rId48" Target="file://file-7G5FyFf1WL2iNnY4s8hB3p#:~:text=anatomical%20%27hand%27%20,combined%3B%20confirmed%20plural%20marker%20usage" TargetMode="External" /><Relationship Type="http://schemas.openxmlformats.org/officeDocument/2006/relationships/hyperlink" Id="rId51" Target="file://file-7G5FyFf1WL2iNnY4s8hB3p#:~:text=combined%20with%20other%20glyphs.%20Cross,a%20plural%20or%20group%20marker" TargetMode="External" /><Relationship Type="http://schemas.openxmlformats.org/officeDocument/2006/relationships/hyperlink" Id="rId27" Target="file://file-7G5FyFf1WL2iNnY4s8hB3p#:~:text=of%20each%20voyage%20sequence%2C%20on,Organizes%20text%20into%20narrative%20segments" TargetMode="External" /><Relationship Type="http://schemas.openxmlformats.org/officeDocument/2006/relationships/hyperlink" Id="rId71" Target="file://file-7G5FyFf1WL2iNnY4s8hB3p#:~:text=phase%2C%20%27complete%27%20,shape%20representing%20a%20complete%20month" TargetMode="External" /><Relationship Type="http://schemas.openxmlformats.org/officeDocument/2006/relationships/hyperlink" Id="rId78" Target="file://file-EKFBHRihh6xQJcexArYFzA" TargetMode="External" /><Relationship Type="http://schemas.openxmlformats.org/officeDocument/2006/relationships/hyperlink" Id="rId34" Target="file://file-EKFBHRihh6xQJcexArYFzA#:~:text=%22Fruit,glyph%20signifying%20first%20quarter%20moon" TargetMode="External" /><Relationship Type="http://schemas.openxmlformats.org/officeDocument/2006/relationships/hyperlink" Id="rId29" Target="file://file-EKFBHRihh6xQJcexArYFzA#:~:text=%5D%2C%20%22notes%22%3A%20%5B%20%22Fruit,timing%20marker%20and%20fertility%20symbol" TargetMode="External" /><Relationship Type="http://schemas.openxmlformats.org/officeDocument/2006/relationships/hyperlink" Id="rId42" Target="file://file-EKFBHRihh6xQJcexArYFzA#:~:text=," TargetMode="External" /><Relationship Type="http://schemas.openxmlformats.org/officeDocument/2006/relationships/hyperlink" Id="rId43" Target="file://file-EKFBHRihh6xQJcexArYFzA#:~:text=,Egyptian%20pharaoh%29%3AcontentReference%5Boaicite%3A101%5D%7Bindex%3D101" TargetMode="External" /><Relationship Type="http://schemas.openxmlformats.org/officeDocument/2006/relationships/hyperlink" Id="rId62" Target="file://file-EKFBHRihh6xQJcexArYFzA#:~:text=,High" TargetMode="External" /><Relationship Type="http://schemas.openxmlformats.org/officeDocument/2006/relationships/hyperlink" Id="rId44" Target="file://file-EKFBHRihh6xQJcexArYFzA#:~:text=,appears%20in%20genealogical%20chains%20as" TargetMode="External" /><Relationship Type="http://schemas.openxmlformats.org/officeDocument/2006/relationships/hyperlink" Id="rId46" Target="file://file-EKFBHRihh6xQJcexArYFzA#:~:text=,chief%29%2C%20or%20%27ruler" TargetMode="External" /><Relationship Type="http://schemas.openxmlformats.org/officeDocument/2006/relationships/hyperlink" Id="rId45" Target="file://file-EKFBHRihh6xQJcexArYFzA#:~:text=,multiple%20authority%20levels%3A%20leader%2C%20governor" TargetMode="External" /><Relationship Type="http://schemas.openxmlformats.org/officeDocument/2006/relationships/hyperlink" Id="rId63" Target="file://file-EKFBHRihh6xQJcexArYFzA#:~:text=,navigation" TargetMode="External" /><Relationship Type="http://schemas.openxmlformats.org/officeDocument/2006/relationships/hyperlink" Id="rId47" Target="file://file-EKFBHRihh6xQJcexArYFzA#:~:text=,or%20night%20name%20Otua%3B%20anthropomorphic" TargetMode="External" /><Relationship Type="http://schemas.openxmlformats.org/officeDocument/2006/relationships/hyperlink" Id="rId70" Target="file://file-EKFBHRihh6xQJcexArYFzA#:~:text=representing%20first%20quarter%20moon%20night,means%20fruit%2Fseed%29%3AcontentReference%5Boaicite%3A87%5D%7Bindex%3D87" TargetMode="External" /><Relationship Type="http://schemas.openxmlformats.org/officeDocument/2006/relationships/hyperlink" Id="rId79" Target="file://file-JUd9rmLnEDVcLgFshpRxQC" TargetMode="External" /><Relationship Type="http://schemas.openxmlformats.org/officeDocument/2006/relationships/hyperlink" Id="rId32" Target="file://file-JUd9rmLnEDVcLgFshpRxQC#:~:text=%3B%20Specific%20lunar%20phase%20marker,Lackadaisical%20Security%20%E2%80%93%20August%20Research" TargetMode="External" /><Relationship Type="http://schemas.openxmlformats.org/officeDocument/2006/relationships/hyperlink" Id="rId33" Target="file://file-JUd9rmLnEDVcLgFshpRxQC#:~:text=%7B%20," TargetMode="External" /><Relationship Type="http://schemas.openxmlformats.org/officeDocument/2006/relationships/hyperlink" Id="rId68" Target="file://file-JUd9rmLnEDVcLgFshpRxQC#:~:text=,Lackadaisical%20Security%20%E2%80%93%20August%20Research" TargetMode="External" /><Relationship Type="http://schemas.openxmlformats.org/officeDocument/2006/relationships/hyperlink" Id="rId35" Target="file://file-JUd9rmLnEDVcLgFshpRxQC#:~:text=,indicating%20diminishing%20lunar%20illumination" TargetMode="External" /><Relationship Type="http://schemas.openxmlformats.org/officeDocument/2006/relationships/hyperlink" Id="rId76" Target="file://file-MY1NVKZ8RnJUWp5GEmLSKz" TargetMode="External" /><Relationship Type="http://schemas.openxmlformats.org/officeDocument/2006/relationships/hyperlink" Id="rId24" Target="file://file-MY1NVKZ8RnJUWp5GEmLSKz#:~:text=," TargetMode="External" /><Relationship Type="http://schemas.openxmlformats.org/officeDocument/2006/relationships/hyperlink" Id="rId28" Target="file://file-MY1NVKZ8RnJUWp5GEmLSKz#:~:text=,deity%20incarnation%20in%20Rapanui%20mythology" TargetMode="External" /><Relationship Type="http://schemas.openxmlformats.org/officeDocument/2006/relationships/hyperlink" Id="rId64" Target="file://file-MY1NVKZ8RnJUWp5GEmLSKz#:~:text=,marks%20beginning%20of%20lunar%20cycle" TargetMode="External" /><Relationship Type="http://schemas.openxmlformats.org/officeDocument/2006/relationships/hyperlink" Id="rId22" Target="file://file-MY1NVKZ8RnJUWp5GEmLSKz#:~:text=,procreate%27%20%28fanau%29%20reproductive%20action" TargetMode="External" /><Relationship Type="http://schemas.openxmlformats.org/officeDocument/2006/relationships/hyperlink" Id="rId23" Target="file://file-MY1NVKZ8RnJUWp5GEmLSKz#:~:text=action%2C%20%27sex%27%20%28%27ai%29%20sexual%20activity,glyph%20indicating%20genealogical%20or%20creation" TargetMode="External" /><Relationship Type="http://schemas.openxmlformats.org/officeDocument/2006/relationships/hyperlink" Id="rId61" Target="file://file-MY1NVKZ8RnJUWp5GEmLSKz#:~:text=genealogical%20marker%20functions%20as%20a,begat%2Fson%20of%27%20in%20lineage%20tex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2025-12-20T22:18:30Z</dcterms:created>
  <dcterms:modified xsi:type="dcterms:W3CDTF">2025-12-20T22:18:30Z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