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389697489eb96e3620d89798751fb4cd7cb3605"/>
    <w:p>
      <w:pPr>
        <w:pStyle w:val="Heading1"/>
      </w:pPr>
      <w:r>
        <w:t xml:space="preserve">Phase 1: Rongorongo Sign Inventory &amp; Initial Classification</w:t>
      </w:r>
    </w:p>
    <w:bookmarkStart w:id="26" w:name="Xe03e1aa58d835b5f986b3cea96d309d75e2a568"/>
    <w:p>
      <w:pPr>
        <w:pStyle w:val="Heading2"/>
      </w:pPr>
      <w:r>
        <w:t xml:space="preserve">Overview of the Rongorongo Sign Inventory</w:t>
      </w:r>
    </w:p>
    <w:p>
      <w:pPr>
        <w:pStyle w:val="FirstParagraph"/>
      </w:pPr>
      <w:r>
        <w:t xml:space="preserve">The Rongorongo script of Easter Island consists of a</w:t>
      </w:r>
      <w:r>
        <w:t xml:space="preserve"> </w:t>
      </w:r>
      <w:r>
        <w:rPr>
          <w:b/>
          <w:bCs/>
        </w:rPr>
        <w:t xml:space="preserve">catalog of 600+ distinct glyphs</w:t>
      </w:r>
      <w:r>
        <w:t xml:space="preserve"> </w:t>
      </w:r>
      <w:r>
        <w:t xml:space="preserve">(629 entries in the compiled lexicon) identified on the wooden tablets</w:t>
      </w:r>
      <w:hyperlink r:id="rId21">
        <w:r>
          <w:rPr>
            <w:rStyle w:val="Hyperlink"/>
          </w:rPr>
          <w:t xml:space="preserve">[1]</w:t>
        </w:r>
      </w:hyperlink>
      <w:hyperlink r:id="rId22">
        <w:r>
          <w:rPr>
            <w:rStyle w:val="Hyperlink"/>
          </w:rPr>
          <w:t xml:space="preserve">[2]</w:t>
        </w:r>
      </w:hyperlink>
      <w:r>
        <w:t xml:space="preserve">. In this initial decipherment phase, we have</w:t>
      </w:r>
      <w:r>
        <w:t xml:space="preserve"> </w:t>
      </w:r>
      <w:r>
        <w:rPr>
          <w:b/>
          <w:bCs/>
        </w:rPr>
        <w:t xml:space="preserve">documented each unique sign</w:t>
      </w:r>
      <w:r>
        <w:t xml:space="preserve"> </w:t>
      </w:r>
      <w:r>
        <w:t xml:space="preserve">along with its frequency, provisional meaning(s), and context of use, relying strictly on</w:t>
      </w:r>
      <w:r>
        <w:t xml:space="preserve"> </w:t>
      </w:r>
      <w:r>
        <w:rPr>
          <w:i/>
          <w:iCs/>
        </w:rPr>
        <w:t xml:space="preserve">internal evidence</w:t>
      </w:r>
      <w:r>
        <w:t xml:space="preserve"> </w:t>
      </w:r>
      <w:r>
        <w:t xml:space="preserve">(patterns within the corpus) rather than external assumptions. Approximately</w:t>
      </w:r>
      <w:r>
        <w:t xml:space="preserve"> </w:t>
      </w:r>
      <w:r>
        <w:rPr>
          <w:b/>
          <w:bCs/>
        </w:rPr>
        <w:t xml:space="preserve">60–70 glyphs have been tentatively deciphered</w:t>
      </w:r>
      <w:r>
        <w:t xml:space="preserve"> </w:t>
      </w:r>
      <w:r>
        <w:t xml:space="preserve">with specific meanings (often drawing on Polynesian lexical parallels), while the majority remain un-deciphered or only broadly understood. Importantly, many deciphered signs exhibit</w:t>
      </w:r>
      <w:r>
        <w:t xml:space="preserve"> </w:t>
      </w:r>
      <w:r>
        <w:rPr>
          <w:b/>
          <w:bCs/>
        </w:rPr>
        <w:t xml:space="preserve">polysemy</w:t>
      </w:r>
      <w:r>
        <w:t xml:space="preserve"> </w:t>
      </w:r>
      <w:r>
        <w:t xml:space="preserve">– they function as</w:t>
      </w:r>
      <w:r>
        <w:t xml:space="preserve"> </w:t>
      </w:r>
      <w:r>
        <w:rPr>
          <w:i/>
          <w:iCs/>
        </w:rPr>
        <w:t xml:space="preserve">polysemic logographs</w:t>
      </w:r>
      <w:r>
        <w:t xml:space="preserve"> </w:t>
      </w:r>
      <w:r>
        <w:t xml:space="preserve">carrying multiple related meanings depending on context</w:t>
      </w:r>
      <w:hyperlink r:id="rId23">
        <w:r>
          <w:rPr>
            <w:rStyle w:val="Hyperlink"/>
          </w:rPr>
          <w:t xml:space="preserve">[3]</w:t>
        </w:r>
      </w:hyperlink>
      <w:r>
        <w:t xml:space="preserve">. No clear signs of a purely phonetic (alphabetic or syllabic) system have emerged in this phase; instead, the script appears to be</w:t>
      </w:r>
      <w:r>
        <w:t xml:space="preserve"> </w:t>
      </w:r>
      <w:r>
        <w:rPr>
          <w:b/>
          <w:bCs/>
        </w:rPr>
        <w:t xml:space="preserve">largely logographic</w:t>
      </w:r>
      <w:r>
        <w:t xml:space="preserve">, with some signs also serving grammatical or numeric functions. Special non-lexical symbols (e.g. section markers) have also been identified.</w:t>
      </w:r>
    </w:p>
    <w:p>
      <w:pPr>
        <w:pStyle w:val="BodyText"/>
      </w:pPr>
      <w:r>
        <w:rPr>
          <w:b/>
          <w:bCs/>
        </w:rPr>
        <w:t xml:space="preserve">Frequency Distribution:</w:t>
      </w:r>
      <w:r>
        <w:t xml:space="preserve"> </w:t>
      </w:r>
      <w:r>
        <w:t xml:space="preserve">Glyph usage follows a skewed distribution. A handful of signs are very common across the texts, while many others are rare. For example, the</w:t>
      </w:r>
      <w:r>
        <w:t xml:space="preserve"> </w:t>
      </w:r>
      <w:r>
        <w:rPr>
          <w:b/>
          <w:bCs/>
        </w:rPr>
        <w:t xml:space="preserve">“person/human” glyph (ID 1)</w:t>
      </w:r>
      <w:r>
        <w:t xml:space="preserve"> </w:t>
      </w:r>
      <w:r>
        <w:t xml:space="preserve">appears</w:t>
      </w:r>
      <w:r>
        <w:t xml:space="preserve"> </w:t>
      </w:r>
      <w:r>
        <w:rPr>
          <w:b/>
          <w:bCs/>
        </w:rPr>
        <w:t xml:space="preserve">127 times</w:t>
      </w:r>
      <w:r>
        <w:t xml:space="preserve"> </w:t>
      </w:r>
      <w:r>
        <w:t xml:space="preserve">across multiple tablets</w:t>
      </w:r>
      <w:hyperlink r:id="rId24">
        <w:r>
          <w:rPr>
            <w:rStyle w:val="Hyperlink"/>
          </w:rPr>
          <w:t xml:space="preserve">[4]</w:t>
        </w:r>
      </w:hyperlink>
      <w:r>
        <w:t xml:space="preserve">, making it one of the most frequent symbols. Likewise, the</w:t>
      </w:r>
      <w:r>
        <w:t xml:space="preserve"> </w:t>
      </w:r>
      <w:r>
        <w:rPr>
          <w:b/>
          <w:bCs/>
        </w:rPr>
        <w:t xml:space="preserve">“hand/plural” glyph (ID 6)</w:t>
      </w:r>
      <w:r>
        <w:t xml:space="preserve"> </w:t>
      </w:r>
      <w:r>
        <w:t xml:space="preserve">occurs</w:t>
      </w:r>
      <w:r>
        <w:t xml:space="preserve"> </w:t>
      </w:r>
      <w:r>
        <w:rPr>
          <w:b/>
          <w:bCs/>
        </w:rPr>
        <w:t xml:space="preserve">156 times</w:t>
      </w:r>
      <w:r>
        <w:t xml:space="preserve">, reflecting its dual role as both a noun and a grammatical marker</w:t>
      </w:r>
      <w:hyperlink r:id="rId24">
        <w:r>
          <w:rPr>
            <w:rStyle w:val="Hyperlink"/>
          </w:rPr>
          <w:t xml:space="preserve">[5]</w:t>
        </w:r>
      </w:hyperlink>
      <w:r>
        <w:t xml:space="preserve">. In contrast, a large number of glyphs occur only</w:t>
      </w:r>
      <w:r>
        <w:t xml:space="preserve"> </w:t>
      </w:r>
      <w:r>
        <w:rPr>
          <w:b/>
          <w:bCs/>
        </w:rPr>
        <w:t xml:space="preserve">once or twice</w:t>
      </w:r>
      <w:r>
        <w:t xml:space="preserve"> </w:t>
      </w:r>
      <w:r>
        <w:t xml:space="preserve">in the corpus</w:t>
      </w:r>
      <w:hyperlink r:id="rId25">
        <w:r>
          <w:rPr>
            <w:rStyle w:val="Hyperlink"/>
          </w:rPr>
          <w:t xml:space="preserve">[6]</w:t>
        </w:r>
      </w:hyperlink>
      <w:hyperlink r:id="rId24">
        <w:r>
          <w:rPr>
            <w:rStyle w:val="Hyperlink"/>
          </w:rPr>
          <w:t xml:space="preserve">[7]</w:t>
        </w:r>
      </w:hyperlink>
      <w:r>
        <w:t xml:space="preserve"> </w:t>
      </w:r>
      <w:r>
        <w:t xml:space="preserve">– these often correspond to specific names, rare objects, or have no decipherment yet. This frequency pattern suggests a core vocabulary of common signs (likely function words, basic nouns, or repeatable phrases) and a long tail of infrequent signs (possibly proper names, unique events, or unused variants). The script also shows</w:t>
      </w:r>
      <w:r>
        <w:t xml:space="preserve"> </w:t>
      </w:r>
      <w:r>
        <w:rPr>
          <w:b/>
          <w:bCs/>
        </w:rPr>
        <w:t xml:space="preserve">positional preferences</w:t>
      </w:r>
      <w:r>
        <w:t xml:space="preserve">: certain signs consistently occur in particular locations (e.g. at line beginnings or ends, or in list-like sequences), hinting at structural or syntactic roles, which we detail below.</w:t>
      </w:r>
    </w:p>
    <w:p>
      <w:pPr>
        <w:pStyle w:val="BodyText"/>
      </w:pPr>
      <w:r>
        <w:rPr>
          <w:b/>
          <w:bCs/>
        </w:rPr>
        <w:t xml:space="preserve">Classification Schema:</w:t>
      </w:r>
      <w:r>
        <w:t xml:space="preserve"> </w:t>
      </w:r>
      <w:r>
        <w:t xml:space="preserve">Based on emergent internal patterns, each glyph has been assigned an initial classification as one of the following types:</w:t>
      </w:r>
    </w:p>
    <w:p>
      <w:pPr>
        <w:pStyle w:val="Compact"/>
        <w:numPr>
          <w:ilvl w:val="0"/>
          <w:numId w:val="1001"/>
        </w:numPr>
      </w:pPr>
      <w:r>
        <w:rPr>
          <w:b/>
          <w:bCs/>
        </w:rPr>
        <w:t xml:space="preserve">Logographic</w:t>
      </w:r>
      <w:r>
        <w:t xml:space="preserve"> </w:t>
      </w:r>
      <w:r>
        <w:t xml:space="preserve">– representing an entire word or concept (the predominant category).</w:t>
      </w:r>
    </w:p>
    <w:p>
      <w:pPr>
        <w:pStyle w:val="Compact"/>
        <w:numPr>
          <w:ilvl w:val="0"/>
          <w:numId w:val="1001"/>
        </w:numPr>
      </w:pPr>
      <w:r>
        <w:rPr>
          <w:b/>
          <w:bCs/>
        </w:rPr>
        <w:t xml:space="preserve">Syllabic</w:t>
      </w:r>
      <w:r>
        <w:t xml:space="preserve"> </w:t>
      </w:r>
      <w:r>
        <w:t xml:space="preserve">– representing a syllabic sound value (none conclusively identified in Phase 1).</w:t>
      </w:r>
    </w:p>
    <w:p>
      <w:pPr>
        <w:pStyle w:val="Compact"/>
        <w:numPr>
          <w:ilvl w:val="0"/>
          <w:numId w:val="1001"/>
        </w:numPr>
      </w:pPr>
      <w:r>
        <w:rPr>
          <w:b/>
          <w:bCs/>
        </w:rPr>
        <w:t xml:space="preserve">Alphabetic</w:t>
      </w:r>
      <w:r>
        <w:t xml:space="preserve"> </w:t>
      </w:r>
      <w:r>
        <w:t xml:space="preserve">– representing an individual phoneme (none identified).</w:t>
      </w:r>
    </w:p>
    <w:p>
      <w:pPr>
        <w:pStyle w:val="Compact"/>
        <w:numPr>
          <w:ilvl w:val="0"/>
          <w:numId w:val="1001"/>
        </w:numPr>
      </w:pPr>
      <w:r>
        <w:rPr>
          <w:b/>
          <w:bCs/>
        </w:rPr>
        <w:t xml:space="preserve">Compound</w:t>
      </w:r>
      <w:r>
        <w:t xml:space="preserve"> </w:t>
      </w:r>
      <w:r>
        <w:t xml:space="preserve">– a composite glyph visually combining two or more other sign elements into one.</w:t>
      </w:r>
    </w:p>
    <w:p>
      <w:pPr>
        <w:pStyle w:val="Compact"/>
        <w:numPr>
          <w:ilvl w:val="0"/>
          <w:numId w:val="1001"/>
        </w:numPr>
      </w:pPr>
      <w:r>
        <w:rPr>
          <w:b/>
          <w:bCs/>
        </w:rPr>
        <w:t xml:space="preserve">Variant</w:t>
      </w:r>
      <w:r>
        <w:t xml:space="preserve"> </w:t>
      </w:r>
      <w:r>
        <w:t xml:space="preserve">– a variant form of another base glyph (stylistic or contextual alternates).</w:t>
      </w:r>
    </w:p>
    <w:p>
      <w:pPr>
        <w:pStyle w:val="Compact"/>
        <w:numPr>
          <w:ilvl w:val="0"/>
          <w:numId w:val="1001"/>
        </w:numPr>
      </w:pPr>
      <w:r>
        <w:rPr>
          <w:b/>
          <w:bCs/>
        </w:rPr>
        <w:t xml:space="preserve">Structural/Unknown</w:t>
      </w:r>
      <w:r>
        <w:t xml:space="preserve"> </w:t>
      </w:r>
      <w:r>
        <w:t xml:space="preserve">– non-lexical markers or glyphs of uncertain function (e.g. punctuation, section markers, or glyphs with no decipherment).</w:t>
      </w:r>
    </w:p>
    <w:p>
      <w:pPr>
        <w:pStyle w:val="FirstParagraph"/>
      </w:pPr>
      <w:r>
        <w:t xml:space="preserve">Below we present the sign inventory organized by these categories. For each glyph we give its ID, English meaning(s) or glosses, any Rapanui transliteration(s) proposed, the number of occurrences in the corpus, its classification type, notes on positional/contextual usage, and key sources or attributions for its identification. All insights are drawn from</w:t>
      </w:r>
      <w:r>
        <w:t xml:space="preserve"> </w:t>
      </w:r>
      <w:r>
        <w:rPr>
          <w:b/>
          <w:bCs/>
        </w:rPr>
        <w:t xml:space="preserve">Lackadaisical Security’s August Research</w:t>
      </w:r>
      <w:r>
        <w:t xml:space="preserve"> </w:t>
      </w:r>
      <w:r>
        <w:t xml:space="preserve">unless otherwise credited to external scholars (Barthel, Fischer, Guy, Pozdniakov, Knorozov, etc.), per the compiled research logs.</w:t>
      </w:r>
    </w:p>
    <w:bookmarkEnd w:id="26"/>
    <w:bookmarkStart w:id="56" w:name="Xf0802d8f3db480b021abc9a2760efba3175be6e"/>
    <w:p>
      <w:pPr>
        <w:pStyle w:val="Heading2"/>
      </w:pPr>
      <w:r>
        <w:t xml:space="preserve">Logographic Signs (Whole-Word/Ideographic Values)</w:t>
      </w:r>
    </w:p>
    <w:p>
      <w:pPr>
        <w:pStyle w:val="FirstParagraph"/>
      </w:pPr>
      <w:r>
        <w:rPr>
          <w:b/>
          <w:bCs/>
        </w:rPr>
        <w:t xml:space="preserve">Definition:</w:t>
      </w:r>
      <w:r>
        <w:t xml:space="preserve"> </w:t>
      </w:r>
      <w:r>
        <w:t xml:space="preserve">These glyphs convey a full word or idea – typically a noun, verb, or descriptive concept. Many logographs in Rongorongo correspond to concrete objects (people, body parts, animals, celestial bodies) or actions, and often carry multiple related meanings that are disambiguated by context. The deciphered logographs were identified by recognizing recurring sign sequences in thematic contexts (genealogies, prayers, lists, etc.) and correlating them with Rapa Nui words or Polynesian concepts</w:t>
      </w:r>
      <w:hyperlink r:id="rId23">
        <w:r>
          <w:rPr>
            <w:rStyle w:val="Hyperlink"/>
          </w:rPr>
          <w:t xml:space="preserve">[8]</w:t>
        </w:r>
      </w:hyperlink>
      <w:r>
        <w:t xml:space="preserve">. We emphasize that these meanings</w:t>
      </w:r>
      <w:r>
        <w:t xml:space="preserve"> </w:t>
      </w:r>
      <w:r>
        <w:rPr>
          <w:i/>
          <w:iCs/>
        </w:rPr>
        <w:t xml:space="preserve">emerged from internal pattern analysis</w:t>
      </w:r>
      <w:r>
        <w:t xml:space="preserve"> </w:t>
      </w:r>
      <w:r>
        <w:t xml:space="preserve">(e.g. distribution in known context positions) rather than being imposed a priori.</w:t>
      </w:r>
    </w:p>
    <w:p>
      <w:pPr>
        <w:pStyle w:val="BodyText"/>
      </w:pPr>
      <w:r>
        <w:rPr>
          <w:b/>
          <w:bCs/>
        </w:rPr>
        <w:t xml:space="preserve">Characteristics:</w:t>
      </w:r>
      <w:r>
        <w:br/>
      </w:r>
      <w:r>
        <w:t xml:space="preserve">- Logographs frequently appear in relevant semantic contexts. For example, the</w:t>
      </w:r>
      <w:r>
        <w:t xml:space="preserve"> </w:t>
      </w:r>
      <w:r>
        <w:rPr>
          <w:i/>
          <w:iCs/>
        </w:rPr>
        <w:t xml:space="preserve">human figure</w:t>
      </w:r>
      <w:r>
        <w:t xml:space="preserve"> </w:t>
      </w:r>
      <w:r>
        <w:t xml:space="preserve">glyph is prevalent in genealogical name lists and phrases about people</w:t>
      </w:r>
      <w:hyperlink r:id="rId27">
        <w:r>
          <w:rPr>
            <w:rStyle w:val="Hyperlink"/>
          </w:rPr>
          <w:t xml:space="preserve">[9]</w:t>
        </w:r>
      </w:hyperlink>
      <w:r>
        <w:t xml:space="preserve">, and the</w:t>
      </w:r>
      <w:r>
        <w:t xml:space="preserve"> </w:t>
      </w:r>
      <w:r>
        <w:rPr>
          <w:i/>
          <w:iCs/>
        </w:rPr>
        <w:t xml:space="preserve">fish</w:t>
      </w:r>
      <w:r>
        <w:t xml:space="preserve"> </w:t>
      </w:r>
      <w:r>
        <w:t xml:space="preserve">glyph is common in sequences related to food offerings or mythic tales of the sea</w:t>
      </w:r>
      <w:hyperlink r:id="rId28">
        <w:r>
          <w:rPr>
            <w:rStyle w:val="Hyperlink"/>
          </w:rPr>
          <w:t xml:space="preserve">[10]</w:t>
        </w:r>
      </w:hyperlink>
      <w:r>
        <w:t xml:space="preserve">.</w:t>
      </w:r>
      <w:r>
        <w:br/>
      </w:r>
      <w:r>
        <w:t xml:space="preserve">- Many have</w:t>
      </w:r>
      <w:r>
        <w:t xml:space="preserve"> </w:t>
      </w:r>
      <w:r>
        <w:rPr>
          <w:b/>
          <w:bCs/>
        </w:rPr>
        <w:t xml:space="preserve">polysemic uses</w:t>
      </w:r>
      <w:r>
        <w:t xml:space="preserve">: a single sign can mean one thing in one context and a related concept in another. A notable case is the</w:t>
      </w:r>
      <w:r>
        <w:t xml:space="preserve"> </w:t>
      </w:r>
      <w:r>
        <w:rPr>
          <w:b/>
          <w:bCs/>
        </w:rPr>
        <w:t xml:space="preserve">fish glyph (ID 700)</w:t>
      </w:r>
      <w:r>
        <w:t xml:space="preserve"> </w:t>
      </w:r>
      <w:r>
        <w:t xml:space="preserve">which means</w:t>
      </w:r>
      <w:r>
        <w:t xml:space="preserve"> </w:t>
      </w:r>
      <w:r>
        <w:rPr>
          <w:i/>
          <w:iCs/>
        </w:rPr>
        <w:t xml:space="preserve">“fish”</w:t>
      </w:r>
      <w:r>
        <w:t xml:space="preserve"> </w:t>
      </w:r>
      <w:r>
        <w:t xml:space="preserve">in ordinary contexts but also signifies</w:t>
      </w:r>
      <w:r>
        <w:t xml:space="preserve"> </w:t>
      </w:r>
      <w:r>
        <w:rPr>
          <w:i/>
          <w:iCs/>
        </w:rPr>
        <w:t xml:space="preserve">“victim” or “sacrificial offering”</w:t>
      </w:r>
      <w:r>
        <w:t xml:space="preserve"> </w:t>
      </w:r>
      <w:r>
        <w:t xml:space="preserve">in ritual contexts</w:t>
      </w:r>
      <w:hyperlink r:id="rId28">
        <w:r>
          <w:rPr>
            <w:rStyle w:val="Hyperlink"/>
          </w:rPr>
          <w:t xml:space="preserve">[10]</w:t>
        </w:r>
      </w:hyperlink>
      <w:r>
        <w:t xml:space="preserve">. Such dual meanings likely arise from rebus or metaphor (in Rapa Nui, the word for “fish”</w:t>
      </w:r>
      <w:r>
        <w:t xml:space="preserve"> </w:t>
      </w:r>
      <w:r>
        <w:rPr>
          <w:i/>
          <w:iCs/>
        </w:rPr>
        <w:t xml:space="preserve">ika</w:t>
      </w:r>
      <w:r>
        <w:t xml:space="preserve"> </w:t>
      </w:r>
      <w:r>
        <w:t xml:space="preserve">is metaphorically used for “victim”)</w:t>
      </w:r>
      <w:hyperlink r:id="rId29">
        <w:r>
          <w:rPr>
            <w:rStyle w:val="Hyperlink"/>
          </w:rPr>
          <w:t xml:space="preserve">[11]</w:t>
        </w:r>
      </w:hyperlink>
      <w:r>
        <w:t xml:space="preserve">.</w:t>
      </w:r>
      <w:r>
        <w:br/>
      </w:r>
      <w:r>
        <w:t xml:space="preserve">- Logographs account for most of the high-frequency signs, indicating they form the core lexicon of the script. They often combine with other glyphs to form composite phrases, but the individual logographic value can usually be inferred when they appear in isolation.</w:t>
      </w:r>
    </w:p>
    <w:p>
      <w:pPr>
        <w:pStyle w:val="BodyText"/>
      </w:pPr>
      <w:r>
        <w:rPr>
          <w:b/>
          <w:bCs/>
        </w:rPr>
        <w:t xml:space="preserve">Examples:</w:t>
      </w:r>
      <w:r>
        <w:t xml:space="preserve"> </w:t>
      </w:r>
      <w:r>
        <w:t xml:space="preserve">The table below lists the major logographic glyphs deciphered so far, with their meanings and usage details. These include glyphs for people, body parts, natural elements, animals, and important cultural concepts. (Many of these identifications align with earlier hypotheses by Barthel and others, as noted in the sources, though confirmed here through independent analysis of the texts.)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rPr>
                <w:b/>
                <w:bCs/>
              </w:rPr>
              <w:t xml:space="preserve">Glyph ID</w:t>
            </w:r>
          </w:p>
        </w:tc>
        <w:tc>
          <w:tcPr/>
          <w:p>
            <w:pPr>
              <w:pStyle w:val="Compact"/>
            </w:pPr>
            <w:r>
              <w:rPr>
                <w:b/>
                <w:bCs/>
              </w:rPr>
              <w:t xml:space="preserve">English Meaning(s)</w:t>
            </w:r>
          </w:p>
        </w:tc>
        <w:tc>
          <w:tcPr/>
          <w:p>
            <w:pPr>
              <w:pStyle w:val="Compact"/>
            </w:pPr>
            <w:r>
              <w:rPr>
                <w:b/>
                <w:bCs/>
              </w:rPr>
              <w:t xml:space="preserve">Transliteration(s)</w:t>
            </w:r>
          </w:p>
        </w:tc>
        <w:tc>
          <w:tcPr/>
          <w:p>
            <w:pPr>
              <w:pStyle w:val="Compact"/>
              <w:jc w:val="right"/>
            </w:pPr>
            <w:r>
              <w:rPr>
                <w:b/>
                <w:bCs/>
              </w:rPr>
              <w:t xml:space="preserve">Freq.</w:t>
            </w:r>
          </w:p>
        </w:tc>
        <w:tc>
          <w:tcPr/>
          <w:p>
            <w:pPr>
              <w:pStyle w:val="Compact"/>
            </w:pPr>
            <w:r>
              <w:rPr>
                <w:b/>
                <w:bCs/>
              </w:rPr>
              <w:t xml:space="preserve">Class</w:t>
            </w:r>
          </w:p>
        </w:tc>
        <w:tc>
          <w:tcPr/>
          <w:p>
            <w:pPr>
              <w:pStyle w:val="Compact"/>
            </w:pPr>
            <w:r>
              <w:rPr>
                <w:b/>
                <w:bCs/>
              </w:rPr>
              <w:t xml:space="preserve">Positional / Context Notes</w:t>
            </w:r>
          </w:p>
        </w:tc>
        <w:tc>
          <w:tcPr/>
          <w:p>
            <w:pPr>
              <w:pStyle w:val="Compact"/>
            </w:pPr>
            <w:r>
              <w:rPr>
                <w:b/>
                <w:bCs/>
              </w:rPr>
              <w:t xml:space="preserve">Sources</w:t>
            </w:r>
          </w:p>
        </w:tc>
      </w:tr>
      <w:tr>
        <w:tc>
          <w:tcPr/>
          <w:p>
            <w:pPr>
              <w:pStyle w:val="Compact"/>
              <w:jc w:val="right"/>
            </w:pPr>
            <w:r>
              <w:t xml:space="preserve">1</w:t>
            </w:r>
          </w:p>
        </w:tc>
        <w:tc>
          <w:tcPr/>
          <w:p>
            <w:pPr>
              <w:pStyle w:val="Compact"/>
            </w:pPr>
            <w:r>
              <w:t xml:space="preserve">person; human; ancestor</w:t>
            </w:r>
          </w:p>
        </w:tc>
        <w:tc>
          <w:tcPr/>
          <w:p>
            <w:pPr>
              <w:pStyle w:val="Compact"/>
            </w:pPr>
            <w:r>
              <w:t xml:space="preserve">tangata</w:t>
            </w:r>
          </w:p>
        </w:tc>
        <w:tc>
          <w:tcPr/>
          <w:p>
            <w:pPr>
              <w:pStyle w:val="Compact"/>
              <w:jc w:val="right"/>
            </w:pPr>
            <w:r>
              <w:t xml:space="preserve">127</w:t>
            </w:r>
          </w:p>
        </w:tc>
        <w:tc>
          <w:tcPr/>
          <w:p>
            <w:pPr>
              <w:pStyle w:val="Compact"/>
            </w:pPr>
            <w:r>
              <w:t xml:space="preserve">Logographic</w:t>
            </w:r>
          </w:p>
        </w:tc>
        <w:tc>
          <w:tcPr/>
          <w:p>
            <w:pPr>
              <w:pStyle w:val="Compact"/>
            </w:pPr>
            <w:r>
              <w:t xml:space="preserve">Basic anthropomorphic figure; appears in</w:t>
            </w:r>
            <w:r>
              <w:t xml:space="preserve"> </w:t>
            </w:r>
            <w:r>
              <w:rPr>
                <w:b/>
                <w:bCs/>
              </w:rPr>
              <w:t xml:space="preserve">genealogical lists</w:t>
            </w:r>
            <w:r>
              <w:t xml:space="preserve"> </w:t>
            </w:r>
            <w:r>
              <w:t xml:space="preserve">and denotes individual people or humanity</w:t>
            </w:r>
            <w:hyperlink r:id="rId30">
              <w:r>
                <w:rPr>
                  <w:rStyle w:val="Hyperlink"/>
                </w:rPr>
                <w:t xml:space="preserve">[12]</w:t>
              </w:r>
            </w:hyperlink>
            <w:hyperlink r:id="rId27">
              <w:r>
                <w:rPr>
                  <w:rStyle w:val="Hyperlink"/>
                </w:rPr>
                <w:t xml:space="preserve">[9]</w:t>
              </w:r>
            </w:hyperlink>
            <w:r>
              <w:t xml:space="preserve">.</w:t>
            </w:r>
          </w:p>
        </w:tc>
        <w:tc>
          <w:tcPr/>
          <w:p>
            <w:pPr>
              <w:pStyle w:val="Compact"/>
            </w:pPr>
            <w:r>
              <w:t xml:space="preserve">Barthel (B001); Fischer (1997);</w:t>
            </w:r>
            <w:r>
              <w:t xml:space="preserve"> </w:t>
            </w:r>
            <w:r>
              <w:rPr>
                <w:i/>
                <w:iCs/>
              </w:rPr>
              <w:t xml:space="preserve">LS August Research</w:t>
            </w:r>
            <w:hyperlink r:id="rId24">
              <w:r>
                <w:rPr>
                  <w:rStyle w:val="Hyperlink"/>
                </w:rPr>
                <w:t xml:space="preserve">[13]</w:t>
              </w:r>
            </w:hyperlink>
          </w:p>
        </w:tc>
      </w:tr>
      <w:tr>
        <w:tc>
          <w:tcPr/>
          <w:p>
            <w:pPr>
              <w:pStyle w:val="Compact"/>
              <w:jc w:val="right"/>
            </w:pPr>
            <w:r>
              <w:t xml:space="preserve">2</w:t>
            </w:r>
          </w:p>
        </w:tc>
        <w:tc>
          <w:tcPr/>
          <w:p>
            <w:pPr>
              <w:pStyle w:val="Compact"/>
            </w:pPr>
            <w:r>
              <w:t xml:space="preserve">head; face; identity</w:t>
            </w:r>
          </w:p>
        </w:tc>
        <w:tc>
          <w:tcPr/>
          <w:p>
            <w:pPr>
              <w:pStyle w:val="Compact"/>
            </w:pPr>
            <w:r>
              <w:t xml:space="preserve">poʻo; mata</w:t>
            </w:r>
          </w:p>
        </w:tc>
        <w:tc>
          <w:tcPr/>
          <w:p>
            <w:pPr>
              <w:pStyle w:val="Compact"/>
              <w:jc w:val="right"/>
            </w:pPr>
            <w:r>
              <w:t xml:space="preserve">89</w:t>
            </w:r>
          </w:p>
        </w:tc>
        <w:tc>
          <w:tcPr/>
          <w:p>
            <w:pPr>
              <w:pStyle w:val="Compact"/>
            </w:pPr>
            <w:r>
              <w:t xml:space="preserve">Logographic</w:t>
            </w:r>
          </w:p>
        </w:tc>
        <w:tc>
          <w:tcPr/>
          <w:p>
            <w:pPr>
              <w:pStyle w:val="Compact"/>
            </w:pPr>
            <w:r>
              <w:t xml:space="preserve">Circular head/face glyph. Represents the human</w:t>
            </w:r>
            <w:r>
              <w:t xml:space="preserve"> </w:t>
            </w:r>
            <w:r>
              <w:rPr>
                <w:i/>
                <w:iCs/>
              </w:rPr>
              <w:t xml:space="preserve">head</w:t>
            </w:r>
            <w:r>
              <w:t xml:space="preserve"> </w:t>
            </w:r>
            <w:r>
              <w:t xml:space="preserve">(po‘o) and by extension a</w:t>
            </w:r>
            <w:r>
              <w:t xml:space="preserve"> </w:t>
            </w:r>
            <w:r>
              <w:rPr>
                <w:i/>
                <w:iCs/>
              </w:rPr>
              <w:t xml:space="preserve">face</w:t>
            </w:r>
            <w:r>
              <w:t xml:space="preserve"> </w:t>
            </w:r>
            <w:r>
              <w:t xml:space="preserve">(mata) – often symbolizing identity or status (e.g. leadership)</w:t>
            </w:r>
            <w:hyperlink r:id="rId31">
              <w:r>
                <w:rPr>
                  <w:rStyle w:val="Hyperlink"/>
                </w:rPr>
                <w:t xml:space="preserve">[14]</w:t>
              </w:r>
            </w:hyperlink>
            <w:hyperlink r:id="rId24">
              <w:r>
                <w:rPr>
                  <w:rStyle w:val="Hyperlink"/>
                </w:rPr>
                <w:t xml:space="preserve">[15]</w:t>
              </w:r>
            </w:hyperlink>
            <w:r>
              <w:t xml:space="preserve">. Common as an element in compound signs.</w:t>
            </w:r>
          </w:p>
        </w:tc>
        <w:tc>
          <w:tcPr/>
          <w:p>
            <w:pPr>
              <w:pStyle w:val="Compact"/>
            </w:pPr>
            <w:r>
              <w:t xml:space="preserve">Guy (1990);</w:t>
            </w:r>
            <w:r>
              <w:t xml:space="preserve"> </w:t>
            </w:r>
            <w:r>
              <w:rPr>
                <w:i/>
                <w:iCs/>
              </w:rPr>
              <w:t xml:space="preserve">LS August Research</w:t>
            </w:r>
            <w:hyperlink r:id="rId24">
              <w:r>
                <w:rPr>
                  <w:rStyle w:val="Hyperlink"/>
                </w:rPr>
                <w:t xml:space="preserve">[16]</w:t>
              </w:r>
            </w:hyperlink>
          </w:p>
        </w:tc>
      </w:tr>
      <w:tr>
        <w:tc>
          <w:tcPr/>
          <w:p>
            <w:pPr>
              <w:pStyle w:val="Compact"/>
              <w:jc w:val="right"/>
            </w:pPr>
            <w:r>
              <w:t xml:space="preserve">3</w:t>
            </w:r>
          </w:p>
        </w:tc>
        <w:tc>
          <w:tcPr/>
          <w:p>
            <w:pPr>
              <w:pStyle w:val="Compact"/>
            </w:pPr>
            <w:r>
              <w:t xml:space="preserve">eye; sight (see, watch)</w:t>
            </w:r>
          </w:p>
        </w:tc>
        <w:tc>
          <w:tcPr/>
          <w:p>
            <w:pPr>
              <w:pStyle w:val="Compact"/>
            </w:pPr>
            <w:r>
              <w:t xml:space="preserve">mata; kite; mata kite</w:t>
            </w:r>
          </w:p>
        </w:tc>
        <w:tc>
          <w:tcPr/>
          <w:p>
            <w:pPr>
              <w:pStyle w:val="Compact"/>
              <w:jc w:val="right"/>
            </w:pPr>
            <w:r>
              <w:t xml:space="preserve">76</w:t>
            </w:r>
          </w:p>
        </w:tc>
        <w:tc>
          <w:tcPr/>
          <w:p>
            <w:pPr>
              <w:pStyle w:val="Compact"/>
            </w:pPr>
            <w:r>
              <w:t xml:space="preserve">Logographic</w:t>
            </w:r>
          </w:p>
        </w:tc>
        <w:tc>
          <w:tcPr/>
          <w:p>
            <w:pPr>
              <w:pStyle w:val="Compact"/>
            </w:pPr>
            <w:r>
              <w:t xml:space="preserve">Oval shape with central dot =</w:t>
            </w:r>
            <w:r>
              <w:t xml:space="preserve"> </w:t>
            </w:r>
            <w:r>
              <w:rPr>
                <w:i/>
                <w:iCs/>
              </w:rPr>
              <w:t xml:space="preserve">“eye”</w:t>
            </w:r>
            <w:r>
              <w:t xml:space="preserve">. Also means the acts</w:t>
            </w:r>
            <w:r>
              <w:t xml:space="preserve"> </w:t>
            </w:r>
            <w:r>
              <w:rPr>
                <w:i/>
                <w:iCs/>
              </w:rPr>
              <w:t xml:space="preserve">“to see”</w:t>
            </w:r>
            <w:r>
              <w:t xml:space="preserve"> </w:t>
            </w:r>
            <w:r>
              <w:t xml:space="preserve">(kite) or</w:t>
            </w:r>
            <w:r>
              <w:t xml:space="preserve"> </w:t>
            </w:r>
            <w:r>
              <w:rPr>
                <w:i/>
                <w:iCs/>
              </w:rPr>
              <w:t xml:space="preserve">“to watch”</w:t>
            </w:r>
            <w:r>
              <w:t xml:space="preserve"> </w:t>
            </w:r>
            <w:r>
              <w:t xml:space="preserve">(mata kite) in context</w:t>
            </w:r>
            <w:hyperlink r:id="rId32">
              <w:r>
                <w:rPr>
                  <w:rStyle w:val="Hyperlink"/>
                </w:rPr>
                <w:t xml:space="preserve">[17]</w:t>
              </w:r>
            </w:hyperlink>
            <w:r>
              <w:t xml:space="preserve">. Conveys vision, awareness, and appears in sequences about observation</w:t>
            </w:r>
            <w:hyperlink r:id="rId33">
              <w:r>
                <w:rPr>
                  <w:rStyle w:val="Hyperlink"/>
                </w:rPr>
                <w:t xml:space="preserve">[18]</w:t>
              </w:r>
            </w:hyperlink>
            <w:r>
              <w:t xml:space="preserve">.</w:t>
            </w:r>
          </w:p>
        </w:tc>
        <w:tc>
          <w:tcPr/>
          <w:p>
            <w:pPr>
              <w:pStyle w:val="Compact"/>
            </w:pPr>
            <w:r>
              <w:t xml:space="preserve">Pozdniakov (2007);</w:t>
            </w:r>
            <w:r>
              <w:t xml:space="preserve"> </w:t>
            </w:r>
            <w:r>
              <w:rPr>
                <w:i/>
                <w:iCs/>
              </w:rPr>
              <w:t xml:space="preserve">LS August Research</w:t>
            </w:r>
            <w:hyperlink r:id="rId24">
              <w:r>
                <w:rPr>
                  <w:rStyle w:val="Hyperlink"/>
                </w:rPr>
                <w:t xml:space="preserve">[19]</w:t>
              </w:r>
            </w:hyperlink>
          </w:p>
        </w:tc>
      </w:tr>
      <w:tr>
        <w:tc>
          <w:tcPr/>
          <w:p>
            <w:pPr>
              <w:pStyle w:val="Compact"/>
              <w:jc w:val="right"/>
            </w:pPr>
            <w:r>
              <w:t xml:space="preserve">4</w:t>
            </w:r>
          </w:p>
        </w:tc>
        <w:tc>
          <w:tcPr/>
          <w:p>
            <w:pPr>
              <w:pStyle w:val="Compact"/>
            </w:pPr>
            <w:r>
              <w:t xml:space="preserve">mouth; speak; word</w:t>
            </w:r>
          </w:p>
        </w:tc>
        <w:tc>
          <w:tcPr/>
          <w:p>
            <w:pPr>
              <w:pStyle w:val="Compact"/>
            </w:pPr>
            <w:r>
              <w:t xml:space="preserve">haha; kī; kupu</w:t>
            </w:r>
          </w:p>
        </w:tc>
        <w:tc>
          <w:tcPr/>
          <w:p>
            <w:pPr>
              <w:pStyle w:val="Compact"/>
              <w:jc w:val="right"/>
            </w:pPr>
            <w:r>
              <w:t xml:space="preserve">65</w:t>
            </w:r>
          </w:p>
        </w:tc>
        <w:tc>
          <w:tcPr/>
          <w:p>
            <w:pPr>
              <w:pStyle w:val="Compact"/>
            </w:pPr>
            <w:r>
              <w:t xml:space="preserve">Logographic</w:t>
            </w:r>
          </w:p>
        </w:tc>
        <w:tc>
          <w:tcPr/>
          <w:p>
            <w:pPr>
              <w:pStyle w:val="Compact"/>
            </w:pPr>
            <w:r>
              <w:t xml:space="preserve">Horizontal line glyph =</w:t>
            </w:r>
            <w:r>
              <w:t xml:space="preserve"> </w:t>
            </w:r>
            <w:r>
              <w:rPr>
                <w:i/>
                <w:iCs/>
              </w:rPr>
              <w:t xml:space="preserve">“mouth”</w:t>
            </w:r>
            <w:r>
              <w:t xml:space="preserve"> </w:t>
            </w:r>
            <w:r>
              <w:t xml:space="preserve">(haha). By extension indicates</w:t>
            </w:r>
            <w:r>
              <w:t xml:space="preserve"> </w:t>
            </w:r>
            <w:r>
              <w:rPr>
                <w:i/>
                <w:iCs/>
              </w:rPr>
              <w:t xml:space="preserve">“to speak”</w:t>
            </w:r>
            <w:r>
              <w:t xml:space="preserve"> </w:t>
            </w:r>
            <w:r>
              <w:t xml:space="preserve">(kī) or</w:t>
            </w:r>
            <w:r>
              <w:t xml:space="preserve"> </w:t>
            </w:r>
            <w:r>
              <w:rPr>
                <w:i/>
                <w:iCs/>
              </w:rPr>
              <w:t xml:space="preserve">“word”</w:t>
            </w:r>
            <w:r>
              <w:t xml:space="preserve"> </w:t>
            </w:r>
            <w:r>
              <w:t xml:space="preserve">(kupu)</w:t>
            </w:r>
            <w:hyperlink r:id="rId34">
              <w:r>
                <w:rPr>
                  <w:rStyle w:val="Hyperlink"/>
                </w:rPr>
                <w:t xml:space="preserve">[20]</w:t>
              </w:r>
            </w:hyperlink>
            <w:r>
              <w:t xml:space="preserve">. Used in contexts of speech, chant, or oral transmission</w:t>
            </w:r>
            <w:hyperlink r:id="rId35">
              <w:r>
                <w:rPr>
                  <w:rStyle w:val="Hyperlink"/>
                </w:rPr>
                <w:t xml:space="preserve">[21]</w:t>
              </w:r>
            </w:hyperlink>
            <w:r>
              <w:t xml:space="preserve">.</w:t>
            </w:r>
          </w:p>
        </w:tc>
        <w:tc>
          <w:tcPr/>
          <w:p>
            <w:pPr>
              <w:pStyle w:val="Compact"/>
            </w:pPr>
            <w:r>
              <w:t xml:space="preserve">Fischer (1997);</w:t>
            </w:r>
            <w:r>
              <w:t xml:space="preserve"> </w:t>
            </w:r>
            <w:r>
              <w:rPr>
                <w:i/>
                <w:iCs/>
              </w:rPr>
              <w:t xml:space="preserve">LS August Research</w:t>
            </w:r>
            <w:hyperlink r:id="rId24">
              <w:r>
                <w:rPr>
                  <w:rStyle w:val="Hyperlink"/>
                </w:rPr>
                <w:t xml:space="preserve">[22]</w:t>
              </w:r>
            </w:hyperlink>
          </w:p>
        </w:tc>
      </w:tr>
      <w:tr>
        <w:tc>
          <w:tcPr/>
          <w:p>
            <w:pPr>
              <w:pStyle w:val="Compact"/>
              <w:jc w:val="right"/>
            </w:pPr>
            <w:r>
              <w:t xml:space="preserve">5</w:t>
            </w:r>
          </w:p>
        </w:tc>
        <w:tc>
          <w:tcPr/>
          <w:p>
            <w:pPr>
              <w:pStyle w:val="Compact"/>
            </w:pPr>
            <w:r>
              <w:t xml:space="preserve">arm; reach; extend</w:t>
            </w:r>
          </w:p>
        </w:tc>
        <w:tc>
          <w:tcPr/>
          <w:p>
            <w:pPr>
              <w:pStyle w:val="Compact"/>
            </w:pPr>
            <w:r>
              <w:t xml:space="preserve">rima; tuku</w:t>
            </w:r>
          </w:p>
        </w:tc>
        <w:tc>
          <w:tcPr/>
          <w:p>
            <w:pPr>
              <w:pStyle w:val="Compact"/>
              <w:jc w:val="right"/>
            </w:pPr>
            <w:r>
              <w:t xml:space="preserve">82</w:t>
            </w:r>
          </w:p>
        </w:tc>
        <w:tc>
          <w:tcPr/>
          <w:p>
            <w:pPr>
              <w:pStyle w:val="Compact"/>
            </w:pPr>
            <w:r>
              <w:t xml:space="preserve">Logographic</w:t>
            </w:r>
          </w:p>
        </w:tc>
        <w:tc>
          <w:tcPr/>
          <w:p>
            <w:pPr>
              <w:pStyle w:val="Compact"/>
            </w:pPr>
            <w:r>
              <w:t xml:space="preserve">Outstretched limb glyph indicating</w:t>
            </w:r>
            <w:r>
              <w:t xml:space="preserve"> </w:t>
            </w:r>
            <w:r>
              <w:rPr>
                <w:i/>
                <w:iCs/>
              </w:rPr>
              <w:t xml:space="preserve">“arm/hand”</w:t>
            </w:r>
            <w:r>
              <w:t xml:space="preserve"> </w:t>
            </w:r>
            <w:r>
              <w:t xml:space="preserve">(rima) and the action</w:t>
            </w:r>
            <w:r>
              <w:t xml:space="preserve"> </w:t>
            </w:r>
            <w:r>
              <w:rPr>
                <w:i/>
                <w:iCs/>
              </w:rPr>
              <w:t xml:space="preserve">“to reach/extend”</w:t>
            </w:r>
            <w:r>
              <w:t xml:space="preserve"> </w:t>
            </w:r>
            <w:r>
              <w:t xml:space="preserve">(tuku)</w:t>
            </w:r>
            <w:hyperlink r:id="rId36">
              <w:r>
                <w:rPr>
                  <w:rStyle w:val="Hyperlink"/>
                </w:rPr>
                <w:t xml:space="preserve">[23]</w:t>
              </w:r>
            </w:hyperlink>
            <w:hyperlink r:id="rId24">
              <w:r>
                <w:rPr>
                  <w:rStyle w:val="Hyperlink"/>
                </w:rPr>
                <w:t xml:space="preserve">[24]</w:t>
              </w:r>
            </w:hyperlink>
            <w:r>
              <w:t xml:space="preserve">. Often appears in phrases of giving or extending something.</w:t>
            </w:r>
          </w:p>
        </w:tc>
        <w:tc>
          <w:tcPr/>
          <w:p>
            <w:pPr>
              <w:pStyle w:val="Compact"/>
            </w:pPr>
            <w:r>
              <w:t xml:space="preserve">Barthel;</w:t>
            </w:r>
            <w:r>
              <w:t xml:space="preserve"> </w:t>
            </w:r>
            <w:r>
              <w:rPr>
                <w:i/>
                <w:iCs/>
              </w:rPr>
              <w:t xml:space="preserve">LS August Research</w:t>
            </w:r>
            <w:hyperlink r:id="rId37">
              <w:r>
                <w:rPr>
                  <w:rStyle w:val="Hyperlink"/>
                </w:rPr>
                <w:t xml:space="preserve">[25]</w:t>
              </w:r>
            </w:hyperlink>
          </w:p>
        </w:tc>
      </w:tr>
      <w:tr>
        <w:tc>
          <w:tcPr/>
          <w:p>
            <w:pPr>
              <w:pStyle w:val="Compact"/>
              <w:jc w:val="right"/>
            </w:pPr>
            <w:r>
              <w:t xml:space="preserve">6</w:t>
            </w:r>
          </w:p>
        </w:tc>
        <w:tc>
          <w:tcPr/>
          <w:p>
            <w:pPr>
              <w:pStyle w:val="Compact"/>
            </w:pPr>
            <w:r>
              <w:t xml:space="preserve">hand; take/grasp; plural marker</w:t>
            </w:r>
          </w:p>
        </w:tc>
        <w:tc>
          <w:tcPr/>
          <w:p>
            <w:pPr>
              <w:pStyle w:val="Compact"/>
            </w:pPr>
            <w:r>
              <w:t xml:space="preserve">maʻu; rima</w:t>
            </w:r>
          </w:p>
        </w:tc>
        <w:tc>
          <w:tcPr/>
          <w:p>
            <w:pPr>
              <w:pStyle w:val="Compact"/>
              <w:jc w:val="right"/>
            </w:pPr>
            <w:r>
              <w:t xml:space="preserve">156</w:t>
            </w:r>
          </w:p>
        </w:tc>
        <w:tc>
          <w:tcPr/>
          <w:p>
            <w:pPr>
              <w:pStyle w:val="Compact"/>
            </w:pPr>
            <w:r>
              <w:t xml:space="preserve">Logographic</w:t>
            </w:r>
          </w:p>
        </w:tc>
        <w:tc>
          <w:tcPr/>
          <w:p>
            <w:pPr>
              <w:pStyle w:val="Compact"/>
            </w:pPr>
            <w:r>
              <w:rPr>
                <w:b/>
                <w:bCs/>
              </w:rPr>
              <w:t xml:space="preserve">Multi-functional:</w:t>
            </w:r>
            <w:r>
              <w:t xml:space="preserve"> </w:t>
            </w:r>
            <w:r>
              <w:t xml:space="preserve">depicts a</w:t>
            </w:r>
            <w:r>
              <w:t xml:space="preserve"> </w:t>
            </w:r>
            <w:r>
              <w:rPr>
                <w:i/>
                <w:iCs/>
              </w:rPr>
              <w:t xml:space="preserve">“hand”</w:t>
            </w:r>
            <w:r>
              <w:t xml:space="preserve"> </w:t>
            </w:r>
            <w:r>
              <w:t xml:space="preserve">(rima) and the act</w:t>
            </w:r>
            <w:r>
              <w:t xml:space="preserve"> </w:t>
            </w:r>
            <w:r>
              <w:rPr>
                <w:i/>
                <w:iCs/>
              </w:rPr>
              <w:t xml:space="preserve">“to take/grasp”</w:t>
            </w:r>
            <w:r>
              <w:t xml:space="preserve"> </w:t>
            </w:r>
            <w:r>
              <w:t xml:space="preserve">(maʻu). Critically, it also serves as a</w:t>
            </w:r>
            <w:r>
              <w:t xml:space="preserve"> </w:t>
            </w:r>
            <w:r>
              <w:rPr>
                <w:b/>
                <w:bCs/>
              </w:rPr>
              <w:t xml:space="preserve">plural marker</w:t>
            </w:r>
            <w:r>
              <w:t xml:space="preserve">: when attached to a noun glyph, it indicates a plural or collective (many)</w:t>
            </w:r>
            <w:hyperlink r:id="rId38">
              <w:r>
                <w:rPr>
                  <w:rStyle w:val="Hyperlink"/>
                </w:rPr>
                <w:t xml:space="preserve">[26]</w:t>
              </w:r>
            </w:hyperlink>
            <w:hyperlink r:id="rId39">
              <w:r>
                <w:rPr>
                  <w:rStyle w:val="Hyperlink"/>
                </w:rPr>
                <w:t xml:space="preserve">[27]</w:t>
              </w:r>
            </w:hyperlink>
            <w:r>
              <w:t xml:space="preserve">. Confirmed as a grammatical affix combining with other glyphs to pluralize nouns</w:t>
            </w:r>
            <w:hyperlink r:id="rId40">
              <w:r>
                <w:rPr>
                  <w:rStyle w:val="Hyperlink"/>
                </w:rPr>
                <w:t xml:space="preserve">[28]</w:t>
              </w:r>
            </w:hyperlink>
            <w:hyperlink r:id="rId41">
              <w:r>
                <w:rPr>
                  <w:rStyle w:val="Hyperlink"/>
                </w:rPr>
                <w:t xml:space="preserve">[29]</w:t>
              </w:r>
            </w:hyperlink>
            <w:r>
              <w:t xml:space="preserve">. High frequency due to this grammatical usage.</w:t>
            </w:r>
          </w:p>
        </w:tc>
        <w:tc>
          <w:tcPr/>
          <w:p>
            <w:pPr>
              <w:pStyle w:val="Compact"/>
            </w:pPr>
            <w:r>
              <w:rPr>
                <w:i/>
                <w:iCs/>
              </w:rPr>
              <w:t xml:space="preserve">LS August Research</w:t>
            </w:r>
            <w:hyperlink r:id="rId40">
              <w:r>
                <w:rPr>
                  <w:rStyle w:val="Hyperlink"/>
                </w:rPr>
                <w:t xml:space="preserve">[28]</w:t>
              </w:r>
            </w:hyperlink>
            <w:hyperlink r:id="rId41">
              <w:r>
                <w:rPr>
                  <w:rStyle w:val="Hyperlink"/>
                </w:rPr>
                <w:t xml:space="preserve">[29]</w:t>
              </w:r>
            </w:hyperlink>
          </w:p>
        </w:tc>
      </w:tr>
      <w:tr>
        <w:tc>
          <w:tcPr/>
          <w:p>
            <w:pPr>
              <w:pStyle w:val="Compact"/>
              <w:jc w:val="right"/>
            </w:pPr>
            <w:r>
              <w:t xml:space="preserve">7</w:t>
            </w:r>
          </w:p>
        </w:tc>
        <w:tc>
          <w:tcPr/>
          <w:p>
            <w:pPr>
              <w:pStyle w:val="Compact"/>
            </w:pPr>
            <w:r>
              <w:t xml:space="preserve">child; descendant</w:t>
            </w:r>
          </w:p>
        </w:tc>
        <w:tc>
          <w:tcPr/>
          <w:p>
            <w:pPr>
              <w:pStyle w:val="Compact"/>
            </w:pPr>
            <w:r>
              <w:t xml:space="preserve">poki</w:t>
            </w:r>
          </w:p>
        </w:tc>
        <w:tc>
          <w:tcPr/>
          <w:p>
            <w:pPr>
              <w:pStyle w:val="Compact"/>
              <w:jc w:val="right"/>
            </w:pPr>
            <w:r>
              <w:t xml:space="preserve">15</w:t>
            </w:r>
          </w:p>
        </w:tc>
        <w:tc>
          <w:tcPr/>
          <w:p>
            <w:pPr>
              <w:pStyle w:val="Compact"/>
            </w:pPr>
            <w:r>
              <w:t xml:space="preserve">Logographic</w:t>
            </w:r>
          </w:p>
        </w:tc>
        <w:tc>
          <w:tcPr/>
          <w:p>
            <w:pPr>
              <w:pStyle w:val="Compact"/>
            </w:pPr>
            <w:r>
              <w:t xml:space="preserve">Small anthropomorphic figure representing a</w:t>
            </w:r>
            <w:r>
              <w:t xml:space="preserve"> </w:t>
            </w:r>
            <w:r>
              <w:rPr>
                <w:i/>
                <w:iCs/>
              </w:rPr>
              <w:t xml:space="preserve">“child”</w:t>
            </w:r>
            <w:r>
              <w:t xml:space="preserve"> </w:t>
            </w:r>
            <w:r>
              <w:t xml:space="preserve">or</w:t>
            </w:r>
            <w:r>
              <w:t xml:space="preserve"> </w:t>
            </w:r>
            <w:r>
              <w:rPr>
                <w:i/>
                <w:iCs/>
              </w:rPr>
              <w:t xml:space="preserve">“offspring”</w:t>
            </w:r>
            <w:r>
              <w:t xml:space="preserve">. Appears in</w:t>
            </w:r>
            <w:r>
              <w:t xml:space="preserve"> </w:t>
            </w:r>
            <w:r>
              <w:rPr>
                <w:b/>
                <w:bCs/>
              </w:rPr>
              <w:t xml:space="preserve">genealogical sequences</w:t>
            </w:r>
            <w:r>
              <w:t xml:space="preserve"> </w:t>
            </w:r>
            <w:r>
              <w:t xml:space="preserve">to denote descendants</w:t>
            </w:r>
            <w:hyperlink r:id="rId42">
              <w:r>
                <w:rPr>
                  <w:rStyle w:val="Hyperlink"/>
                </w:rPr>
                <w:t xml:space="preserve">[30]</w:t>
              </w:r>
            </w:hyperlink>
            <w:r>
              <w:t xml:space="preserve">. (Potentially refers to</w:t>
            </w:r>
            <w:r>
              <w:t xml:space="preserve"> </w:t>
            </w:r>
            <w:r>
              <w:rPr>
                <w:i/>
                <w:iCs/>
              </w:rPr>
              <w:t xml:space="preserve">Poki</w:t>
            </w:r>
            <w:r>
              <w:t xml:space="preserve"> </w:t>
            </w:r>
            <w:r>
              <w:t xml:space="preserve">(child) and possibly a specific descendant named Mahaki in one context</w:t>
            </w:r>
            <w:hyperlink r:id="rId43">
              <w:r>
                <w:rPr>
                  <w:rStyle w:val="Hyperlink"/>
                </w:rPr>
                <w:t xml:space="preserve">[31]</w:t>
              </w:r>
            </w:hyperlink>
            <w:r>
              <w:t xml:space="preserve">.)</w:t>
            </w:r>
          </w:p>
        </w:tc>
        <w:tc>
          <w:tcPr/>
          <w:p>
            <w:pPr>
              <w:pStyle w:val="Compact"/>
            </w:pPr>
            <w:r>
              <w:rPr>
                <w:i/>
                <w:iCs/>
              </w:rPr>
              <w:t xml:space="preserve">LS August Research</w:t>
            </w:r>
          </w:p>
        </w:tc>
      </w:tr>
      <w:tr>
        <w:tc>
          <w:tcPr/>
          <w:p>
            <w:pPr>
              <w:pStyle w:val="Compact"/>
              <w:jc w:val="right"/>
            </w:pPr>
            <w:r>
              <w:t xml:space="preserve">8</w:t>
            </w:r>
          </w:p>
        </w:tc>
        <w:tc>
          <w:tcPr/>
          <w:p>
            <w:pPr>
              <w:pStyle w:val="Compact"/>
            </w:pPr>
            <w:r>
              <w:t xml:space="preserve">fire; light</w:t>
            </w:r>
            <w:r>
              <w:t xml:space="preserve"> </w:t>
            </w:r>
            <w:r>
              <w:rPr>
                <w:i/>
                <w:iCs/>
              </w:rPr>
              <w:t xml:space="preserve">(and/or)</w:t>
            </w:r>
            <w:r>
              <w:t xml:space="preserve"> </w:t>
            </w:r>
            <w:r>
              <w:t xml:space="preserve">star</w:t>
            </w:r>
          </w:p>
        </w:tc>
        <w:tc>
          <w:tcPr/>
          <w:p>
            <w:pPr>
              <w:pStyle w:val="Compact"/>
            </w:pPr>
            <w:r>
              <w:t xml:space="preserve">ahi; (hetu‘u)</w:t>
            </w:r>
          </w:p>
        </w:tc>
        <w:tc>
          <w:tcPr/>
          <w:p>
            <w:pPr>
              <w:pStyle w:val="Compact"/>
              <w:jc w:val="right"/>
            </w:pPr>
            <w:r>
              <w:t xml:space="preserve">6</w:t>
            </w:r>
          </w:p>
        </w:tc>
        <w:tc>
          <w:tcPr/>
          <w:p>
            <w:pPr>
              <w:pStyle w:val="Compact"/>
            </w:pPr>
            <w:r>
              <w:t xml:space="preserve">Logographic</w:t>
            </w:r>
          </w:p>
        </w:tc>
        <w:tc>
          <w:tcPr/>
          <w:p>
            <w:pPr>
              <w:pStyle w:val="Compact"/>
            </w:pPr>
            <w:r>
              <w:t xml:space="preserve">Likely depicts a flame or starburst. Interpreted primarily as</w:t>
            </w:r>
            <w:r>
              <w:t xml:space="preserve"> </w:t>
            </w:r>
            <w:r>
              <w:rPr>
                <w:i/>
                <w:iCs/>
              </w:rPr>
              <w:t xml:space="preserve">“fire”</w:t>
            </w:r>
            <w:r>
              <w:t xml:space="preserve"> </w:t>
            </w:r>
            <w:r>
              <w:t xml:space="preserve">(</w:t>
            </w:r>
            <w:r>
              <w:rPr>
                <w:b/>
                <w:bCs/>
              </w:rPr>
              <w:t xml:space="preserve">ahi</w:t>
            </w:r>
            <w:r>
              <w:t xml:space="preserve"> </w:t>
            </w:r>
            <w:r>
              <w:t xml:space="preserve">– source of heat/light) but was previously thought to be a variant of</w:t>
            </w:r>
            <w:r>
              <w:t xml:space="preserve"> </w:t>
            </w:r>
            <w:r>
              <w:rPr>
                <w:i/>
                <w:iCs/>
              </w:rPr>
              <w:t xml:space="preserve">“star”</w:t>
            </w:r>
            <w:r>
              <w:t xml:space="preserve"> </w:t>
            </w:r>
            <w:r>
              <w:t xml:space="preserve">(</w:t>
            </w:r>
            <w:r>
              <w:rPr>
                <w:b/>
                <w:bCs/>
              </w:rPr>
              <w:t xml:space="preserve">hetuʻu</w:t>
            </w:r>
            <w:r>
              <w:t xml:space="preserve">). Contextual analysis leans toward fire (appears in light/heat contexts), but this sign remains ambiguous</w:t>
            </w:r>
            <w:hyperlink r:id="rId44">
              <w:r>
                <w:rPr>
                  <w:rStyle w:val="Hyperlink"/>
                </w:rPr>
                <w:t xml:space="preserve">[32]</w:t>
              </w:r>
            </w:hyperlink>
            <w:r>
              <w:t xml:space="preserve">.</w:t>
            </w:r>
          </w:p>
        </w:tc>
        <w:tc>
          <w:tcPr/>
          <w:p>
            <w:pPr>
              <w:pStyle w:val="Compact"/>
            </w:pPr>
            <w:r>
              <w:rPr>
                <w:i/>
                <w:iCs/>
              </w:rPr>
              <w:t xml:space="preserve">LS August Research</w:t>
            </w:r>
          </w:p>
        </w:tc>
      </w:tr>
      <w:tr>
        <w:tc>
          <w:tcPr/>
          <w:p>
            <w:pPr>
              <w:pStyle w:val="Compact"/>
              <w:jc w:val="right"/>
            </w:pPr>
            <w:r>
              <w:t xml:space="preserve">9</w:t>
            </w:r>
          </w:p>
        </w:tc>
        <w:tc>
          <w:tcPr/>
          <w:p>
            <w:pPr>
              <w:pStyle w:val="Compact"/>
            </w:pPr>
            <w:r>
              <w:t xml:space="preserve">sand; beach</w:t>
            </w:r>
            <w:r>
              <w:t xml:space="preserve"> </w:t>
            </w:r>
            <w:r>
              <w:rPr>
                <w:i/>
                <w:iCs/>
              </w:rPr>
              <w:t xml:space="preserve">(Anakena)</w:t>
            </w:r>
          </w:p>
        </w:tc>
        <w:tc>
          <w:tcPr/>
          <w:p>
            <w:pPr>
              <w:pStyle w:val="Compact"/>
            </w:pPr>
            <w:r>
              <w:t xml:space="preserve">—</w:t>
            </w:r>
          </w:p>
        </w:tc>
        <w:tc>
          <w:tcPr/>
          <w:p>
            <w:pPr>
              <w:pStyle w:val="Compact"/>
              <w:jc w:val="right"/>
            </w:pPr>
            <w:r>
              <w:t xml:space="preserve">3</w:t>
            </w:r>
          </w:p>
        </w:tc>
        <w:tc>
          <w:tcPr/>
          <w:p>
            <w:pPr>
              <w:pStyle w:val="Compact"/>
            </w:pPr>
            <w:r>
              <w:t xml:space="preserve">Logographic</w:t>
            </w:r>
          </w:p>
        </w:tc>
        <w:tc>
          <w:tcPr/>
          <w:p>
            <w:pPr>
              <w:pStyle w:val="Compact"/>
            </w:pPr>
            <w:r>
              <w:t xml:space="preserve">Represents</w:t>
            </w:r>
            <w:r>
              <w:t xml:space="preserve"> </w:t>
            </w:r>
            <w:r>
              <w:rPr>
                <w:i/>
                <w:iCs/>
              </w:rPr>
              <w:t xml:space="preserve">sand</w:t>
            </w:r>
            <w:r>
              <w:t xml:space="preserve"> </w:t>
            </w:r>
            <w:r>
              <w:t xml:space="preserve">or</w:t>
            </w:r>
            <w:r>
              <w:t xml:space="preserve"> </w:t>
            </w:r>
            <w:r>
              <w:rPr>
                <w:i/>
                <w:iCs/>
              </w:rPr>
              <w:t xml:space="preserve">beach</w:t>
            </w:r>
            <w:r>
              <w:t xml:space="preserve">. Identified by occurrence in context of</w:t>
            </w:r>
            <w:r>
              <w:t xml:space="preserve"> </w:t>
            </w:r>
            <w:r>
              <w:rPr>
                <w:b/>
                <w:bCs/>
              </w:rPr>
              <w:t xml:space="preserve">place-name Anakena</w:t>
            </w:r>
            <w:r>
              <w:t xml:space="preserve"> </w:t>
            </w:r>
            <w:r>
              <w:t xml:space="preserve">(the famed sandy beach on Rapa Nui)</w:t>
            </w:r>
            <w:hyperlink r:id="rId45">
              <w:r>
                <w:rPr>
                  <w:rStyle w:val="Hyperlink"/>
                </w:rPr>
                <w:t xml:space="preserve">[33]</w:t>
              </w:r>
            </w:hyperlink>
            <w:r>
              <w:t xml:space="preserve">. May function as a toponym logograph for Anakena or generically indicate sand/shore.</w:t>
            </w:r>
          </w:p>
        </w:tc>
        <w:tc>
          <w:tcPr/>
          <w:p>
            <w:pPr>
              <w:pStyle w:val="Compact"/>
            </w:pPr>
            <w:r>
              <w:rPr>
                <w:i/>
                <w:iCs/>
              </w:rPr>
              <w:t xml:space="preserve">LS August Research</w:t>
            </w:r>
          </w:p>
        </w:tc>
      </w:tr>
      <w:tr>
        <w:tc>
          <w:tcPr/>
          <w:p>
            <w:pPr>
              <w:pStyle w:val="Compact"/>
              <w:jc w:val="right"/>
            </w:pPr>
            <w:r>
              <w:t xml:space="preserve">15</w:t>
            </w:r>
          </w:p>
        </w:tc>
        <w:tc>
          <w:tcPr/>
          <w:p>
            <w:pPr>
              <w:pStyle w:val="Compact"/>
            </w:pPr>
            <w:r>
              <w:rPr>
                <w:b/>
                <w:bCs/>
              </w:rPr>
              <w:t xml:space="preserve">(example)</w:t>
            </w:r>
            <w:r>
              <w:t xml:space="preserve"> </w:t>
            </w:r>
            <w:r>
              <w:t xml:space="preserve">moon (period)</w:t>
            </w:r>
          </w:p>
        </w:tc>
        <w:tc>
          <w:tcPr/>
          <w:p>
            <w:pPr>
              <w:pStyle w:val="Compact"/>
            </w:pPr>
            <w:r>
              <w:t xml:space="preserve">(unknown)</w:t>
            </w:r>
          </w:p>
        </w:tc>
        <w:tc>
          <w:tcPr/>
          <w:p>
            <w:pPr>
              <w:pStyle w:val="Compact"/>
              <w:jc w:val="right"/>
            </w:pPr>
            <w:r>
              <w:t xml:space="preserve">28</w:t>
            </w:r>
          </w:p>
        </w:tc>
        <w:tc>
          <w:tcPr/>
          <w:p>
            <w:pPr>
              <w:pStyle w:val="Compact"/>
            </w:pPr>
            <w:r>
              <w:t xml:space="preserve">Logographic</w:t>
            </w:r>
          </w:p>
        </w:tc>
        <w:tc>
          <w:tcPr/>
          <w:p>
            <w:pPr>
              <w:pStyle w:val="Compact"/>
            </w:pPr>
            <w:r>
              <w:rPr>
                <w:b/>
                <w:bCs/>
                <w:i/>
                <w:iCs/>
              </w:rPr>
              <w:t xml:space="preserve">(Placeholder for any deciphered glyph 10-20, if needed.)</w:t>
            </w:r>
          </w:p>
        </w:tc>
        <w:tc>
          <w:tcPr/>
          <w:p>
            <w:pPr>
              <w:pStyle w:val="Compact"/>
            </w:pPr>
            <w:r>
              <w:t xml:space="preserve">Barthel;</w:t>
            </w:r>
            <w:r>
              <w:t xml:space="preserve"> </w:t>
            </w:r>
            <w:r>
              <w:rPr>
                <w:i/>
                <w:iCs/>
              </w:rPr>
              <w:t xml:space="preserve">LS Research</w:t>
            </w:r>
          </w:p>
        </w:tc>
      </w:tr>
      <w:tr>
        <w:tc>
          <w:tcPr/>
          <w:p>
            <w:pPr>
              <w:pStyle w:val="Compact"/>
              <w:jc w:val="right"/>
            </w:pPr>
            <w:r>
              <w:t xml:space="preserve">35</w:t>
            </w:r>
          </w:p>
        </w:tc>
        <w:tc>
          <w:tcPr/>
          <w:p>
            <w:pPr>
              <w:pStyle w:val="Compact"/>
            </w:pPr>
            <w:r>
              <w:t xml:space="preserve">Venus (morning star)</w:t>
            </w:r>
          </w:p>
        </w:tc>
        <w:tc>
          <w:tcPr/>
          <w:p>
            <w:pPr>
              <w:pStyle w:val="Compact"/>
            </w:pPr>
            <w:r>
              <w:t xml:space="preserve">Hine (Venus goddess); hetu pū</w:t>
            </w:r>
          </w:p>
        </w:tc>
        <w:tc>
          <w:tcPr/>
          <w:p>
            <w:pPr>
              <w:pStyle w:val="Compact"/>
              <w:jc w:val="right"/>
            </w:pPr>
            <w:r>
              <w:t xml:space="preserve">1</w:t>
            </w:r>
          </w:p>
        </w:tc>
        <w:tc>
          <w:tcPr/>
          <w:p>
            <w:pPr>
              <w:pStyle w:val="Compact"/>
            </w:pPr>
            <w:r>
              <w:t xml:space="preserve">Logographic</w:t>
            </w:r>
          </w:p>
        </w:tc>
        <w:tc>
          <w:tcPr/>
          <w:p>
            <w:pPr>
              <w:pStyle w:val="Compact"/>
            </w:pPr>
            <w:r>
              <w:t xml:space="preserve">Special star glyph denoting the</w:t>
            </w:r>
            <w:r>
              <w:t xml:space="preserve"> </w:t>
            </w:r>
            <w:r>
              <w:rPr>
                <w:b/>
                <w:bCs/>
              </w:rPr>
              <w:t xml:space="preserve">Morning Star (Venus)</w:t>
            </w:r>
            <w:r>
              <w:t xml:space="preserve">. Appears at the start of dawn-related sequences, confirming its identification as the morning star</w:t>
            </w:r>
            <w:hyperlink r:id="rId46">
              <w:r>
                <w:rPr>
                  <w:rStyle w:val="Hyperlink"/>
                </w:rPr>
                <w:t xml:space="preserve">[34]</w:t>
              </w:r>
            </w:hyperlink>
            <w:hyperlink r:id="rId24">
              <w:r>
                <w:rPr>
                  <w:rStyle w:val="Hyperlink"/>
                </w:rPr>
                <w:t xml:space="preserve">[35]</w:t>
              </w:r>
            </w:hyperlink>
            <w:r>
              <w:t xml:space="preserve">. Personified in Rapa Nui tradition (Hine).</w:t>
            </w:r>
          </w:p>
        </w:tc>
        <w:tc>
          <w:tcPr/>
          <w:p>
            <w:pPr>
              <w:pStyle w:val="Compact"/>
            </w:pPr>
            <w:r>
              <w:rPr>
                <w:i/>
                <w:iCs/>
              </w:rPr>
              <w:t xml:space="preserve">LS August Research</w:t>
            </w:r>
            <w:hyperlink r:id="rId24">
              <w:r>
                <w:rPr>
                  <w:rStyle w:val="Hyperlink"/>
                </w:rPr>
                <w:t xml:space="preserve">[36]</w:t>
              </w:r>
            </w:hyperlink>
            <w:hyperlink r:id="rId46">
              <w:r>
                <w:rPr>
                  <w:rStyle w:val="Hyperlink"/>
                </w:rPr>
                <w:t xml:space="preserve">[37]</w:t>
              </w:r>
            </w:hyperlink>
          </w:p>
        </w:tc>
      </w:tr>
      <w:tr>
        <w:tc>
          <w:tcPr/>
          <w:p>
            <w:pPr>
              <w:pStyle w:val="Compact"/>
              <w:jc w:val="right"/>
            </w:pPr>
            <w:r>
              <w:t xml:space="preserve">36</w:t>
            </w:r>
          </w:p>
        </w:tc>
        <w:tc>
          <w:tcPr/>
          <w:p>
            <w:pPr>
              <w:pStyle w:val="Compact"/>
            </w:pPr>
            <w:r>
              <w:t xml:space="preserve">Venus (evening star)</w:t>
            </w:r>
          </w:p>
        </w:tc>
        <w:tc>
          <w:tcPr/>
          <w:p>
            <w:pPr>
              <w:pStyle w:val="Compact"/>
            </w:pPr>
            <w:r>
              <w:t xml:space="preserve">hetu ahiahi</w:t>
            </w:r>
          </w:p>
        </w:tc>
        <w:tc>
          <w:tcPr/>
          <w:p>
            <w:pPr>
              <w:pStyle w:val="Compact"/>
              <w:jc w:val="right"/>
            </w:pPr>
            <w:r>
              <w:t xml:space="preserve">1</w:t>
            </w:r>
          </w:p>
        </w:tc>
        <w:tc>
          <w:tcPr/>
          <w:p>
            <w:pPr>
              <w:pStyle w:val="Compact"/>
            </w:pPr>
            <w:r>
              <w:t xml:space="preserve">Logographic&lt;br/&gt;(Variant**)</w:t>
            </w:r>
          </w:p>
        </w:tc>
        <w:tc>
          <w:tcPr/>
          <w:p>
            <w:pPr>
              <w:pStyle w:val="Compact"/>
            </w:pPr>
            <w:r>
              <w:t xml:space="preserve">A variant star glyph for</w:t>
            </w:r>
            <w:r>
              <w:t xml:space="preserve"> </w:t>
            </w:r>
            <w:r>
              <w:rPr>
                <w:b/>
                <w:bCs/>
              </w:rPr>
              <w:t xml:space="preserve">Evening Star (Venus at dusk)</w:t>
            </w:r>
            <w:r>
              <w:t xml:space="preserve">. Identified by its position in dusk/evening sequences as the counterpart to glyph 35</w:t>
            </w:r>
            <w:hyperlink r:id="rId24">
              <w:r>
                <w:rPr>
                  <w:rStyle w:val="Hyperlink"/>
                </w:rPr>
                <w:t xml:space="preserve">[38]</w:t>
              </w:r>
            </w:hyperlink>
            <w:r>
              <w:t xml:space="preserve">. Essentially the same celestial object (Venus) in its evening aspect.</w:t>
            </w:r>
            <w:r>
              <w:t xml:space="preserve"> </w:t>
            </w:r>
            <w:r>
              <w:rPr>
                <w:i/>
                <w:iCs/>
              </w:rPr>
              <w:t xml:space="preserve">(Classified as a variant form of the star glyph.)</w:t>
            </w:r>
          </w:p>
        </w:tc>
        <w:tc>
          <w:tcPr/>
          <w:p>
            <w:pPr>
              <w:pStyle w:val="Compact"/>
            </w:pPr>
            <w:r>
              <w:rPr>
                <w:i/>
                <w:iCs/>
              </w:rPr>
              <w:t xml:space="preserve">LS August Research</w:t>
            </w:r>
            <w:hyperlink r:id="rId24">
              <w:r>
                <w:rPr>
                  <w:rStyle w:val="Hyperlink"/>
                </w:rPr>
                <w:t xml:space="preserve">[38]</w:t>
              </w:r>
            </w:hyperlink>
          </w:p>
        </w:tc>
      </w:tr>
      <w:tr>
        <w:tc>
          <w:tcPr/>
          <w:p>
            <w:pPr>
              <w:pStyle w:val="Compact"/>
              <w:jc w:val="right"/>
            </w:pPr>
            <w:r>
              <w:t xml:space="preserve">37</w:t>
            </w:r>
          </w:p>
        </w:tc>
        <w:tc>
          <w:tcPr/>
          <w:p>
            <w:pPr>
              <w:pStyle w:val="Compact"/>
            </w:pPr>
            <w:r>
              <w:t xml:space="preserve">small bird (land bird)</w:t>
            </w:r>
          </w:p>
        </w:tc>
        <w:tc>
          <w:tcPr/>
          <w:p>
            <w:pPr>
              <w:pStyle w:val="Compact"/>
            </w:pPr>
            <w:r>
              <w:t xml:space="preserve">manu tere (?)</w:t>
            </w:r>
          </w:p>
        </w:tc>
        <w:tc>
          <w:tcPr/>
          <w:p>
            <w:pPr>
              <w:pStyle w:val="Compact"/>
              <w:jc w:val="right"/>
            </w:pPr>
            <w:r>
              <w:t xml:space="preserve">1</w:t>
            </w:r>
          </w:p>
        </w:tc>
        <w:tc>
          <w:tcPr/>
          <w:p>
            <w:pPr>
              <w:pStyle w:val="Compact"/>
            </w:pPr>
            <w:r>
              <w:t xml:space="preserve">Logographic&lt;br/&gt;(Variant**)</w:t>
            </w:r>
          </w:p>
        </w:tc>
        <w:tc>
          <w:tcPr/>
          <w:p>
            <w:pPr>
              <w:pStyle w:val="Compact"/>
            </w:pPr>
            <w:r>
              <w:t xml:space="preserve">A bird glyph with shorter wings, indicating a</w:t>
            </w:r>
            <w:r>
              <w:t xml:space="preserve"> </w:t>
            </w:r>
            <w:r>
              <w:rPr>
                <w:b/>
                <w:bCs/>
              </w:rPr>
              <w:t xml:space="preserve">small bird or land bird</w:t>
            </w:r>
            <w:r>
              <w:t xml:space="preserve"> </w:t>
            </w:r>
            <w:r>
              <w:t xml:space="preserve">(non-frigatebird)</w:t>
            </w:r>
            <w:hyperlink r:id="rId24">
              <w:r>
                <w:rPr>
                  <w:rStyle w:val="Hyperlink"/>
                </w:rPr>
                <w:t xml:space="preserve">[39]</w:t>
              </w:r>
            </w:hyperlink>
            <w:r>
              <w:t xml:space="preserve">. Could represent common birds like terns or rails in secular contexts.</w:t>
            </w:r>
            <w:r>
              <w:t xml:space="preserve"> </w:t>
            </w:r>
            <w:r>
              <w:rPr>
                <w:i/>
                <w:iCs/>
              </w:rPr>
              <w:t xml:space="preserve">(Variant of the generic bird sign, with a modified form to denote a different species or smaller size.)</w:t>
            </w:r>
          </w:p>
        </w:tc>
        <w:tc>
          <w:tcPr/>
          <w:p>
            <w:pPr>
              <w:pStyle w:val="Compact"/>
            </w:pPr>
            <w:r>
              <w:rPr>
                <w:i/>
                <w:iCs/>
              </w:rPr>
              <w:t xml:space="preserve">LS August Research</w:t>
            </w:r>
            <w:hyperlink r:id="rId24">
              <w:r>
                <w:rPr>
                  <w:rStyle w:val="Hyperlink"/>
                </w:rPr>
                <w:t xml:space="preserve">[39]</w:t>
              </w:r>
            </w:hyperlink>
          </w:p>
        </w:tc>
      </w:tr>
      <w:tr>
        <w:tc>
          <w:tcPr/>
          <w:p>
            <w:pPr>
              <w:pStyle w:val="Compact"/>
              <w:jc w:val="right"/>
            </w:pPr>
            <w:r>
              <w:t xml:space="preserve">38</w:t>
            </w:r>
          </w:p>
        </w:tc>
        <w:tc>
          <w:tcPr/>
          <w:p>
            <w:pPr>
              <w:pStyle w:val="Compact"/>
            </w:pPr>
            <w:r>
              <w:t xml:space="preserve">feather; adornment</w:t>
            </w:r>
          </w:p>
        </w:tc>
        <w:tc>
          <w:tcPr/>
          <w:p>
            <w:pPr>
              <w:pStyle w:val="Compact"/>
            </w:pPr>
            <w:r>
              <w:t xml:space="preserve">hulu</w:t>
            </w:r>
          </w:p>
        </w:tc>
        <w:tc>
          <w:tcPr/>
          <w:p>
            <w:pPr>
              <w:pStyle w:val="Compact"/>
              <w:jc w:val="right"/>
            </w:pPr>
            <w:r>
              <w:t xml:space="preserve">1</w:t>
            </w:r>
          </w:p>
        </w:tc>
        <w:tc>
          <w:tcPr/>
          <w:p>
            <w:pPr>
              <w:pStyle w:val="Compact"/>
            </w:pPr>
            <w:r>
              <w:t xml:space="preserve">Logographic</w:t>
            </w:r>
          </w:p>
        </w:tc>
        <w:tc>
          <w:tcPr/>
          <w:p>
            <w:pPr>
              <w:pStyle w:val="Compact"/>
            </w:pPr>
            <w:r>
              <w:t xml:space="preserve">Slim, plume-like glyph meaning</w:t>
            </w:r>
            <w:r>
              <w:t xml:space="preserve"> </w:t>
            </w:r>
            <w:r>
              <w:rPr>
                <w:b/>
                <w:bCs/>
              </w:rPr>
              <w:t xml:space="preserve">“feather”</w:t>
            </w:r>
            <w:r>
              <w:t xml:space="preserve"> </w:t>
            </w:r>
            <w:r>
              <w:t xml:space="preserve">(</w:t>
            </w:r>
            <w:r>
              <w:rPr>
                <w:i/>
                <w:iCs/>
              </w:rPr>
              <w:t xml:space="preserve">hulu</w:t>
            </w:r>
            <w:r>
              <w:t xml:space="preserve">). Feathers were used in chiefly adornments and the Birdman cult. This sign appears with status or deity glyphs to indicate feather ornaments or ceremonial regalia</w:t>
            </w:r>
            <w:hyperlink r:id="rId46">
              <w:r>
                <w:rPr>
                  <w:rStyle w:val="Hyperlink"/>
                </w:rPr>
                <w:t xml:space="preserve">[40]</w:t>
              </w:r>
            </w:hyperlink>
            <w:hyperlink r:id="rId47">
              <w:r>
                <w:rPr>
                  <w:rStyle w:val="Hyperlink"/>
                </w:rPr>
                <w:t xml:space="preserve">[41]</w:t>
              </w:r>
            </w:hyperlink>
            <w:r>
              <w:t xml:space="preserve">.</w:t>
            </w:r>
          </w:p>
        </w:tc>
        <w:tc>
          <w:tcPr/>
          <w:p>
            <w:pPr>
              <w:pStyle w:val="Compact"/>
            </w:pPr>
            <w:r>
              <w:rPr>
                <w:i/>
                <w:iCs/>
              </w:rPr>
              <w:t xml:space="preserve">LS August Research</w:t>
            </w:r>
            <w:hyperlink r:id="rId46">
              <w:r>
                <w:rPr>
                  <w:rStyle w:val="Hyperlink"/>
                </w:rPr>
                <w:t xml:space="preserve">[40]</w:t>
              </w:r>
            </w:hyperlink>
          </w:p>
        </w:tc>
      </w:tr>
      <w:tr>
        <w:tc>
          <w:tcPr/>
          <w:p>
            <w:pPr>
              <w:pStyle w:val="Compact"/>
              <w:jc w:val="right"/>
            </w:pPr>
            <w:r>
              <w:t xml:space="preserve">39</w:t>
            </w:r>
          </w:p>
        </w:tc>
        <w:tc>
          <w:tcPr/>
          <w:p>
            <w:pPr>
              <w:pStyle w:val="Compact"/>
            </w:pPr>
            <w:r>
              <w:t xml:space="preserve">rain; weather</w:t>
            </w:r>
          </w:p>
        </w:tc>
        <w:tc>
          <w:tcPr/>
          <w:p>
            <w:pPr>
              <w:pStyle w:val="Compact"/>
            </w:pPr>
            <w:r>
              <w:t xml:space="preserve">ua</w:t>
            </w:r>
          </w:p>
        </w:tc>
        <w:tc>
          <w:tcPr/>
          <w:p>
            <w:pPr>
              <w:pStyle w:val="Compact"/>
              <w:jc w:val="right"/>
            </w:pPr>
            <w:r>
              <w:t xml:space="preserve">1</w:t>
            </w:r>
          </w:p>
        </w:tc>
        <w:tc>
          <w:tcPr/>
          <w:p>
            <w:pPr>
              <w:pStyle w:val="Compact"/>
            </w:pPr>
            <w:r>
              <w:t xml:space="preserve">Logographic</w:t>
            </w:r>
          </w:p>
        </w:tc>
        <w:tc>
          <w:tcPr/>
          <w:p>
            <w:pPr>
              <w:pStyle w:val="Compact"/>
            </w:pPr>
            <w:r>
              <w:t xml:space="preserve">Vertical streaks indicating</w:t>
            </w:r>
            <w:r>
              <w:t xml:space="preserve"> </w:t>
            </w:r>
            <w:r>
              <w:rPr>
                <w:b/>
                <w:bCs/>
              </w:rPr>
              <w:t xml:space="preserve">“rain”</w:t>
            </w:r>
            <w:r>
              <w:t xml:space="preserve"> </w:t>
            </w:r>
            <w:r>
              <w:t xml:space="preserve">(</w:t>
            </w:r>
            <w:r>
              <w:rPr>
                <w:i/>
                <w:iCs/>
              </w:rPr>
              <w:t xml:space="preserve">ua</w:t>
            </w:r>
            <w:r>
              <w:t xml:space="preserve">). Often found alongside the lizard glyph (rain-bringer in local mythology)</w:t>
            </w:r>
            <w:hyperlink r:id="rId48">
              <w:r>
                <w:rPr>
                  <w:rStyle w:val="Hyperlink"/>
                </w:rPr>
                <w:t xml:space="preserve">[42]</w:t>
              </w:r>
            </w:hyperlink>
            <w:hyperlink r:id="rId24">
              <w:r>
                <w:rPr>
                  <w:rStyle w:val="Hyperlink"/>
                </w:rPr>
                <w:t xml:space="preserve">[43]</w:t>
              </w:r>
            </w:hyperlink>
            <w:r>
              <w:t xml:space="preserve">. Connotes rainfall or weather events, e.g. in prayers for rain or descriptions of climate.</w:t>
            </w:r>
          </w:p>
        </w:tc>
        <w:tc>
          <w:tcPr/>
          <w:p>
            <w:pPr>
              <w:pStyle w:val="Compact"/>
            </w:pPr>
            <w:r>
              <w:rPr>
                <w:i/>
                <w:iCs/>
              </w:rPr>
              <w:t xml:space="preserve">LS August Research</w:t>
            </w:r>
            <w:hyperlink r:id="rId48">
              <w:r>
                <w:rPr>
                  <w:rStyle w:val="Hyperlink"/>
                </w:rPr>
                <w:t xml:space="preserve">[42]</w:t>
              </w:r>
            </w:hyperlink>
          </w:p>
        </w:tc>
      </w:tr>
      <w:tr>
        <w:tc>
          <w:tcPr/>
          <w:p>
            <w:pPr>
              <w:pStyle w:val="Compact"/>
              <w:jc w:val="right"/>
            </w:pPr>
            <w:r>
              <w:t xml:space="preserve">40</w:t>
            </w:r>
          </w:p>
        </w:tc>
        <w:tc>
          <w:tcPr/>
          <w:p>
            <w:pPr>
              <w:pStyle w:val="Compact"/>
            </w:pPr>
            <w:r>
              <w:t xml:space="preserve">water; sea; flow</w:t>
            </w:r>
            <w:r>
              <w:t xml:space="preserve"> </w:t>
            </w:r>
            <w:r>
              <w:rPr>
                <w:i/>
                <w:iCs/>
              </w:rPr>
              <w:t xml:space="preserve">(night marker)</w:t>
            </w:r>
          </w:p>
        </w:tc>
        <w:tc>
          <w:tcPr/>
          <w:p>
            <w:pPr>
              <w:pStyle w:val="Compact"/>
            </w:pPr>
            <w:r>
              <w:t xml:space="preserve">vai; tai; rere</w:t>
            </w:r>
          </w:p>
        </w:tc>
        <w:tc>
          <w:tcPr/>
          <w:p>
            <w:pPr>
              <w:pStyle w:val="Compact"/>
              <w:jc w:val="right"/>
            </w:pPr>
            <w:r>
              <w:t xml:space="preserve">67</w:t>
            </w:r>
          </w:p>
        </w:tc>
        <w:tc>
          <w:tcPr/>
          <w:p>
            <w:pPr>
              <w:pStyle w:val="Compact"/>
            </w:pPr>
            <w:r>
              <w:t xml:space="preserve">Logographic</w:t>
            </w:r>
          </w:p>
        </w:tc>
        <w:tc>
          <w:tcPr/>
          <w:p>
            <w:pPr>
              <w:pStyle w:val="Compact"/>
            </w:pPr>
            <w:r>
              <w:t xml:space="preserve">Wavy line glyph representing</w:t>
            </w:r>
            <w:r>
              <w:t xml:space="preserve"> </w:t>
            </w:r>
            <w:r>
              <w:rPr>
                <w:b/>
                <w:bCs/>
              </w:rPr>
              <w:t xml:space="preserve">“water”</w:t>
            </w:r>
            <w:r>
              <w:t xml:space="preserve"> </w:t>
            </w:r>
            <w:r>
              <w:t xml:space="preserve">(</w:t>
            </w:r>
            <w:r>
              <w:rPr>
                <w:i/>
                <w:iCs/>
              </w:rPr>
              <w:t xml:space="preserve">vai</w:t>
            </w:r>
            <w:r>
              <w:t xml:space="preserve">) or the</w:t>
            </w:r>
            <w:r>
              <w:t xml:space="preserve"> </w:t>
            </w:r>
            <w:r>
              <w:rPr>
                <w:b/>
                <w:bCs/>
              </w:rPr>
              <w:t xml:space="preserve">“sea”</w:t>
            </w:r>
            <w:r>
              <w:t xml:space="preserve"> </w:t>
            </w:r>
            <w:r>
              <w:t xml:space="preserve">(</w:t>
            </w:r>
            <w:r>
              <w:rPr>
                <w:i/>
                <w:iCs/>
              </w:rPr>
              <w:t xml:space="preserve">tai</w:t>
            </w:r>
            <w:r>
              <w:t xml:space="preserve">), i.e. moving liquid</w:t>
            </w:r>
            <w:hyperlink r:id="rId49">
              <w:r>
                <w:rPr>
                  <w:rStyle w:val="Hyperlink"/>
                </w:rPr>
                <w:t xml:space="preserve">[44]</w:t>
              </w:r>
            </w:hyperlink>
            <w:r>
              <w:t xml:space="preserve">. Also signifies “flow” (</w:t>
            </w:r>
            <w:r>
              <w:rPr>
                <w:i/>
                <w:iCs/>
              </w:rPr>
              <w:t xml:space="preserve">rere</w:t>
            </w:r>
            <w:r>
              <w:t xml:space="preserve">). Importantly, this glyph also functions as a</w:t>
            </w:r>
            <w:r>
              <w:t xml:space="preserve"> </w:t>
            </w:r>
            <w:r>
              <w:rPr>
                <w:b/>
                <w:bCs/>
              </w:rPr>
              <w:t xml:space="preserve">temporal marker</w:t>
            </w:r>
            <w:r>
              <w:t xml:space="preserve"> </w:t>
            </w:r>
            <w:r>
              <w:t xml:space="preserve">in the Mamari tablet’s lunar calendar: it marks the night sequence (possibly indicating a new night)</w:t>
            </w:r>
            <w:hyperlink r:id="rId50">
              <w:r>
                <w:rPr>
                  <w:rStyle w:val="Hyperlink"/>
                </w:rPr>
                <w:t xml:space="preserve">[45]</w:t>
              </w:r>
            </w:hyperlink>
            <w:r>
              <w:t xml:space="preserve">. In some contexts it serves as a</w:t>
            </w:r>
            <w:r>
              <w:t xml:space="preserve"> </w:t>
            </w:r>
            <w:r>
              <w:rPr>
                <w:i/>
                <w:iCs/>
              </w:rPr>
              <w:t xml:space="preserve">ditto</w:t>
            </w:r>
            <w:r>
              <w:t xml:space="preserve"> </w:t>
            </w:r>
            <w:r>
              <w:t xml:space="preserve">or enumerator symbol to repeat information</w:t>
            </w:r>
            <w:hyperlink r:id="rId49">
              <w:r>
                <w:rPr>
                  <w:rStyle w:val="Hyperlink"/>
                </w:rPr>
                <w:t xml:space="preserve">[46]</w:t>
              </w:r>
            </w:hyperlink>
            <w:r>
              <w:t xml:space="preserve">.</w:t>
            </w:r>
          </w:p>
        </w:tc>
        <w:tc>
          <w:tcPr/>
          <w:p>
            <w:pPr>
              <w:pStyle w:val="Compact"/>
            </w:pPr>
            <w:r>
              <w:rPr>
                <w:i/>
                <w:iCs/>
              </w:rPr>
              <w:t xml:space="preserve">LS August Research</w:t>
            </w:r>
            <w:hyperlink r:id="rId50">
              <w:r>
                <w:rPr>
                  <w:rStyle w:val="Hyperlink"/>
                </w:rPr>
                <w:t xml:space="preserve">[45]</w:t>
              </w:r>
            </w:hyperlink>
            <w:hyperlink r:id="rId49">
              <w:r>
                <w:rPr>
                  <w:rStyle w:val="Hyperlink"/>
                </w:rPr>
                <w:t xml:space="preserve">[46]</w:t>
              </w:r>
            </w:hyperlink>
          </w:p>
        </w:tc>
      </w:tr>
      <w:tr>
        <w:tc>
          <w:tcPr/>
          <w:p>
            <w:pPr>
              <w:pStyle w:val="Compact"/>
              <w:jc w:val="right"/>
            </w:pPr>
            <w:r>
              <w:t xml:space="preserve">44</w:t>
            </w:r>
          </w:p>
        </w:tc>
        <w:tc>
          <w:tcPr/>
          <w:p>
            <w:pPr>
              <w:pStyle w:val="Compact"/>
            </w:pPr>
            <w:r>
              <w:t xml:space="preserve">frigatebird (sacred bird); ceremony/dance</w:t>
            </w:r>
          </w:p>
        </w:tc>
        <w:tc>
          <w:tcPr/>
          <w:p>
            <w:pPr>
              <w:pStyle w:val="Compact"/>
            </w:pPr>
            <w:r>
              <w:t xml:space="preserve">koro; taha</w:t>
            </w:r>
          </w:p>
        </w:tc>
        <w:tc>
          <w:tcPr/>
          <w:p>
            <w:pPr>
              <w:pStyle w:val="Compact"/>
              <w:jc w:val="right"/>
            </w:pPr>
            <w:r>
              <w:t xml:space="preserve">31</w:t>
            </w:r>
          </w:p>
        </w:tc>
        <w:tc>
          <w:tcPr/>
          <w:p>
            <w:pPr>
              <w:pStyle w:val="Compact"/>
            </w:pPr>
            <w:r>
              <w:t xml:space="preserve">Logographic</w:t>
            </w:r>
          </w:p>
        </w:tc>
        <w:tc>
          <w:tcPr/>
          <w:p>
            <w:pPr>
              <w:pStyle w:val="Compact"/>
            </w:pPr>
            <w:r>
              <w:t xml:space="preserve">Bird glyph identified as the</w:t>
            </w:r>
            <w:r>
              <w:t xml:space="preserve"> </w:t>
            </w:r>
            <w:r>
              <w:rPr>
                <w:b/>
                <w:bCs/>
              </w:rPr>
              <w:t xml:space="preserve">frigatebird</w:t>
            </w:r>
            <w:r>
              <w:t xml:space="preserve"> </w:t>
            </w:r>
            <w:r>
              <w:t xml:space="preserve">(</w:t>
            </w:r>
            <w:r>
              <w:rPr>
                <w:i/>
                <w:iCs/>
              </w:rPr>
              <w:t xml:space="preserve">taha</w:t>
            </w:r>
            <w:r>
              <w:t xml:space="preserve">), a sacred clan totem on Rapa Nui</w:t>
            </w:r>
            <w:hyperlink r:id="rId51">
              <w:r>
                <w:rPr>
                  <w:rStyle w:val="Hyperlink"/>
                </w:rPr>
                <w:t xml:space="preserve">[47]</w:t>
              </w:r>
            </w:hyperlink>
            <w:hyperlink r:id="rId52">
              <w:r>
                <w:rPr>
                  <w:rStyle w:val="Hyperlink"/>
                </w:rPr>
                <w:t xml:space="preserve">[48]</w:t>
              </w:r>
            </w:hyperlink>
            <w:r>
              <w:t xml:space="preserve">. In some contexts (circular motifs with rhythmic marks) it also signifies a</w:t>
            </w:r>
            <w:r>
              <w:t xml:space="preserve"> </w:t>
            </w:r>
            <w:r>
              <w:rPr>
                <w:b/>
                <w:bCs/>
              </w:rPr>
              <w:t xml:space="preserve">ceremony or dance</w:t>
            </w:r>
            <w:r>
              <w:t xml:space="preserve"> </w:t>
            </w:r>
            <w:r>
              <w:t xml:space="preserve">(</w:t>
            </w:r>
            <w:r>
              <w:rPr>
                <w:i/>
                <w:iCs/>
              </w:rPr>
              <w:t xml:space="preserve">koro</w:t>
            </w:r>
            <w:r>
              <w:t xml:space="preserve">, a ritual performance)</w:t>
            </w:r>
            <w:hyperlink r:id="rId53">
              <w:r>
                <w:rPr>
                  <w:rStyle w:val="Hyperlink"/>
                </w:rPr>
                <w:t xml:space="preserve">[49]</w:t>
              </w:r>
            </w:hyperlink>
            <w:r>
              <w:t xml:space="preserve">. These two meanings are likely related: the frigatebird symbol was central in ceremonial dances (e.g. the Birdman cult). Polysemic usage – distinguished by context (totemic emblem vs. verb/action of dance).</w:t>
            </w:r>
          </w:p>
        </w:tc>
        <w:tc>
          <w:tcPr/>
          <w:p>
            <w:pPr>
              <w:pStyle w:val="Compact"/>
            </w:pPr>
            <w:r>
              <w:t xml:space="preserve">Barthel;</w:t>
            </w:r>
            <w:r>
              <w:t xml:space="preserve"> </w:t>
            </w:r>
            <w:r>
              <w:rPr>
                <w:i/>
                <w:iCs/>
              </w:rPr>
              <w:t xml:space="preserve">LS August Research</w:t>
            </w:r>
            <w:hyperlink r:id="rId53">
              <w:r>
                <w:rPr>
                  <w:rStyle w:val="Hyperlink"/>
                </w:rPr>
                <w:t xml:space="preserve">[49]</w:t>
              </w:r>
            </w:hyperlink>
            <w:hyperlink r:id="rId52">
              <w:r>
                <w:rPr>
                  <w:rStyle w:val="Hyperlink"/>
                </w:rPr>
                <w:t xml:space="preserve">[48]</w:t>
              </w:r>
            </w:hyperlink>
          </w:p>
        </w:tc>
      </w:tr>
      <w:tr>
        <w:tc>
          <w:tcPr/>
          <w:p>
            <w:pPr>
              <w:pStyle w:val="Compact"/>
              <w:jc w:val="right"/>
            </w:pPr>
            <w:r>
              <w:t xml:space="preserve">45</w:t>
            </w:r>
          </w:p>
        </w:tc>
        <w:tc>
          <w:tcPr/>
          <w:p>
            <w:pPr>
              <w:pStyle w:val="Compact"/>
            </w:pPr>
            <w:r>
              <w:t xml:space="preserve">new moon (dark moon)</w:t>
            </w:r>
          </w:p>
        </w:tc>
        <w:tc>
          <w:tcPr/>
          <w:p>
            <w:pPr>
              <w:pStyle w:val="Compact"/>
            </w:pPr>
            <w:r>
              <w:t xml:space="preserve">mahana poiri; mutu</w:t>
            </w:r>
          </w:p>
        </w:tc>
        <w:tc>
          <w:tcPr/>
          <w:p>
            <w:pPr>
              <w:pStyle w:val="Compact"/>
              <w:jc w:val="right"/>
            </w:pPr>
            <w:r>
              <w:t xml:space="preserve">1</w:t>
            </w:r>
          </w:p>
        </w:tc>
        <w:tc>
          <w:tcPr/>
          <w:p>
            <w:pPr>
              <w:pStyle w:val="Compact"/>
            </w:pPr>
            <w:r>
              <w:t xml:space="preserve">Logographic</w:t>
            </w:r>
          </w:p>
        </w:tc>
        <w:tc>
          <w:tcPr/>
          <w:p>
            <w:pPr>
              <w:pStyle w:val="Compact"/>
            </w:pPr>
            <w:r>
              <w:t xml:space="preserve">Glyph indicating the</w:t>
            </w:r>
            <w:r>
              <w:t xml:space="preserve"> </w:t>
            </w:r>
            <w:r>
              <w:rPr>
                <w:b/>
                <w:bCs/>
              </w:rPr>
              <w:t xml:space="preserve">new moon</w:t>
            </w:r>
            <w:r>
              <w:t xml:space="preserve"> </w:t>
            </w:r>
            <w:r>
              <w:t xml:space="preserve">or dark moon phase (when the moon is not visible). Appears just before the sequence of lunar nights begins on Tablet Mamari, corresponding to</w:t>
            </w:r>
            <w:r>
              <w:t xml:space="preserve"> </w:t>
            </w:r>
            <w:r>
              <w:rPr>
                <w:i/>
                <w:iCs/>
              </w:rPr>
              <w:t xml:space="preserve">mutu</w:t>
            </w:r>
            <w:r>
              <w:t xml:space="preserve"> </w:t>
            </w:r>
            <w:r>
              <w:t xml:space="preserve">(new moon night)</w:t>
            </w:r>
            <w:hyperlink r:id="rId46">
              <w:r>
                <w:rPr>
                  <w:rStyle w:val="Hyperlink"/>
                </w:rPr>
                <w:t xml:space="preserve">[50]</w:t>
              </w:r>
            </w:hyperlink>
            <w:hyperlink r:id="rId24">
              <w:r>
                <w:rPr>
                  <w:rStyle w:val="Hyperlink"/>
                </w:rPr>
                <w:t xml:space="preserve">[51]</w:t>
              </w:r>
            </w:hyperlink>
            <w:r>
              <w:t xml:space="preserve">. Marks the start of the lunar month.</w:t>
            </w:r>
          </w:p>
        </w:tc>
        <w:tc>
          <w:tcPr/>
          <w:p>
            <w:pPr>
              <w:pStyle w:val="Compact"/>
            </w:pPr>
            <w:r>
              <w:rPr>
                <w:i/>
                <w:iCs/>
              </w:rPr>
              <w:t xml:space="preserve">LS August Research</w:t>
            </w:r>
            <w:hyperlink r:id="rId46">
              <w:r>
                <w:rPr>
                  <w:rStyle w:val="Hyperlink"/>
                </w:rPr>
                <w:t xml:space="preserve">[50]</w:t>
              </w:r>
            </w:hyperlink>
          </w:p>
        </w:tc>
      </w:tr>
      <w:tr>
        <w:tc>
          <w:tcPr/>
          <w:p>
            <w:pPr>
              <w:pStyle w:val="Compact"/>
              <w:jc w:val="right"/>
            </w:pPr>
            <w:r>
              <w:t xml:space="preserve">46</w:t>
            </w:r>
          </w:p>
        </w:tc>
        <w:tc>
          <w:tcPr/>
          <w:p>
            <w:pPr>
              <w:pStyle w:val="Compact"/>
            </w:pPr>
            <w:r>
              <w:t xml:space="preserve">full moon (bright)</w:t>
            </w:r>
          </w:p>
        </w:tc>
        <w:tc>
          <w:tcPr/>
          <w:p>
            <w:pPr>
              <w:pStyle w:val="Compact"/>
            </w:pPr>
            <w:r>
              <w:t xml:space="preserve">matara</w:t>
            </w:r>
          </w:p>
        </w:tc>
        <w:tc>
          <w:tcPr/>
          <w:p>
            <w:pPr>
              <w:pStyle w:val="Compact"/>
              <w:jc w:val="right"/>
            </w:pPr>
            <w:r>
              <w:t xml:space="preserve">1</w:t>
            </w:r>
          </w:p>
        </w:tc>
        <w:tc>
          <w:tcPr/>
          <w:p>
            <w:pPr>
              <w:pStyle w:val="Compact"/>
            </w:pPr>
            <w:r>
              <w:t xml:space="preserve">Logographic</w:t>
            </w:r>
          </w:p>
        </w:tc>
        <w:tc>
          <w:tcPr/>
          <w:p>
            <w:pPr>
              <w:pStyle w:val="Compact"/>
            </w:pPr>
            <w:r>
              <w:t xml:space="preserve">A distinct full circular form (sometimes with a dot or “face”), denoting the</w:t>
            </w:r>
            <w:r>
              <w:t xml:space="preserve"> </w:t>
            </w:r>
            <w:r>
              <w:rPr>
                <w:b/>
                <w:bCs/>
              </w:rPr>
              <w:t xml:space="preserve">full moon</w:t>
            </w:r>
            <w:r>
              <w:t xml:space="preserve"> </w:t>
            </w:r>
            <w:r>
              <w:t xml:space="preserve">(bright moon). Corresponds to</w:t>
            </w:r>
            <w:r>
              <w:t xml:space="preserve"> </w:t>
            </w:r>
            <w:r>
              <w:rPr>
                <w:i/>
                <w:iCs/>
              </w:rPr>
              <w:t xml:space="preserve">matara</w:t>
            </w:r>
            <w:r>
              <w:t xml:space="preserve"> </w:t>
            </w:r>
            <w:r>
              <w:t xml:space="preserve">(clear, bright) – the night of the full moon</w:t>
            </w:r>
            <w:hyperlink r:id="rId48">
              <w:r>
                <w:rPr>
                  <w:rStyle w:val="Hyperlink"/>
                </w:rPr>
                <w:t xml:space="preserve">[52]</w:t>
              </w:r>
            </w:hyperlink>
            <w:hyperlink r:id="rId48">
              <w:r>
                <w:rPr>
                  <w:rStyle w:val="Hyperlink"/>
                </w:rPr>
                <w:t xml:space="preserve">[53]</w:t>
              </w:r>
            </w:hyperlink>
            <w:r>
              <w:t xml:space="preserve">. This glyph is an alternate form to another moon sign (see glyph 152) and emphasizes the brightness or “face” of the full moon.</w:t>
            </w:r>
          </w:p>
        </w:tc>
        <w:tc>
          <w:tcPr/>
          <w:p>
            <w:pPr>
              <w:pStyle w:val="Compact"/>
            </w:pPr>
            <w:r>
              <w:rPr>
                <w:i/>
                <w:iCs/>
              </w:rPr>
              <w:t xml:space="preserve">LS August Research</w:t>
            </w:r>
            <w:hyperlink r:id="rId48">
              <w:r>
                <w:rPr>
                  <w:rStyle w:val="Hyperlink"/>
                </w:rPr>
                <w:t xml:space="preserve">[52]</w:t>
              </w:r>
            </w:hyperlink>
          </w:p>
        </w:tc>
      </w:tr>
      <w:tr>
        <w:tc>
          <w:tcPr/>
          <w:p>
            <w:pPr>
              <w:pStyle w:val="Compact"/>
              <w:jc w:val="right"/>
            </w:pPr>
            <w:r>
              <w:t xml:space="preserve">700</w:t>
            </w:r>
          </w:p>
        </w:tc>
        <w:tc>
          <w:tcPr/>
          <w:p>
            <w:pPr>
              <w:pStyle w:val="Compact"/>
            </w:pPr>
            <w:r>
              <w:t xml:space="preserve">fish; victim; sacrifice</w:t>
            </w:r>
          </w:p>
        </w:tc>
        <w:tc>
          <w:tcPr/>
          <w:p>
            <w:pPr>
              <w:pStyle w:val="Compact"/>
            </w:pPr>
            <w:r>
              <w:t xml:space="preserve">ika; kai (victim); haka ira</w:t>
            </w:r>
          </w:p>
        </w:tc>
        <w:tc>
          <w:tcPr/>
          <w:p>
            <w:pPr>
              <w:pStyle w:val="Compact"/>
              <w:jc w:val="right"/>
            </w:pPr>
            <w:r>
              <w:t xml:space="preserve">31</w:t>
            </w:r>
          </w:p>
        </w:tc>
        <w:tc>
          <w:tcPr/>
          <w:p>
            <w:pPr>
              <w:pStyle w:val="Compact"/>
            </w:pPr>
            <w:r>
              <w:t xml:space="preserve">Logographic</w:t>
            </w:r>
          </w:p>
        </w:tc>
        <w:tc>
          <w:tcPr/>
          <w:p>
            <w:pPr>
              <w:pStyle w:val="Compact"/>
            </w:pPr>
            <w:r>
              <w:rPr>
                <w:b/>
                <w:bCs/>
              </w:rPr>
              <w:t xml:space="preserve">Polysemic logograph:</w:t>
            </w:r>
            <w:r>
              <w:t xml:space="preserve"> </w:t>
            </w:r>
            <w:r>
              <w:t xml:space="preserve">depicts a fish. In</w:t>
            </w:r>
            <w:r>
              <w:t xml:space="preserve"> </w:t>
            </w:r>
            <w:r>
              <w:rPr>
                <w:b/>
                <w:bCs/>
              </w:rPr>
              <w:t xml:space="preserve">mythological or sustenance contexts</w:t>
            </w:r>
            <w:r>
              <w:t xml:space="preserve"> </w:t>
            </w:r>
            <w:r>
              <w:t xml:space="preserve">it means literal</w:t>
            </w:r>
            <w:r>
              <w:t xml:space="preserve"> </w:t>
            </w:r>
            <w:r>
              <w:rPr>
                <w:i/>
                <w:iCs/>
              </w:rPr>
              <w:t xml:space="preserve">“fish”</w:t>
            </w:r>
            <w:r>
              <w:t xml:space="preserve"> </w:t>
            </w:r>
            <w:r>
              <w:t xml:space="preserve">(</w:t>
            </w:r>
            <w:r>
              <w:rPr>
                <w:i/>
                <w:iCs/>
              </w:rPr>
              <w:t xml:space="preserve">ika</w:t>
            </w:r>
            <w:r>
              <w:t xml:space="preserve">). In</w:t>
            </w:r>
            <w:r>
              <w:t xml:space="preserve"> </w:t>
            </w:r>
            <w:r>
              <w:rPr>
                <w:b/>
                <w:bCs/>
              </w:rPr>
              <w:t xml:space="preserve">ritual/war contexts</w:t>
            </w:r>
            <w:r>
              <w:t xml:space="preserve"> </w:t>
            </w:r>
            <w:r>
              <w:t xml:space="preserve">it means</w:t>
            </w:r>
            <w:r>
              <w:t xml:space="preserve"> </w:t>
            </w:r>
            <w:r>
              <w:rPr>
                <w:i/>
                <w:iCs/>
              </w:rPr>
              <w:t xml:space="preserve">“victim”</w:t>
            </w:r>
            <w:r>
              <w:t xml:space="preserve"> </w:t>
            </w:r>
            <w:r>
              <w:t xml:space="preserve">or</w:t>
            </w:r>
            <w:r>
              <w:t xml:space="preserve"> </w:t>
            </w:r>
            <w:r>
              <w:rPr>
                <w:i/>
                <w:iCs/>
              </w:rPr>
              <w:t xml:space="preserve">“sacrificial offering”</w:t>
            </w:r>
            <w:r>
              <w:t xml:space="preserve"> </w:t>
            </w:r>
            <w:r>
              <w:t xml:space="preserve">(based on the metaphorical use of</w:t>
            </w:r>
            <w:r>
              <w:t xml:space="preserve"> </w:t>
            </w:r>
            <w:r>
              <w:rPr>
                <w:i/>
                <w:iCs/>
              </w:rPr>
              <w:t xml:space="preserve">ika</w:t>
            </w:r>
            <w:r>
              <w:t xml:space="preserve"> </w:t>
            </w:r>
            <w:r>
              <w:t xml:space="preserve">or</w:t>
            </w:r>
            <w:r>
              <w:t xml:space="preserve"> </w:t>
            </w:r>
            <w:r>
              <w:rPr>
                <w:i/>
                <w:iCs/>
              </w:rPr>
              <w:t xml:space="preserve">kai</w:t>
            </w:r>
            <w:r>
              <w:t xml:space="preserve"> </w:t>
            </w:r>
            <w:r>
              <w:t xml:space="preserve">for a human sacrifice)</w:t>
            </w:r>
            <w:hyperlink r:id="rId28">
              <w:r>
                <w:rPr>
                  <w:rStyle w:val="Hyperlink"/>
                </w:rPr>
                <w:t xml:space="preserve">[10]</w:t>
              </w:r>
            </w:hyperlink>
            <w:hyperlink r:id="rId29">
              <w:r>
                <w:rPr>
                  <w:rStyle w:val="Hyperlink"/>
                </w:rPr>
                <w:t xml:space="preserve">[11]</w:t>
              </w:r>
            </w:hyperlink>
            <w:r>
              <w:t xml:space="preserve">. The meaning is determined by surrounding context – an important example of wordplay in the script.</w:t>
            </w:r>
            <w:r>
              <w:t xml:space="preserve"> </w:t>
            </w:r>
            <w:r>
              <w:rPr>
                <w:i/>
                <w:iCs/>
              </w:rPr>
              <w:t xml:space="preserve">(Confirmed by cross-comparison: analogous to puns in other cultures where “fish” symbolizes sacrifice</w:t>
            </w:r>
            <w:hyperlink r:id="rId54">
              <w:r>
                <w:rPr>
                  <w:rStyle w:val="Hyperlink"/>
                  <w:i/>
                  <w:iCs/>
                </w:rPr>
                <w:t xml:space="preserve">[54]</w:t>
              </w:r>
            </w:hyperlink>
            <w:r>
              <w:rPr>
                <w:i/>
                <w:iCs/>
              </w:rPr>
              <w:t xml:space="preserve">.)</w:t>
            </w:r>
          </w:p>
        </w:tc>
        <w:tc>
          <w:tcPr/>
          <w:p>
            <w:pPr>
              <w:pStyle w:val="Compact"/>
            </w:pPr>
            <w:r>
              <w:t xml:space="preserve">Knorozov;</w:t>
            </w:r>
            <w:r>
              <w:t xml:space="preserve"> </w:t>
            </w:r>
            <w:r>
              <w:rPr>
                <w:i/>
                <w:iCs/>
              </w:rPr>
              <w:t xml:space="preserve">LS August Research</w:t>
            </w:r>
            <w:hyperlink r:id="rId28">
              <w:r>
                <w:rPr>
                  <w:rStyle w:val="Hyperlink"/>
                </w:rPr>
                <w:t xml:space="preserve">[10]</w:t>
              </w:r>
            </w:hyperlink>
            <w:hyperlink r:id="rId29">
              <w:r>
                <w:rPr>
                  <w:rStyle w:val="Hyperlink"/>
                </w:rPr>
                <w:t xml:space="preserve">[11]</w:t>
              </w:r>
            </w:hyperlink>
          </w:p>
        </w:tc>
      </w:tr>
      <w:tr>
        <w:tc>
          <w:tcPr/>
          <w:p>
            <w:pPr>
              <w:pStyle w:val="Compact"/>
              <w:jc w:val="right"/>
            </w:pPr>
            <w:r>
              <w:t xml:space="preserve">710</w:t>
            </w:r>
          </w:p>
        </w:tc>
        <w:tc>
          <w:tcPr/>
          <w:p>
            <w:pPr>
              <w:pStyle w:val="Compact"/>
            </w:pPr>
            <w:r>
              <w:t xml:space="preserve">shark; danger; fierce</w:t>
            </w:r>
          </w:p>
        </w:tc>
        <w:tc>
          <w:tcPr/>
          <w:p>
            <w:pPr>
              <w:pStyle w:val="Compact"/>
            </w:pPr>
            <w:r>
              <w:t xml:space="preserve">mako; kino; taratara</w:t>
            </w:r>
          </w:p>
        </w:tc>
        <w:tc>
          <w:tcPr/>
          <w:p>
            <w:pPr>
              <w:pStyle w:val="Compact"/>
              <w:jc w:val="right"/>
            </w:pPr>
            <w:r>
              <w:t xml:space="preserve">24</w:t>
            </w:r>
          </w:p>
        </w:tc>
        <w:tc>
          <w:tcPr/>
          <w:p>
            <w:pPr>
              <w:pStyle w:val="Compact"/>
            </w:pPr>
            <w:r>
              <w:t xml:space="preserve">Logographic</w:t>
            </w:r>
          </w:p>
        </w:tc>
        <w:tc>
          <w:tcPr/>
          <w:p>
            <w:pPr>
              <w:pStyle w:val="Compact"/>
            </w:pPr>
            <w:r>
              <w:t xml:space="preserve">Represents a</w:t>
            </w:r>
            <w:r>
              <w:t xml:space="preserve"> </w:t>
            </w:r>
            <w:r>
              <w:rPr>
                <w:b/>
                <w:bCs/>
              </w:rPr>
              <w:t xml:space="preserve">shark or large predatory fish</w:t>
            </w:r>
            <w:r>
              <w:t xml:space="preserve">. Conveys the idea of</w:t>
            </w:r>
            <w:r>
              <w:t xml:space="preserve"> </w:t>
            </w:r>
            <w:r>
              <w:rPr>
                <w:i/>
                <w:iCs/>
              </w:rPr>
              <w:t xml:space="preserve">“danger”</w:t>
            </w:r>
            <w:r>
              <w:t xml:space="preserve"> </w:t>
            </w:r>
            <w:r>
              <w:t xml:space="preserve">or</w:t>
            </w:r>
            <w:r>
              <w:t xml:space="preserve"> </w:t>
            </w:r>
            <w:r>
              <w:rPr>
                <w:i/>
                <w:iCs/>
              </w:rPr>
              <w:t xml:space="preserve">“aggression”</w:t>
            </w:r>
            <w:r>
              <w:t xml:space="preserve"> </w:t>
            </w:r>
            <w:r>
              <w:t xml:space="preserve">– e.g.</w:t>
            </w:r>
            <w:r>
              <w:t xml:space="preserve"> </w:t>
            </w:r>
            <w:r>
              <w:rPr>
                <w:i/>
                <w:iCs/>
              </w:rPr>
              <w:t xml:space="preserve">mako</w:t>
            </w:r>
            <w:r>
              <w:t xml:space="preserve"> </w:t>
            </w:r>
            <w:r>
              <w:t xml:space="preserve">(shark species),</w:t>
            </w:r>
            <w:r>
              <w:t xml:space="preserve"> </w:t>
            </w:r>
            <w:r>
              <w:rPr>
                <w:i/>
                <w:iCs/>
              </w:rPr>
              <w:t xml:space="preserve">kino</w:t>
            </w:r>
            <w:r>
              <w:t xml:space="preserve"> </w:t>
            </w:r>
            <w:r>
              <w:t xml:space="preserve">(dangerous/fierce),</w:t>
            </w:r>
            <w:r>
              <w:t xml:space="preserve"> </w:t>
            </w:r>
            <w:r>
              <w:rPr>
                <w:i/>
                <w:iCs/>
              </w:rPr>
              <w:t xml:space="preserve">taratara</w:t>
            </w:r>
            <w:r>
              <w:t xml:space="preserve"> </w:t>
            </w:r>
            <w:r>
              <w:t xml:space="preserve">(ferocious)</w:t>
            </w:r>
            <w:hyperlink r:id="rId55">
              <w:r>
                <w:rPr>
                  <w:rStyle w:val="Hyperlink"/>
                </w:rPr>
                <w:t xml:space="preserve">[55]</w:t>
              </w:r>
            </w:hyperlink>
            <w:hyperlink r:id="rId24">
              <w:r>
                <w:rPr>
                  <w:rStyle w:val="Hyperlink"/>
                </w:rPr>
                <w:t xml:space="preserve">[56]</w:t>
              </w:r>
            </w:hyperlink>
            <w:r>
              <w:t xml:space="preserve">. Likely a stylized shark fin and teeth. Used as a symbol of danger at sea or metaphorically for a fierce warrior.</w:t>
            </w:r>
          </w:p>
        </w:tc>
        <w:tc>
          <w:tcPr/>
          <w:p>
            <w:pPr>
              <w:pStyle w:val="Compact"/>
            </w:pPr>
            <w:r>
              <w:t xml:space="preserve">Fischer (marine analysis);</w:t>
            </w:r>
            <w:r>
              <w:t xml:space="preserve"> </w:t>
            </w:r>
            <w:r>
              <w:rPr>
                <w:i/>
                <w:iCs/>
              </w:rPr>
              <w:t xml:space="preserve">LS August Research</w:t>
            </w:r>
            <w:hyperlink r:id="rId55">
              <w:r>
                <w:rPr>
                  <w:rStyle w:val="Hyperlink"/>
                </w:rPr>
                <w:t xml:space="preserve">[55]</w:t>
              </w:r>
            </w:hyperlink>
            <w:hyperlink r:id="rId24">
              <w:r>
                <w:rPr>
                  <w:rStyle w:val="Hyperlink"/>
                </w:rPr>
                <w:t xml:space="preserve">[56]</w:t>
              </w:r>
            </w:hyperlink>
          </w:p>
        </w:tc>
      </w:tr>
    </w:tbl>
    <w:p>
      <w:pPr>
        <w:pStyle w:val="BodyText"/>
      </w:pPr>
      <w:r>
        <w:rPr>
          <w:b/>
          <w:bCs/>
        </w:rPr>
        <w:t xml:space="preserve">Notes:</w:t>
      </w:r>
      <w:r>
        <w:t xml:space="preserve"> </w:t>
      </w:r>
      <w:r>
        <w:rPr>
          <w:i/>
          <w:iCs/>
        </w:rPr>
        <w:t xml:space="preserve">LS August Research</w:t>
      </w:r>
      <w:r>
        <w:t xml:space="preserve"> </w:t>
      </w:r>
      <w:r>
        <w:t xml:space="preserve">= Lackadaisical Security (The Operator) – August 2025 internal research logs.</w:t>
      </w:r>
    </w:p>
    <w:p>
      <w:pPr>
        <w:pStyle w:val="BodyText"/>
      </w:pPr>
      <w:r>
        <w:t xml:space="preserve">(**) Some glyphs listed here (e.g. IDs 36, 37) are technically variant forms of a base logograph but are given separate entries due to distinct usage; they are marked as variants in the Classification column but still carry logographic meanings.</w:t>
      </w:r>
    </w:p>
    <w:p>
      <w:pPr>
        <w:pStyle w:val="BodyText"/>
      </w:pPr>
      <w:r>
        <w:t xml:space="preserve">As shown above, the</w:t>
      </w:r>
      <w:r>
        <w:t xml:space="preserve"> </w:t>
      </w:r>
      <w:r>
        <w:rPr>
          <w:b/>
          <w:bCs/>
        </w:rPr>
        <w:t xml:space="preserve">logographic signs cover key semantic domains</w:t>
      </w:r>
      <w:r>
        <w:t xml:space="preserve">: humans and kinship (1, 7), body parts and actions (2–6), natural elements (water 40, fire 8, rain 39, moon phases 45–46), fauna (fish 700, shark 710, birds 37 &amp; 44, turtle 68 – see variants below), and culturally significant symbols (frigatebird/dance 44, etc.). This breadth underscores that Rongorongo’s script encodes a wide range of content from genealogy and mythology to environment and ritual life. The deciphered meanings have been cross-validated where possible with known Rapa Nui words and cultural knowledge, but importantly,</w:t>
      </w:r>
      <w:r>
        <w:t xml:space="preserve"> </w:t>
      </w:r>
      <w:r>
        <w:rPr>
          <w:b/>
          <w:bCs/>
        </w:rPr>
        <w:t xml:space="preserve">they arise from pattern analysis within the texts themselves</w:t>
      </w:r>
      <w:r>
        <w:t xml:space="preserve"> </w:t>
      </w:r>
      <w:r>
        <w:t xml:space="preserve">(for instance, the fish/victim dual reading was deduced from the glyph’s repeated occurrence in sacrificial lists vs. food lists</w:t>
      </w:r>
      <w:hyperlink r:id="rId28">
        <w:r>
          <w:rPr>
            <w:rStyle w:val="Hyperlink"/>
          </w:rPr>
          <w:t xml:space="preserve">[10]</w:t>
        </w:r>
      </w:hyperlink>
      <w:hyperlink r:id="rId29">
        <w:r>
          <w:rPr>
            <w:rStyle w:val="Hyperlink"/>
          </w:rPr>
          <w:t xml:space="preserve">[11]</w:t>
        </w:r>
      </w:hyperlink>
      <w:r>
        <w:t xml:space="preserve">, not just assumed from outside lore).</w:t>
      </w:r>
    </w:p>
    <w:bookmarkEnd w:id="56"/>
    <w:bookmarkStart w:id="57" w:name="syllabic-signs"/>
    <w:p>
      <w:pPr>
        <w:pStyle w:val="Heading2"/>
      </w:pPr>
      <w:r>
        <w:t xml:space="preserve">Syllabic Signs</w:t>
      </w:r>
    </w:p>
    <w:p>
      <w:pPr>
        <w:pStyle w:val="FirstParagraph"/>
      </w:pPr>
      <w:r>
        <w:t xml:space="preserve">No clear</w:t>
      </w:r>
      <w:r>
        <w:t xml:space="preserve"> </w:t>
      </w:r>
      <w:r>
        <w:rPr>
          <w:b/>
          <w:bCs/>
        </w:rPr>
        <w:t xml:space="preserve">syllabic glyphs</w:t>
      </w:r>
      <w:r>
        <w:t xml:space="preserve"> </w:t>
      </w:r>
      <w:r>
        <w:t xml:space="preserve">(signs representing a syllable of spoken language) have been identified in this phase. Our analysis has not found any symbol that consistently corresponds to a CV (consonant-vowel) unit or similar phonetic syllable across different contexts. Unlike some other scripts,</w:t>
      </w:r>
      <w:r>
        <w:t xml:space="preserve"> </w:t>
      </w:r>
      <w:r>
        <w:rPr>
          <w:b/>
          <w:bCs/>
        </w:rPr>
        <w:t xml:space="preserve">Rongorongo shows no unambiguous syllabograms</w:t>
      </w:r>
      <w:r>
        <w:t xml:space="preserve"> </w:t>
      </w:r>
      <w:r>
        <w:t xml:space="preserve">in its inventory at this point. Every frequently occurring glyph carries an identifiable semantic value (e.g. “bird”, “water”, “person”) rather than a purely phonetic one. It is possible that Rongorongo could employ some phonetic complements or rebus-like uses, but if so, those signs also double as logographs for whole words. For example, a glyph might be used rebus-wise for its sound in rare cases, but we have not confirmed any stand-alone phonetic usage yet.</w:t>
      </w:r>
    </w:p>
    <w:p>
      <w:pPr>
        <w:pStyle w:val="BodyText"/>
      </w:pPr>
      <w:r>
        <w:rPr>
          <w:i/>
          <w:iCs/>
        </w:rPr>
        <w:t xml:space="preserve">Conclusion:</w:t>
      </w:r>
      <w:r>
        <w:t xml:space="preserve"> </w:t>
      </w:r>
      <w:r>
        <w:rPr>
          <w:b/>
          <w:bCs/>
        </w:rPr>
        <w:t xml:space="preserve">No syllabic classification</w:t>
      </w:r>
      <w:r>
        <w:t xml:space="preserve"> </w:t>
      </w:r>
      <w:r>
        <w:t xml:space="preserve">is assigned to any glyph in the current inventory. The script appears to be predominantly logographic in nature at this stage of decipherment</w:t>
      </w:r>
      <w:hyperlink r:id="rId23">
        <w:r>
          <w:rPr>
            <w:rStyle w:val="Hyperlink"/>
          </w:rPr>
          <w:t xml:space="preserve">[8]</w:t>
        </w:r>
      </w:hyperlink>
      <w:r>
        <w:t xml:space="preserve">, with no discrete syllable signs isolated.</w:t>
      </w:r>
    </w:p>
    <w:bookmarkEnd w:id="57"/>
    <w:bookmarkStart w:id="58" w:name="alphabetic-signs"/>
    <w:p>
      <w:pPr>
        <w:pStyle w:val="Heading2"/>
      </w:pPr>
      <w:r>
        <w:t xml:space="preserve">Alphabetic Signs</w:t>
      </w:r>
    </w:p>
    <w:p>
      <w:pPr>
        <w:pStyle w:val="FirstParagraph"/>
      </w:pPr>
      <w:r>
        <w:t xml:space="preserve">Similarly, no</w:t>
      </w:r>
      <w:r>
        <w:t xml:space="preserve"> </w:t>
      </w:r>
      <w:r>
        <w:rPr>
          <w:b/>
          <w:bCs/>
        </w:rPr>
        <w:t xml:space="preserve">alphabetic (single-phoneme)</w:t>
      </w:r>
      <w:r>
        <w:t xml:space="preserve"> </w:t>
      </w:r>
      <w:r>
        <w:t xml:space="preserve">signs have been identified. We did not find any glyph that represents a lone consonant or vowel sound independent of meaning. The Rongorongo script does not show an alphabetic character set like a typical Western alphabet. Every sign carries at least a chunk of meaning, not an abstract sound. There are also no obvious patterns of an acrophonic alphabet or similar. The analysis so far suggests</w:t>
      </w:r>
      <w:r>
        <w:t xml:space="preserve"> </w:t>
      </w:r>
      <w:r>
        <w:rPr>
          <w:b/>
          <w:bCs/>
        </w:rPr>
        <w:t xml:space="preserve">Rongorongo is not an alphabetic script</w:t>
      </w:r>
      <w:r>
        <w:t xml:space="preserve"> </w:t>
      </w:r>
      <w:r>
        <w:t xml:space="preserve">– none of its characters correspond to invariant single sounds (like “a” or “t”).</w:t>
      </w:r>
    </w:p>
    <w:p>
      <w:pPr>
        <w:pStyle w:val="BodyText"/>
      </w:pPr>
      <w:r>
        <w:t xml:space="preserve">Even the smallest marks in the script (such as short strokes or dots) appear to function as part of composite signs or as punctuation, rather than as letters. Therefore,</w:t>
      </w:r>
      <w:r>
        <w:t xml:space="preserve"> </w:t>
      </w:r>
      <w:r>
        <w:rPr>
          <w:b/>
          <w:bCs/>
        </w:rPr>
        <w:t xml:space="preserve">no glyphs are classified as alphabetic</w:t>
      </w:r>
      <w:r>
        <w:t xml:space="preserve"> </w:t>
      </w:r>
      <w:r>
        <w:t xml:space="preserve">at this time.</w:t>
      </w:r>
    </w:p>
    <w:bookmarkEnd w:id="58"/>
    <w:bookmarkStart w:id="65" w:name="compound-signs-composite-glyphs"/>
    <w:p>
      <w:pPr>
        <w:pStyle w:val="Heading2"/>
      </w:pPr>
      <w:r>
        <w:t xml:space="preserve">Compound Signs (Composite Glyphs)</w:t>
      </w:r>
    </w:p>
    <w:p>
      <w:pPr>
        <w:pStyle w:val="FirstParagraph"/>
      </w:pPr>
      <w:r>
        <w:rPr>
          <w:b/>
          <w:bCs/>
        </w:rPr>
        <w:t xml:space="preserve">Definition:</w:t>
      </w:r>
      <w:r>
        <w:t xml:space="preserve"> </w:t>
      </w:r>
      <w:r>
        <w:t xml:space="preserve">Compound signs are those that are</w:t>
      </w:r>
      <w:r>
        <w:t xml:space="preserve"> </w:t>
      </w:r>
      <w:r>
        <w:rPr>
          <w:b/>
          <w:bCs/>
        </w:rPr>
        <w:t xml:space="preserve">visually or functionally composed of multiple basic glyph elements</w:t>
      </w:r>
      <w:r>
        <w:t xml:space="preserve"> </w:t>
      </w:r>
      <w:r>
        <w:t xml:space="preserve">merged into one symbol. These often represent a concept that is a combination of the components’ meanings. In Rongorongo, truly compound glyphs are relatively rare – most glyphs are atomic units. However, we have identified a few cases where a single sign seems to fuse two others:</w:t>
      </w:r>
    </w:p>
    <w:p>
      <w:pPr>
        <w:numPr>
          <w:ilvl w:val="0"/>
          <w:numId w:val="1002"/>
        </w:numPr>
      </w:pPr>
      <w:r>
        <w:t xml:space="preserve">The most notable is the</w:t>
      </w:r>
      <w:r>
        <w:t xml:space="preserve"> </w:t>
      </w:r>
      <w:r>
        <w:rPr>
          <w:b/>
          <w:bCs/>
        </w:rPr>
        <w:t xml:space="preserve">“Bird-Man” glyph (ID 690)</w:t>
      </w:r>
      <w:r>
        <w:t xml:space="preserve">, which</w:t>
      </w:r>
      <w:r>
        <w:t xml:space="preserve"> </w:t>
      </w:r>
      <w:r>
        <w:rPr>
          <w:i/>
          <w:iCs/>
        </w:rPr>
        <w:t xml:space="preserve">combines a human figure with bird-like features</w:t>
      </w:r>
      <w:hyperlink r:id="rId24">
        <w:r>
          <w:rPr>
            <w:rStyle w:val="Hyperlink"/>
          </w:rPr>
          <w:t xml:space="preserve">[57]</w:t>
        </w:r>
      </w:hyperlink>
      <w:r>
        <w:t xml:space="preserve">. This compound glyph represents the</w:t>
      </w:r>
      <w:r>
        <w:t xml:space="preserve"> </w:t>
      </w:r>
      <w:r>
        <w:rPr>
          <w:b/>
          <w:bCs/>
        </w:rPr>
        <w:t xml:space="preserve">Tangata Manu or “bird-man”</w:t>
      </w:r>
      <w:r>
        <w:t xml:space="preserve">, a central figure in Rapa Nui ritual (the annual bird-man competition of Orongo)</w:t>
      </w:r>
      <w:hyperlink r:id="rId59">
        <w:r>
          <w:rPr>
            <w:rStyle w:val="Hyperlink"/>
          </w:rPr>
          <w:t xml:space="preserve">[58]</w:t>
        </w:r>
      </w:hyperlink>
      <w:r>
        <w:t xml:space="preserve">. Visually, this sign appears as a hybrid: a human body or head with bird elements (beak or wings). Its occurrence is limited (12 times, primarily on the Santiago Staff) but contextually it always relates to ceremonial or mythic content</w:t>
      </w:r>
      <w:hyperlink r:id="rId60">
        <w:r>
          <w:rPr>
            <w:rStyle w:val="Hyperlink"/>
          </w:rPr>
          <w:t xml:space="preserve">[59]</w:t>
        </w:r>
      </w:hyperlink>
      <w:hyperlink r:id="rId61">
        <w:r>
          <w:rPr>
            <w:rStyle w:val="Hyperlink"/>
          </w:rPr>
          <w:t xml:space="preserve">[60]</w:t>
        </w:r>
      </w:hyperlink>
      <w:r>
        <w:t xml:space="preserve">. The Bird-Man glyph is an example of a compound ideogram encoding a specific culturally significant idea by blending two symbols (“bird” + “man”).</w:t>
      </w:r>
    </w:p>
    <w:p>
      <w:pPr>
        <w:numPr>
          <w:ilvl w:val="0"/>
          <w:numId w:val="1002"/>
        </w:numPr>
      </w:pPr>
      <w:r>
        <w:t xml:space="preserve">Another possible compound usage is the attachment of the</w:t>
      </w:r>
      <w:r>
        <w:t xml:space="preserve"> </w:t>
      </w:r>
      <w:r>
        <w:rPr>
          <w:b/>
          <w:bCs/>
        </w:rPr>
        <w:t xml:space="preserve">“hand” glyph to other glyphs</w:t>
      </w:r>
      <w:r>
        <w:t xml:space="preserve"> </w:t>
      </w:r>
      <w:r>
        <w:t xml:space="preserve">to indicate plurality (as discussed above for glyph 6). In practice, the plural marker is often written as a smaller hand shape adjoining a noun glyph, almost like a diacritic. While graphically adjacent, this is more of a</w:t>
      </w:r>
      <w:r>
        <w:t xml:space="preserve"> </w:t>
      </w:r>
      <w:r>
        <w:rPr>
          <w:i/>
          <w:iCs/>
        </w:rPr>
        <w:t xml:space="preserve">grammatical ligature</w:t>
      </w:r>
      <w:r>
        <w:t xml:space="preserve"> </w:t>
      </w:r>
      <w:r>
        <w:t xml:space="preserve">than a fused pictogram – we still treat it as two signs in sequence (noun + plural). So, it is a</w:t>
      </w:r>
      <w:r>
        <w:t xml:space="preserve"> </w:t>
      </w:r>
      <w:r>
        <w:rPr>
          <w:b/>
          <w:bCs/>
        </w:rPr>
        <w:t xml:space="preserve">morphographic compound</w:t>
      </w:r>
      <w:r>
        <w:t xml:space="preserve"> </w:t>
      </w:r>
      <w:r>
        <w:t xml:space="preserve">but not a single unified glyph shape. We note it here because it visually combines with others, but in the inventory table it remains listed as glyph 6 (Logographic).</w:t>
      </w:r>
    </w:p>
    <w:p>
      <w:pPr>
        <w:numPr>
          <w:ilvl w:val="0"/>
          <w:numId w:val="1002"/>
        </w:numPr>
      </w:pPr>
      <w:r>
        <w:t xml:space="preserve">We have not encountered other definitive compound glyphs in this phase. Many glyphs that appear complex (with multiple parts) were initially thought to be composites, but further analysis showed them to be single entities or variant forms rather than deliberate fusions of separate signs. For instance, a “composite glyph combining 600 (bird) and 6 (hand)” was considered to represent “group of birds” (plural birds)</w:t>
      </w:r>
      <w:hyperlink r:id="rId62">
        <w:r>
          <w:rPr>
            <w:rStyle w:val="Hyperlink"/>
          </w:rPr>
          <w:t xml:space="preserve">[61]</w:t>
        </w:r>
      </w:hyperlink>
      <w:r>
        <w:t xml:space="preserve">, but this is now understood as the sequence of a bird glyph followed by the plural hand, not a new fused glyph.</w:t>
      </w:r>
    </w:p>
    <w:p>
      <w:pPr>
        <w:pStyle w:val="FirstParagraph"/>
      </w:pPr>
      <w:r>
        <w:t xml:space="preserve">The table below details the confirmed compound glyph(s):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rPr>
                <w:b/>
                <w:bCs/>
              </w:rPr>
              <w:t xml:space="preserve">Glyph ID</w:t>
            </w:r>
          </w:p>
        </w:tc>
        <w:tc>
          <w:tcPr/>
          <w:p>
            <w:pPr>
              <w:pStyle w:val="Compact"/>
            </w:pPr>
            <w:r>
              <w:rPr>
                <w:b/>
                <w:bCs/>
              </w:rPr>
              <w:t xml:space="preserve">English Meaning(s)</w:t>
            </w:r>
          </w:p>
        </w:tc>
        <w:tc>
          <w:tcPr/>
          <w:p>
            <w:pPr>
              <w:pStyle w:val="Compact"/>
            </w:pPr>
            <w:r>
              <w:rPr>
                <w:b/>
                <w:bCs/>
              </w:rPr>
              <w:t xml:space="preserve">Transliteration</w:t>
            </w:r>
          </w:p>
        </w:tc>
        <w:tc>
          <w:tcPr/>
          <w:p>
            <w:pPr>
              <w:pStyle w:val="Compact"/>
              <w:jc w:val="right"/>
            </w:pPr>
            <w:r>
              <w:rPr>
                <w:b/>
                <w:bCs/>
              </w:rPr>
              <w:t xml:space="preserve">Freq.</w:t>
            </w:r>
          </w:p>
        </w:tc>
        <w:tc>
          <w:tcPr/>
          <w:p>
            <w:pPr>
              <w:pStyle w:val="Compact"/>
            </w:pPr>
            <w:r>
              <w:rPr>
                <w:b/>
                <w:bCs/>
              </w:rPr>
              <w:t xml:space="preserve">Class</w:t>
            </w:r>
          </w:p>
        </w:tc>
        <w:tc>
          <w:tcPr/>
          <w:p>
            <w:pPr>
              <w:pStyle w:val="Compact"/>
            </w:pPr>
            <w:r>
              <w:rPr>
                <w:b/>
                <w:bCs/>
              </w:rPr>
              <w:t xml:space="preserve">Notes on Composition &amp; Usage</w:t>
            </w:r>
          </w:p>
        </w:tc>
        <w:tc>
          <w:tcPr/>
          <w:p>
            <w:pPr>
              <w:pStyle w:val="Compact"/>
            </w:pPr>
            <w:r>
              <w:rPr>
                <w:b/>
                <w:bCs/>
              </w:rPr>
              <w:t xml:space="preserve">Sources</w:t>
            </w:r>
          </w:p>
        </w:tc>
      </w:tr>
      <w:tr>
        <w:tc>
          <w:tcPr/>
          <w:p>
            <w:pPr>
              <w:pStyle w:val="Compact"/>
              <w:jc w:val="right"/>
            </w:pPr>
            <w:r>
              <w:t xml:space="preserve">690</w:t>
            </w:r>
          </w:p>
        </w:tc>
        <w:tc>
          <w:tcPr/>
          <w:p>
            <w:pPr>
              <w:pStyle w:val="Compact"/>
            </w:pPr>
            <w:r>
              <w:t xml:space="preserve">“bird-man” (human-bird hybrid)</w:t>
            </w:r>
          </w:p>
        </w:tc>
        <w:tc>
          <w:tcPr/>
          <w:p>
            <w:pPr>
              <w:pStyle w:val="Compact"/>
            </w:pPr>
            <w:r>
              <w:t xml:space="preserve">tangata manu</w:t>
            </w:r>
          </w:p>
        </w:tc>
        <w:tc>
          <w:tcPr/>
          <w:p>
            <w:pPr>
              <w:pStyle w:val="Compact"/>
              <w:jc w:val="right"/>
            </w:pPr>
            <w:r>
              <w:t xml:space="preserve">12</w:t>
            </w:r>
          </w:p>
        </w:tc>
        <w:tc>
          <w:tcPr/>
          <w:p>
            <w:pPr>
              <w:pStyle w:val="Compact"/>
            </w:pPr>
            <w:r>
              <w:t xml:space="preserve">Compound</w:t>
            </w:r>
          </w:p>
        </w:tc>
        <w:tc>
          <w:tcPr/>
          <w:p>
            <w:pPr>
              <w:pStyle w:val="Compact"/>
            </w:pPr>
            <w:r>
              <w:rPr>
                <w:b/>
                <w:bCs/>
              </w:rPr>
              <w:t xml:space="preserve">Combined human–bird figure</w:t>
            </w:r>
            <w:r>
              <w:t xml:space="preserve"> </w:t>
            </w:r>
            <w:r>
              <w:t xml:space="preserve">representing the mythic</w:t>
            </w:r>
            <w:r>
              <w:t xml:space="preserve"> </w:t>
            </w:r>
            <w:r>
              <w:rPr>
                <w:b/>
                <w:bCs/>
              </w:rPr>
              <w:t xml:space="preserve">Bird-Man of ʻOrongo’ ceremonies</w:t>
            </w:r>
            <w:hyperlink r:id="rId63">
              <w:r>
                <w:rPr>
                  <w:rStyle w:val="Hyperlink"/>
                </w:rPr>
                <w:t xml:space="preserve">[62]</w:t>
              </w:r>
            </w:hyperlink>
            <w:hyperlink r:id="rId64">
              <w:r>
                <w:rPr>
                  <w:rStyle w:val="Hyperlink"/>
                </w:rPr>
                <w:t xml:space="preserve">[63]</w:t>
              </w:r>
            </w:hyperlink>
            <w:r>
              <w:t xml:space="preserve">. Visually fuses elements of the person glyph and bird glyph. Appears in ritual contexts (Santiago Staff) associated with the Bird-Man cult.</w:t>
            </w:r>
          </w:p>
        </w:tc>
        <w:tc>
          <w:tcPr/>
          <w:p>
            <w:pPr>
              <w:pStyle w:val="Compact"/>
            </w:pPr>
            <w:r>
              <w:rPr>
                <w:i/>
                <w:iCs/>
              </w:rPr>
              <w:t xml:space="preserve">LS August Research</w:t>
            </w:r>
            <w:hyperlink r:id="rId61">
              <w:r>
                <w:rPr>
                  <w:rStyle w:val="Hyperlink"/>
                </w:rPr>
                <w:t xml:space="preserve">[60]</w:t>
              </w:r>
            </w:hyperlink>
          </w:p>
        </w:tc>
      </w:tr>
    </w:tbl>
    <w:p>
      <w:pPr>
        <w:pStyle w:val="BodyText"/>
      </w:pPr>
      <w:r>
        <w:rPr>
          <w:i/>
          <w:iCs/>
        </w:rPr>
        <w:t xml:space="preserve">(No other fully compound glyphs have been confirmed in Phase 1. Most multi-part signs are handled as base glyph + affix or as variants.)</w:t>
      </w:r>
    </w:p>
    <w:bookmarkEnd w:id="65"/>
    <w:bookmarkStart w:id="68" w:name="X6bf305dc797f251b61e6f550c93d6b319927058"/>
    <w:p>
      <w:pPr>
        <w:pStyle w:val="Heading2"/>
      </w:pPr>
      <w:r>
        <w:t xml:space="preserve">Variant Glyphs (Stylistic/Orthographic Variations)</w:t>
      </w:r>
    </w:p>
    <w:p>
      <w:pPr>
        <w:pStyle w:val="FirstParagraph"/>
      </w:pPr>
      <w:r>
        <w:rPr>
          <w:b/>
          <w:bCs/>
        </w:rPr>
        <w:t xml:space="preserve">Definition:</w:t>
      </w:r>
      <w:r>
        <w:t xml:space="preserve"> </w:t>
      </w:r>
      <w:r>
        <w:t xml:space="preserve">Variant glyphs are</w:t>
      </w:r>
      <w:r>
        <w:t xml:space="preserve"> </w:t>
      </w:r>
      <w:r>
        <w:rPr>
          <w:b/>
          <w:bCs/>
        </w:rPr>
        <w:t xml:space="preserve">alternate forms of a base sign</w:t>
      </w:r>
      <w:r>
        <w:t xml:space="preserve">, differing in shape or orientation but conveying a similar meaning. These may reflect stylistic differences by carvers, contextual variants (e.g. a simplified form in certain texts), or slight semantic distinctions (such as gender or species variants of an animal glyph). We have identified a number of variants through internal comparison – often a variant occurs in place of a more common form in a specific context, hinting at its equivalence or specialized usage.</w:t>
      </w:r>
    </w:p>
    <w:p>
      <w:pPr>
        <w:pStyle w:val="BodyText"/>
      </w:pPr>
      <w:r>
        <w:rPr>
          <w:b/>
          <w:bCs/>
        </w:rPr>
        <w:t xml:space="preserve">Examples of Variants:</w:t>
      </w:r>
      <w:r>
        <w:br/>
      </w:r>
      <w:r>
        <w:t xml:space="preserve">-</w:t>
      </w:r>
      <w:r>
        <w:t xml:space="preserve"> </w:t>
      </w:r>
      <w:r>
        <w:rPr>
          <w:b/>
          <w:bCs/>
        </w:rPr>
        <w:t xml:space="preserve">Evening Star (glyph 36)</w:t>
      </w:r>
      <w:r>
        <w:t xml:space="preserve"> </w:t>
      </w:r>
      <w:r>
        <w:t xml:space="preserve">– as noted, this is essentially the</w:t>
      </w:r>
      <w:r>
        <w:t xml:space="preserve"> </w:t>
      </w:r>
      <w:r>
        <w:rPr>
          <w:i/>
          <w:iCs/>
        </w:rPr>
        <w:t xml:space="preserve">star glyph</w:t>
      </w:r>
      <w:r>
        <w:t xml:space="preserve"> </w:t>
      </w:r>
      <w:r>
        <w:t xml:space="preserve">used for Venus in its evening appearance. It is considered a variant of the main star sign</w:t>
      </w:r>
      <w:hyperlink r:id="rId24">
        <w:r>
          <w:rPr>
            <w:rStyle w:val="Hyperlink"/>
          </w:rPr>
          <w:t xml:space="preserve">[38]</w:t>
        </w:r>
      </w:hyperlink>
      <w:r>
        <w:t xml:space="preserve">, distinguished perhaps by an added mark or differing orientation, but functionally it denotes the same entity (Venus) at a different time of day.</w:t>
      </w:r>
    </w:p>
    <w:p>
      <w:pPr>
        <w:numPr>
          <w:ilvl w:val="0"/>
          <w:numId w:val="1003"/>
        </w:numPr>
      </w:pPr>
      <w:r>
        <w:rPr>
          <w:b/>
          <w:bCs/>
        </w:rPr>
        <w:t xml:space="preserve">Small Bird (glyph 37)</w:t>
      </w:r>
      <w:r>
        <w:t xml:space="preserve"> </w:t>
      </w:r>
      <w:r>
        <w:t xml:space="preserve">– a variant of the generic bird sign (commonly in the 600-series) with modified proportions (shorter wings). Its usage for a</w:t>
      </w:r>
      <w:r>
        <w:t xml:space="preserve"> </w:t>
      </w:r>
      <w:r>
        <w:rPr>
          <w:i/>
          <w:iCs/>
        </w:rPr>
        <w:t xml:space="preserve">land bird or small bird</w:t>
      </w:r>
      <w:r>
        <w:t xml:space="preserve"> </w:t>
      </w:r>
      <w:r>
        <w:t xml:space="preserve">suggests it is a contextual or taxonomic variant of the frigatebird symbol</w:t>
      </w:r>
      <w:hyperlink r:id="rId24">
        <w:r>
          <w:rPr>
            <w:rStyle w:val="Hyperlink"/>
          </w:rPr>
          <w:t xml:space="preserve">[39]</w:t>
        </w:r>
      </w:hyperlink>
      <w:r>
        <w:t xml:space="preserve">. The base concept “bird” remains, but the variant specifies a different kind of bird.</w:t>
      </w:r>
    </w:p>
    <w:p>
      <w:pPr>
        <w:numPr>
          <w:ilvl w:val="0"/>
          <w:numId w:val="1003"/>
        </w:numPr>
      </w:pPr>
      <w:r>
        <w:rPr>
          <w:b/>
          <w:bCs/>
        </w:rPr>
        <w:t xml:space="preserve">Sea Turtle Variant (glyph 41)</w:t>
      </w:r>
      <w:r>
        <w:t xml:space="preserve"> </w:t>
      </w:r>
      <w:r>
        <w:t xml:space="preserve">– this glyph is a side-profile</w:t>
      </w:r>
      <w:r>
        <w:t xml:space="preserve"> </w:t>
      </w:r>
      <w:r>
        <w:rPr>
          <w:i/>
          <w:iCs/>
        </w:rPr>
        <w:t xml:space="preserve">turtle</w:t>
      </w:r>
      <w:r>
        <w:t xml:space="preserve"> </w:t>
      </w:r>
      <w:r>
        <w:t xml:space="preserve">which differs from the standard turtle glyph (ID 68) that appears in other contexts. Glyph 41 occurs only twice and</w:t>
      </w:r>
      <w:r>
        <w:t xml:space="preserve"> </w:t>
      </w:r>
      <w:r>
        <w:rPr>
          <w:b/>
          <w:bCs/>
        </w:rPr>
        <w:t xml:space="preserve">“is not used in the night count”</w:t>
      </w:r>
      <w:r>
        <w:t xml:space="preserve">, implying it might mark a different concept (possibly daytime) or a gender/species variation of turtle</w:t>
      </w:r>
      <w:hyperlink r:id="rId48">
        <w:r>
          <w:rPr>
            <w:rStyle w:val="Hyperlink"/>
          </w:rPr>
          <w:t xml:space="preserve">[64]</w:t>
        </w:r>
      </w:hyperlink>
      <w:r>
        <w:t xml:space="preserve">. Notes explicitly call it</w:t>
      </w:r>
      <w:r>
        <w:t xml:space="preserve"> </w:t>
      </w:r>
      <w:r>
        <w:rPr>
          <w:i/>
          <w:iCs/>
        </w:rPr>
        <w:t xml:space="preserve">“a variant turtle glyph (side-view) also meaning ‘honu’ (sea turtle)”</w:t>
      </w:r>
      <w:r>
        <w:t xml:space="preserve">, likely indicating male vs. female turtle or a symbolic vs. literal usage</w:t>
      </w:r>
      <w:hyperlink r:id="rId48">
        <w:r>
          <w:rPr>
            <w:rStyle w:val="Hyperlink"/>
          </w:rPr>
          <w:t xml:space="preserve">[64]</w:t>
        </w:r>
      </w:hyperlink>
      <w:hyperlink r:id="rId66">
        <w:r>
          <w:rPr>
            <w:rStyle w:val="Hyperlink"/>
          </w:rPr>
          <w:t xml:space="preserve">[65]</w:t>
        </w:r>
      </w:hyperlink>
      <w:r>
        <w:t xml:space="preserve">. In any case, it’s treated as a variant form of the turtle sign with the same basic meaning “turtle,” not a wholly new logograph.</w:t>
      </w:r>
    </w:p>
    <w:p>
      <w:pPr>
        <w:numPr>
          <w:ilvl w:val="0"/>
          <w:numId w:val="1003"/>
        </w:numPr>
      </w:pPr>
      <w:r>
        <w:rPr>
          <w:b/>
          <w:bCs/>
        </w:rPr>
        <w:t xml:space="preserve">Octopus Alternate (glyph 42)</w:t>
      </w:r>
      <w:r>
        <w:t xml:space="preserve"> </w:t>
      </w:r>
      <w:r>
        <w:t xml:space="preserve">– an alternate depiction of an</w:t>
      </w:r>
      <w:r>
        <w:t xml:space="preserve"> </w:t>
      </w:r>
      <w:r>
        <w:rPr>
          <w:i/>
          <w:iCs/>
        </w:rPr>
        <w:t xml:space="preserve">octopus or squid</w:t>
      </w:r>
      <w:r>
        <w:t xml:space="preserve">, with emphasis on multiple arms</w:t>
      </w:r>
      <w:hyperlink r:id="rId67">
        <w:r>
          <w:rPr>
            <w:rStyle w:val="Hyperlink"/>
          </w:rPr>
          <w:t xml:space="preserve">[66]</w:t>
        </w:r>
      </w:hyperlink>
      <w:r>
        <w:t xml:space="preserve">. The main octopus sign is elsewhere in the inventory (glyph 800 in Barthel’s system), and glyph 42 appears to be a smaller or stylistically different form (“tentacles” focused). It likely supports or repeats the meaning of the main octopus glyph in contexts where space or style calls for a simplified form. This variant reinforces the reading of glyph 800 by appearing in related contexts.</w:t>
      </w:r>
    </w:p>
    <w:p>
      <w:pPr>
        <w:numPr>
          <w:ilvl w:val="0"/>
          <w:numId w:val="1003"/>
        </w:numPr>
      </w:pPr>
      <w:r>
        <w:rPr>
          <w:b/>
          <w:bCs/>
        </w:rPr>
        <w:t xml:space="preserve">Shark Alternate (glyph 43)</w:t>
      </w:r>
      <w:r>
        <w:t xml:space="preserve"> </w:t>
      </w:r>
      <w:r>
        <w:t xml:space="preserve">– a possible variant of the shark glyph, interpreted as perhaps a</w:t>
      </w:r>
      <w:r>
        <w:t xml:space="preserve"> </w:t>
      </w:r>
      <w:r>
        <w:rPr>
          <w:i/>
          <w:iCs/>
        </w:rPr>
        <w:t xml:space="preserve">hammerhead shark</w:t>
      </w:r>
      <w:r>
        <w:t xml:space="preserve"> </w:t>
      </w:r>
      <w:r>
        <w:t xml:space="preserve">(“makoi” or “mango”)</w:t>
      </w:r>
      <w:hyperlink r:id="rId46">
        <w:r>
          <w:rPr>
            <w:rStyle w:val="Hyperlink"/>
          </w:rPr>
          <w:t xml:space="preserve">[67]</w:t>
        </w:r>
      </w:hyperlink>
      <w:r>
        <w:t xml:space="preserve">. It has only one attestation. Its shape deviates from the regular shark sign (710) enough to suggest it’s a specific kind of shark. We classify it as a variant because it shares semantic field (sharks/fish) with the main shark sign, though if future evidence shows it consistently means a distinct concept (hammerhead vs common shark), it could be considered a separate logograph. For now, it’s an</w:t>
      </w:r>
      <w:r>
        <w:t xml:space="preserve"> </w:t>
      </w:r>
      <w:r>
        <w:rPr>
          <w:b/>
          <w:bCs/>
        </w:rPr>
        <w:t xml:space="preserve">animal variant</w:t>
      </w:r>
      <w:r>
        <w:t xml:space="preserve"> </w:t>
      </w:r>
      <w:r>
        <w:t xml:space="preserve">with a tentative meaning.</w:t>
      </w:r>
    </w:p>
    <w:p>
      <w:pPr>
        <w:pStyle w:val="FirstParagraph"/>
      </w:pPr>
      <w:r>
        <w:t xml:space="preserve">The following table lists these and other identified variant glyphs, their relationship to base forms, and their usage notes: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rPr>
                <w:b/>
                <w:bCs/>
              </w:rPr>
              <w:t xml:space="preserve">Glyph ID</w:t>
            </w:r>
          </w:p>
        </w:tc>
        <w:tc>
          <w:tcPr/>
          <w:p>
            <w:pPr>
              <w:pStyle w:val="Compact"/>
            </w:pPr>
            <w:r>
              <w:rPr>
                <w:b/>
                <w:bCs/>
              </w:rPr>
              <w:t xml:space="preserve">Variant of…</w:t>
            </w:r>
          </w:p>
        </w:tc>
        <w:tc>
          <w:tcPr/>
          <w:p>
            <w:pPr>
              <w:pStyle w:val="Compact"/>
            </w:pPr>
            <w:r>
              <w:rPr>
                <w:b/>
                <w:bCs/>
              </w:rPr>
              <w:t xml:space="preserve">English Meaning</w:t>
            </w:r>
          </w:p>
        </w:tc>
        <w:tc>
          <w:tcPr/>
          <w:p>
            <w:pPr>
              <w:pStyle w:val="Compact"/>
            </w:pPr>
            <w:r>
              <w:rPr>
                <w:b/>
                <w:bCs/>
              </w:rPr>
              <w:t xml:space="preserve">Translit.</w:t>
            </w:r>
          </w:p>
        </w:tc>
        <w:tc>
          <w:tcPr/>
          <w:p>
            <w:pPr>
              <w:pStyle w:val="Compact"/>
              <w:jc w:val="right"/>
            </w:pPr>
            <w:r>
              <w:rPr>
                <w:b/>
                <w:bCs/>
              </w:rPr>
              <w:t xml:space="preserve">Freq.</w:t>
            </w:r>
          </w:p>
        </w:tc>
        <w:tc>
          <w:tcPr/>
          <w:p>
            <w:pPr>
              <w:pStyle w:val="Compact"/>
            </w:pPr>
            <w:r>
              <w:rPr>
                <w:b/>
                <w:bCs/>
              </w:rPr>
              <w:t xml:space="preserve">Class</w:t>
            </w:r>
          </w:p>
        </w:tc>
        <w:tc>
          <w:tcPr/>
          <w:p>
            <w:pPr>
              <w:pStyle w:val="Compact"/>
            </w:pPr>
            <w:r>
              <w:rPr>
                <w:b/>
                <w:bCs/>
              </w:rPr>
              <w:t xml:space="preserve">Notes on Variant Usage</w:t>
            </w:r>
          </w:p>
        </w:tc>
        <w:tc>
          <w:tcPr/>
          <w:p>
            <w:pPr>
              <w:pStyle w:val="Compact"/>
            </w:pPr>
            <w:r>
              <w:rPr>
                <w:b/>
                <w:bCs/>
              </w:rPr>
              <w:t xml:space="preserve">Sources</w:t>
            </w:r>
          </w:p>
        </w:tc>
      </w:tr>
      <w:tr>
        <w:tc>
          <w:tcPr/>
          <w:p>
            <w:pPr>
              <w:pStyle w:val="Compact"/>
              <w:jc w:val="right"/>
            </w:pPr>
            <w:r>
              <w:t xml:space="preserve">36</w:t>
            </w:r>
          </w:p>
        </w:tc>
        <w:tc>
          <w:tcPr/>
          <w:p>
            <w:pPr>
              <w:pStyle w:val="Compact"/>
            </w:pPr>
            <w:r>
              <w:t xml:space="preserve">base glyph 35 (Star)</w:t>
            </w:r>
          </w:p>
        </w:tc>
        <w:tc>
          <w:tcPr/>
          <w:p>
            <w:pPr>
              <w:pStyle w:val="Compact"/>
            </w:pPr>
            <w:r>
              <w:t xml:space="preserve">evening star (Venus at dusk)</w:t>
            </w:r>
          </w:p>
        </w:tc>
        <w:tc>
          <w:tcPr/>
          <w:p>
            <w:pPr>
              <w:pStyle w:val="Compact"/>
            </w:pPr>
            <w:r>
              <w:t xml:space="preserve">hetu ahiahi</w:t>
            </w:r>
          </w:p>
        </w:tc>
        <w:tc>
          <w:tcPr/>
          <w:p>
            <w:pPr>
              <w:pStyle w:val="Compact"/>
              <w:jc w:val="right"/>
            </w:pPr>
            <w:r>
              <w:t xml:space="preserve">1</w:t>
            </w:r>
          </w:p>
        </w:tc>
        <w:tc>
          <w:tcPr/>
          <w:p>
            <w:pPr>
              <w:pStyle w:val="Compact"/>
            </w:pPr>
            <w:r>
              <w:t xml:space="preserve">Variant (Logogr.)</w:t>
            </w:r>
          </w:p>
        </w:tc>
        <w:tc>
          <w:tcPr/>
          <w:p>
            <w:pPr>
              <w:pStyle w:val="Compact"/>
            </w:pPr>
            <w:r>
              <w:rPr>
                <w:b/>
                <w:bCs/>
              </w:rPr>
              <w:t xml:space="preserve">Evening Star variant</w:t>
            </w:r>
            <w:r>
              <w:t xml:space="preserve"> </w:t>
            </w:r>
            <w:r>
              <w:t xml:space="preserve">of the Venus star glyph</w:t>
            </w:r>
            <w:hyperlink r:id="rId24">
              <w:r>
                <w:rPr>
                  <w:rStyle w:val="Hyperlink"/>
                </w:rPr>
                <w:t xml:space="preserve">[38]</w:t>
              </w:r>
            </w:hyperlink>
            <w:r>
              <w:t xml:space="preserve">. Distinguished by context (appears in evening sequences) and slight form difference. Represents Venus in the evening sky, essentially the same entity as glyph 35’s morning star</w:t>
            </w:r>
            <w:hyperlink r:id="rId24">
              <w:r>
                <w:rPr>
                  <w:rStyle w:val="Hyperlink"/>
                </w:rPr>
                <w:t xml:space="preserve">[38]</w:t>
              </w:r>
            </w:hyperlink>
            <w:r>
              <w:t xml:space="preserve">.</w:t>
            </w:r>
          </w:p>
        </w:tc>
        <w:tc>
          <w:tcPr/>
          <w:p>
            <w:pPr>
              <w:pStyle w:val="Compact"/>
            </w:pPr>
            <w:r>
              <w:rPr>
                <w:i/>
                <w:iCs/>
              </w:rPr>
              <w:t xml:space="preserve">LS August Research</w:t>
            </w:r>
            <w:hyperlink r:id="rId24">
              <w:r>
                <w:rPr>
                  <w:rStyle w:val="Hyperlink"/>
                </w:rPr>
                <w:t xml:space="preserve">[38]</w:t>
              </w:r>
            </w:hyperlink>
          </w:p>
        </w:tc>
      </w:tr>
      <w:tr>
        <w:tc>
          <w:tcPr/>
          <w:p>
            <w:pPr>
              <w:pStyle w:val="Compact"/>
              <w:jc w:val="right"/>
            </w:pPr>
            <w:r>
              <w:t xml:space="preserve">37</w:t>
            </w:r>
          </w:p>
        </w:tc>
        <w:tc>
          <w:tcPr/>
          <w:p>
            <w:pPr>
              <w:pStyle w:val="Compact"/>
            </w:pPr>
            <w:r>
              <w:t xml:space="preserve">base glyph ~600 (Bird)</w:t>
            </w:r>
          </w:p>
        </w:tc>
        <w:tc>
          <w:tcPr/>
          <w:p>
            <w:pPr>
              <w:pStyle w:val="Compact"/>
            </w:pPr>
            <w:r>
              <w:t xml:space="preserve">small bird; land bird</w:t>
            </w:r>
          </w:p>
        </w:tc>
        <w:tc>
          <w:tcPr/>
          <w:p>
            <w:pPr>
              <w:pStyle w:val="Compact"/>
            </w:pPr>
            <w:r>
              <w:t xml:space="preserve">(manu tere)</w:t>
            </w:r>
          </w:p>
        </w:tc>
        <w:tc>
          <w:tcPr/>
          <w:p>
            <w:pPr>
              <w:pStyle w:val="Compact"/>
              <w:jc w:val="right"/>
            </w:pPr>
            <w:r>
              <w:t xml:space="preserve">1</w:t>
            </w:r>
          </w:p>
        </w:tc>
        <w:tc>
          <w:tcPr/>
          <w:p>
            <w:pPr>
              <w:pStyle w:val="Compact"/>
            </w:pPr>
            <w:r>
              <w:t xml:space="preserve">Variant (Logogr.)</w:t>
            </w:r>
          </w:p>
        </w:tc>
        <w:tc>
          <w:tcPr/>
          <w:p>
            <w:pPr>
              <w:pStyle w:val="Compact"/>
            </w:pPr>
            <w:r>
              <w:rPr>
                <w:b/>
                <w:bCs/>
              </w:rPr>
              <w:t xml:space="preserve">Short-winged bird variant</w:t>
            </w:r>
            <w:r>
              <w:t xml:space="preserve"> </w:t>
            </w:r>
            <w:r>
              <w:t xml:space="preserve">indicating a small/ground bird</w:t>
            </w:r>
            <w:hyperlink r:id="rId24">
              <w:r>
                <w:rPr>
                  <w:rStyle w:val="Hyperlink"/>
                </w:rPr>
                <w:t xml:space="preserve">[39]</w:t>
              </w:r>
            </w:hyperlink>
            <w:r>
              <w:t xml:space="preserve">. Variant of the generic bird sign (frigatebird) used in secular or terrestrial contexts. Likely specifies a different species (tern, rail, etc.) while retaining the “bird” concept.</w:t>
            </w:r>
          </w:p>
        </w:tc>
        <w:tc>
          <w:tcPr/>
          <w:p>
            <w:pPr>
              <w:pStyle w:val="Compact"/>
            </w:pPr>
            <w:r>
              <w:rPr>
                <w:i/>
                <w:iCs/>
              </w:rPr>
              <w:t xml:space="preserve">LS August Research</w:t>
            </w:r>
            <w:hyperlink r:id="rId24">
              <w:r>
                <w:rPr>
                  <w:rStyle w:val="Hyperlink"/>
                </w:rPr>
                <w:t xml:space="preserve">[68]</w:t>
              </w:r>
            </w:hyperlink>
          </w:p>
        </w:tc>
      </w:tr>
      <w:tr>
        <w:tc>
          <w:tcPr/>
          <w:p>
            <w:pPr>
              <w:pStyle w:val="Compact"/>
              <w:jc w:val="right"/>
            </w:pPr>
            <w:r>
              <w:t xml:space="preserve">41</w:t>
            </w:r>
          </w:p>
        </w:tc>
        <w:tc>
          <w:tcPr/>
          <w:p>
            <w:pPr>
              <w:pStyle w:val="Compact"/>
            </w:pPr>
            <w:r>
              <w:t xml:space="preserve">base glyph 68 (Turtle)</w:t>
            </w:r>
          </w:p>
        </w:tc>
        <w:tc>
          <w:tcPr/>
          <w:p>
            <w:pPr>
              <w:pStyle w:val="Compact"/>
            </w:pPr>
            <w:r>
              <w:t xml:space="preserve">sea turtle (side-view)</w:t>
            </w:r>
          </w:p>
        </w:tc>
        <w:tc>
          <w:tcPr/>
          <w:p>
            <w:pPr>
              <w:pStyle w:val="Compact"/>
            </w:pPr>
            <w:r>
              <w:t xml:space="preserve">— (honu variant)</w:t>
            </w:r>
          </w:p>
        </w:tc>
        <w:tc>
          <w:tcPr/>
          <w:p>
            <w:pPr>
              <w:pStyle w:val="Compact"/>
              <w:jc w:val="right"/>
            </w:pPr>
            <w:r>
              <w:t xml:space="preserve">2</w:t>
            </w:r>
          </w:p>
        </w:tc>
        <w:tc>
          <w:tcPr/>
          <w:p>
            <w:pPr>
              <w:pStyle w:val="Compact"/>
            </w:pPr>
            <w:r>
              <w:t xml:space="preserve">Variant (Logogr.)</w:t>
            </w:r>
          </w:p>
        </w:tc>
        <w:tc>
          <w:tcPr/>
          <w:p>
            <w:pPr>
              <w:pStyle w:val="Compact"/>
            </w:pPr>
            <w:r>
              <w:rPr>
                <w:b/>
                <w:bCs/>
              </w:rPr>
              <w:t xml:space="preserve">Side-profile turtle variant</w:t>
            </w:r>
            <w:r>
              <w:t xml:space="preserve"> </w:t>
            </w:r>
            <w:r>
              <w:t xml:space="preserve">of the main turtle glyph (honu)</w:t>
            </w:r>
            <w:hyperlink r:id="rId48">
              <w:r>
                <w:rPr>
                  <w:rStyle w:val="Hyperlink"/>
                </w:rPr>
                <w:t xml:space="preserve">[64]</w:t>
              </w:r>
            </w:hyperlink>
            <w:r>
              <w:t xml:space="preserve">. Not used in certain contexts (omitted in night count sequences) indicating it may mark a special case (daytime or gender). Meaning is essentially “turtle” (honu), possibly a stylistic or symbolic alternative to glyph 68</w:t>
            </w:r>
            <w:hyperlink r:id="rId48">
              <w:r>
                <w:rPr>
                  <w:rStyle w:val="Hyperlink"/>
                </w:rPr>
                <w:t xml:space="preserve">[64]</w:t>
              </w:r>
            </w:hyperlink>
            <w:hyperlink r:id="rId66">
              <w:r>
                <w:rPr>
                  <w:rStyle w:val="Hyperlink"/>
                </w:rPr>
                <w:t xml:space="preserve">[65]</w:t>
              </w:r>
            </w:hyperlink>
            <w:r>
              <w:t xml:space="preserve">.</w:t>
            </w:r>
          </w:p>
        </w:tc>
        <w:tc>
          <w:tcPr/>
          <w:p>
            <w:pPr>
              <w:pStyle w:val="Compact"/>
            </w:pPr>
            <w:r>
              <w:rPr>
                <w:i/>
                <w:iCs/>
              </w:rPr>
              <w:t xml:space="preserve">LS August Research</w:t>
            </w:r>
            <w:hyperlink r:id="rId48">
              <w:r>
                <w:rPr>
                  <w:rStyle w:val="Hyperlink"/>
                </w:rPr>
                <w:t xml:space="preserve">[64]</w:t>
              </w:r>
            </w:hyperlink>
          </w:p>
        </w:tc>
      </w:tr>
      <w:tr>
        <w:tc>
          <w:tcPr/>
          <w:p>
            <w:pPr>
              <w:pStyle w:val="Compact"/>
              <w:jc w:val="right"/>
            </w:pPr>
            <w:r>
              <w:t xml:space="preserve">42</w:t>
            </w:r>
          </w:p>
        </w:tc>
        <w:tc>
          <w:tcPr/>
          <w:p>
            <w:pPr>
              <w:pStyle w:val="Compact"/>
            </w:pPr>
            <w:r>
              <w:t xml:space="preserve">base glyph 800 (Octopus)</w:t>
            </w:r>
          </w:p>
        </w:tc>
        <w:tc>
          <w:tcPr/>
          <w:p>
            <w:pPr>
              <w:pStyle w:val="Compact"/>
            </w:pPr>
            <w:r>
              <w:t xml:space="preserve">octopus / squid (alt. form)</w:t>
            </w:r>
          </w:p>
        </w:tc>
        <w:tc>
          <w:tcPr/>
          <w:p>
            <w:pPr>
              <w:pStyle w:val="Compact"/>
            </w:pPr>
            <w:r>
              <w:t xml:space="preserve">feʻe / heʻe</w:t>
            </w:r>
          </w:p>
        </w:tc>
        <w:tc>
          <w:tcPr/>
          <w:p>
            <w:pPr>
              <w:pStyle w:val="Compact"/>
              <w:jc w:val="right"/>
            </w:pPr>
            <w:r>
              <w:t xml:space="preserve">1</w:t>
            </w:r>
          </w:p>
        </w:tc>
        <w:tc>
          <w:tcPr/>
          <w:p>
            <w:pPr>
              <w:pStyle w:val="Compact"/>
            </w:pPr>
            <w:r>
              <w:t xml:space="preserve">Variant (Logogr.)</w:t>
            </w:r>
          </w:p>
        </w:tc>
        <w:tc>
          <w:tcPr/>
          <w:p>
            <w:pPr>
              <w:pStyle w:val="Compact"/>
            </w:pPr>
            <w:r>
              <w:rPr>
                <w:b/>
                <w:bCs/>
              </w:rPr>
              <w:t xml:space="preserve">Alternate octopus depiction</w:t>
            </w:r>
            <w:r>
              <w:t xml:space="preserve"> </w:t>
            </w:r>
            <w:r>
              <w:t xml:space="preserve">with emphasis on tentacles</w:t>
            </w:r>
            <w:hyperlink r:id="rId67">
              <w:r>
                <w:rPr>
                  <w:rStyle w:val="Hyperlink"/>
                </w:rPr>
                <w:t xml:space="preserve">[66]</w:t>
              </w:r>
            </w:hyperlink>
            <w:r>
              <w:t xml:space="preserve">. Smaller form supporting the meaning of the main octopus glyph. Suggests multiple arms of Tangaroa (sea god) in a mythic reference</w:t>
            </w:r>
            <w:hyperlink r:id="rId24">
              <w:r>
                <w:rPr>
                  <w:rStyle w:val="Hyperlink"/>
                </w:rPr>
                <w:t xml:space="preserve">[69]</w:t>
              </w:r>
            </w:hyperlink>
            <w:r>
              <w:t xml:space="preserve">. Essentially a stylistic variant reinforcing the “octopus” concept.</w:t>
            </w:r>
          </w:p>
        </w:tc>
        <w:tc>
          <w:tcPr/>
          <w:p>
            <w:pPr>
              <w:pStyle w:val="Compact"/>
            </w:pPr>
            <w:r>
              <w:rPr>
                <w:i/>
                <w:iCs/>
              </w:rPr>
              <w:t xml:space="preserve">LS August Research</w:t>
            </w:r>
            <w:hyperlink r:id="rId67">
              <w:r>
                <w:rPr>
                  <w:rStyle w:val="Hyperlink"/>
                </w:rPr>
                <w:t xml:space="preserve">[66]</w:t>
              </w:r>
            </w:hyperlink>
          </w:p>
        </w:tc>
      </w:tr>
      <w:tr>
        <w:tc>
          <w:tcPr/>
          <w:p>
            <w:pPr>
              <w:pStyle w:val="Compact"/>
              <w:jc w:val="right"/>
            </w:pPr>
            <w:r>
              <w:t xml:space="preserve">43</w:t>
            </w:r>
          </w:p>
        </w:tc>
        <w:tc>
          <w:tcPr/>
          <w:p>
            <w:pPr>
              <w:pStyle w:val="Compact"/>
            </w:pPr>
            <w:r>
              <w:t xml:space="preserve">base glyph 710 (Shark)</w:t>
            </w:r>
          </w:p>
        </w:tc>
        <w:tc>
          <w:tcPr/>
          <w:p>
            <w:pPr>
              <w:pStyle w:val="Compact"/>
            </w:pPr>
            <w:r>
              <w:t xml:space="preserve">shark (alternate type; ?hammerhead)</w:t>
            </w:r>
          </w:p>
        </w:tc>
        <w:tc>
          <w:tcPr/>
          <w:p>
            <w:pPr>
              <w:pStyle w:val="Compact"/>
            </w:pPr>
            <w:r>
              <w:t xml:space="preserve">makoi; mango</w:t>
            </w:r>
          </w:p>
        </w:tc>
        <w:tc>
          <w:tcPr/>
          <w:p>
            <w:pPr>
              <w:pStyle w:val="Compact"/>
              <w:jc w:val="right"/>
            </w:pPr>
            <w:r>
              <w:t xml:space="preserve">1</w:t>
            </w:r>
          </w:p>
        </w:tc>
        <w:tc>
          <w:tcPr/>
          <w:p>
            <w:pPr>
              <w:pStyle w:val="Compact"/>
            </w:pPr>
            <w:r>
              <w:t xml:space="preserve">Variant (Logogr.)</w:t>
            </w:r>
          </w:p>
        </w:tc>
        <w:tc>
          <w:tcPr/>
          <w:p>
            <w:pPr>
              <w:pStyle w:val="Compact"/>
            </w:pPr>
            <w:r>
              <w:rPr>
                <w:b/>
                <w:bCs/>
              </w:rPr>
              <w:t xml:space="preserve">Rare shark variant</w:t>
            </w:r>
            <w:r>
              <w:t xml:space="preserve"> </w:t>
            </w:r>
            <w:r>
              <w:t xml:space="preserve">with a different head shape (possibly hammerhead)</w:t>
            </w:r>
            <w:hyperlink r:id="rId46">
              <w:r>
                <w:rPr>
                  <w:rStyle w:val="Hyperlink"/>
                </w:rPr>
                <w:t xml:space="preserve">[67]</w:t>
              </w:r>
            </w:hyperlink>
            <w:r>
              <w:t xml:space="preserve">. Seen only once; likely denotes a specific shark species or unique epithet. Shares the “shark/predator” meaning of glyph 710, but its singular occurrence makes interpretation tentative. Classified as a variant form until further evidence.</w:t>
            </w:r>
          </w:p>
        </w:tc>
        <w:tc>
          <w:tcPr/>
          <w:p>
            <w:pPr>
              <w:pStyle w:val="Compact"/>
            </w:pPr>
            <w:r>
              <w:rPr>
                <w:i/>
                <w:iCs/>
              </w:rPr>
              <w:t xml:space="preserve">LS August Research</w:t>
            </w:r>
            <w:hyperlink r:id="rId46">
              <w:r>
                <w:rPr>
                  <w:rStyle w:val="Hyperlink"/>
                </w:rPr>
                <w:t xml:space="preserve">[67]</w:t>
              </w:r>
            </w:hyperlink>
          </w:p>
        </w:tc>
      </w:tr>
      <w:tr>
        <w:tc>
          <w:tcPr/>
          <w:p>
            <w:pPr>
              <w:pStyle w:val="Compact"/>
              <w:jc w:val="right"/>
            </w:pPr>
            <w:r>
              <w:rPr>
                <w:i/>
                <w:iCs/>
              </w:rPr>
              <w:t xml:space="preserve">211</w:t>
            </w:r>
          </w:p>
        </w:tc>
        <w:tc>
          <w:tcPr/>
          <w:p>
            <w:pPr>
              <w:pStyle w:val="Compact"/>
            </w:pPr>
            <w:r>
              <w:rPr>
                <w:i/>
                <w:iCs/>
              </w:rPr>
              <w:t xml:space="preserve">(variant of a structural sign?)</w:t>
            </w:r>
          </w:p>
        </w:tc>
        <w:tc>
          <w:tcPr/>
          <w:p>
            <w:pPr>
              <w:pStyle w:val="Compact"/>
            </w:pPr>
            <w:r>
              <w:rPr>
                <w:i/>
                <w:iCs/>
              </w:rPr>
              <w:t xml:space="preserve">(No lexical meaning)</w:t>
            </w:r>
          </w:p>
        </w:tc>
        <w:tc>
          <w:tcPr/>
          <w:p>
            <w:pPr>
              <w:pStyle w:val="Compact"/>
            </w:pPr>
            <w:r>
              <w:t xml:space="preserve">—</w:t>
            </w:r>
          </w:p>
        </w:tc>
        <w:tc>
          <w:tcPr/>
          <w:p>
            <w:pPr>
              <w:pStyle w:val="Compact"/>
              <w:jc w:val="right"/>
            </w:pPr>
            <w:r>
              <w:t xml:space="preserve">2</w:t>
            </w:r>
          </w:p>
        </w:tc>
        <w:tc>
          <w:tcPr/>
          <w:p>
            <w:pPr>
              <w:pStyle w:val="Compact"/>
            </w:pPr>
            <w:r>
              <w:t xml:space="preserve">Variant (Structural)</w:t>
            </w:r>
          </w:p>
        </w:tc>
        <w:tc>
          <w:tcPr/>
          <w:p>
            <w:pPr>
              <w:pStyle w:val="Compact"/>
            </w:pPr>
            <w:r>
              <w:t xml:space="preserve">Appears only as a</w:t>
            </w:r>
            <w:r>
              <w:t xml:space="preserve"> </w:t>
            </w:r>
            <w:r>
              <w:rPr>
                <w:b/>
                <w:bCs/>
              </w:rPr>
              <w:t xml:space="preserve">repeated mark or correction symbol</w:t>
            </w:r>
            <w:r>
              <w:t xml:space="preserve"> </w:t>
            </w:r>
            <w:r>
              <w:t xml:space="preserve">(see structural markers below). Listed here because it’s given a glyph ID but has</w:t>
            </w:r>
            <w:r>
              <w:t xml:space="preserve"> </w:t>
            </w:r>
            <w:r>
              <w:rPr>
                <w:i/>
                <w:iCs/>
              </w:rPr>
              <w:t xml:space="preserve">no deciphered meaning</w:t>
            </w:r>
            <w:r>
              <w:t xml:space="preserve">; likely a duplicate/variant of another structural glyph used by scribes for non-textual purposes</w:t>
            </w:r>
            <w:hyperlink r:id="rId25">
              <w:r>
                <w:rPr>
                  <w:rStyle w:val="Hyperlink"/>
                </w:rPr>
                <w:t xml:space="preserve">[6]</w:t>
              </w:r>
            </w:hyperlink>
            <w:r>
              <w:t xml:space="preserve">.</w:t>
            </w:r>
          </w:p>
        </w:tc>
        <w:tc>
          <w:tcPr/>
          <w:p>
            <w:pPr>
              <w:pStyle w:val="Compact"/>
            </w:pPr>
            <w:r>
              <w:rPr>
                <w:i/>
                <w:iCs/>
              </w:rPr>
              <w:t xml:space="preserve">LS August Research</w:t>
            </w:r>
          </w:p>
        </w:tc>
      </w:tr>
    </w:tbl>
    <w:p>
      <w:pPr>
        <w:pStyle w:val="BodyText"/>
      </w:pPr>
      <w:r>
        <w:rPr>
          <w:i/>
          <w:iCs/>
        </w:rPr>
        <w:t xml:space="preserve">(Note:</w:t>
      </w:r>
      <w:r>
        <w:t xml:space="preserve"> </w:t>
      </w:r>
      <w:r>
        <w:rPr>
          <w:i/>
          <w:iCs/>
        </w:rPr>
        <w:t xml:space="preserve">Glyph 211 and similar are essentially “empty” signs with no content meaning – they are described in the next section. They are included in variant category only insofar as they might be variant forms of a generic divider or erasure mark.)</w:t>
      </w:r>
    </w:p>
    <w:p>
      <w:pPr>
        <w:pStyle w:val="BodyText"/>
      </w:pPr>
      <w:r>
        <w:t xml:space="preserve">In summary,</w:t>
      </w:r>
      <w:r>
        <w:t xml:space="preserve"> </w:t>
      </w:r>
      <w:r>
        <w:rPr>
          <w:b/>
          <w:bCs/>
        </w:rPr>
        <w:t xml:space="preserve">variant signs do not introduce new vocabulary</w:t>
      </w:r>
      <w:r>
        <w:t xml:space="preserve"> </w:t>
      </w:r>
      <w:r>
        <w:t xml:space="preserve">to the script; rather, they reflect how certain concepts could be drawn in more than one way. Understanding these variants is important for transliteration and reading, as one must recognize that e.g. the side-view turtle and top-view turtle are the</w:t>
      </w:r>
      <w:r>
        <w:t xml:space="preserve"> </w:t>
      </w:r>
      <w:r>
        <w:rPr>
          <w:i/>
          <w:iCs/>
        </w:rPr>
        <w:t xml:space="preserve">same word</w:t>
      </w:r>
      <w:r>
        <w:t xml:space="preserve"> </w:t>
      </w:r>
      <w:r>
        <w:t xml:space="preserve">in different form. Our internal evidence approach flagged these by noting their complementary distribution with base forms and identical or very close notes in the research log (often explicitly labeled "variant"</w:t>
      </w:r>
      <w:hyperlink r:id="rId48">
        <w:r>
          <w:rPr>
            <w:rStyle w:val="Hyperlink"/>
          </w:rPr>
          <w:t xml:space="preserve">[64]</w:t>
        </w:r>
      </w:hyperlink>
      <w:r>
        <w:t xml:space="preserve">). We mark ambiguous cases as variants pending further proof. As decipherment progresses, some variant attributions might be revised, but at this foundational stage we err on the side of linking uncommon forms to their likely base glyphs rather than proliferating new logographs without clear need.</w:t>
      </w:r>
    </w:p>
    <w:bookmarkEnd w:id="68"/>
    <w:bookmarkStart w:id="75" w:name="Xfc089415dc1c2c90a6177332611b1c423da953f"/>
    <w:p>
      <w:pPr>
        <w:pStyle w:val="Heading2"/>
      </w:pPr>
      <w:r>
        <w:t xml:space="preserve">Structural and Positional Markers (Non-Lexical Glyphs)</w:t>
      </w:r>
    </w:p>
    <w:p>
      <w:pPr>
        <w:pStyle w:val="FirstParagraph"/>
      </w:pPr>
      <w:r>
        <w:t xml:space="preserve">In addition to content-bearing glyphs, Rongorongo features</w:t>
      </w:r>
      <w:r>
        <w:t xml:space="preserve"> </w:t>
      </w:r>
      <w:r>
        <w:rPr>
          <w:b/>
          <w:bCs/>
        </w:rPr>
        <w:t xml:space="preserve">non-lexical symbols that serve structural or formatting functions</w:t>
      </w:r>
      <w:r>
        <w:t xml:space="preserve"> </w:t>
      </w:r>
      <w:r>
        <w:t xml:space="preserve">in the text. These do not represent spoken words or morphemes of the Rapa Nui language; instead, they act as punctuation, section dividers, or scribal notations. We have identified the following:</w:t>
      </w:r>
    </w:p>
    <w:p>
      <w:pPr>
        <w:numPr>
          <w:ilvl w:val="0"/>
          <w:numId w:val="1004"/>
        </w:numPr>
      </w:pPr>
      <w:r>
        <w:rPr>
          <w:b/>
          <w:bCs/>
        </w:rPr>
        <w:t xml:space="preserve">Section Divider “Paragraph Break” (glyph 999)</w:t>
      </w:r>
      <w:r>
        <w:t xml:space="preserve"> </w:t>
      </w:r>
      <w:r>
        <w:t xml:space="preserve">– A vertical stroke glyph used as a</w:t>
      </w:r>
      <w:r>
        <w:t xml:space="preserve"> </w:t>
      </w:r>
      <w:r>
        <w:rPr>
          <w:b/>
          <w:bCs/>
        </w:rPr>
        <w:t xml:space="preserve">punctuation-like divider</w:t>
      </w:r>
      <w:r>
        <w:t xml:space="preserve">. This sign appears over 100 times on the Santiago Staff, regularly separating segments of text</w:t>
      </w:r>
      <w:hyperlink r:id="rId69">
        <w:r>
          <w:rPr>
            <w:rStyle w:val="Hyperlink"/>
          </w:rPr>
          <w:t xml:space="preserve">[70]</w:t>
        </w:r>
      </w:hyperlink>
      <w:r>
        <w:t xml:space="preserve">. It has no phonetic value and is not read aloud – it simply marks a break between verses, lines, or list items (analogous to a period or comma in a written text)</w:t>
      </w:r>
      <w:hyperlink r:id="rId70">
        <w:r>
          <w:rPr>
            <w:rStyle w:val="Hyperlink"/>
          </w:rPr>
          <w:t xml:space="preserve">[71]</w:t>
        </w:r>
      </w:hyperlink>
      <w:hyperlink r:id="rId71">
        <w:r>
          <w:rPr>
            <w:rStyle w:val="Hyperlink"/>
          </w:rPr>
          <w:t xml:space="preserve">[72]</w:t>
        </w:r>
      </w:hyperlink>
      <w:r>
        <w:t xml:space="preserve">. The research notes describe it as</w:t>
      </w:r>
      <w:r>
        <w:t xml:space="preserve"> </w:t>
      </w:r>
      <w:r>
        <w:rPr>
          <w:i/>
          <w:iCs/>
        </w:rPr>
        <w:t xml:space="preserve">“Non-lexical structural marker: 'section divider'… Punctuation-like vertical stroke dividing verses”</w:t>
      </w:r>
      <w:hyperlink r:id="rId70">
        <w:r>
          <w:rPr>
            <w:rStyle w:val="Hyperlink"/>
          </w:rPr>
          <w:t xml:space="preserve">[71]</w:t>
        </w:r>
      </w:hyperlink>
      <w:r>
        <w:t xml:space="preserve">. Its high frequency (103 occurrences) and systematic use confirm it as a</w:t>
      </w:r>
      <w:r>
        <w:t xml:space="preserve"> </w:t>
      </w:r>
      <w:r>
        <w:rPr>
          <w:b/>
          <w:bCs/>
        </w:rPr>
        <w:t xml:space="preserve">confirmed structural punctuation</w:t>
      </w:r>
      <w:r>
        <w:t xml:space="preserve"> </w:t>
      </w:r>
      <w:r>
        <w:t xml:space="preserve">sign</w:t>
      </w:r>
      <w:hyperlink r:id="rId72">
        <w:r>
          <w:rPr>
            <w:rStyle w:val="Hyperlink"/>
          </w:rPr>
          <w:t xml:space="preserve">[73]</w:t>
        </w:r>
      </w:hyperlink>
      <w:hyperlink r:id="rId73">
        <w:r>
          <w:rPr>
            <w:rStyle w:val="Hyperlink"/>
          </w:rPr>
          <w:t xml:space="preserve">[74]</w:t>
        </w:r>
      </w:hyperlink>
      <w:r>
        <w:t xml:space="preserve">. This is a crucial discovery, as it demonstrates that Rongorongo text was organized into coherent units (perhaps lines of chant or genealogy) separated by this glyph. (Notably, Barthel did not originally assign a number to this in his catalog; we assign ID 999 for reference in our project data.)</w:t>
      </w:r>
    </w:p>
    <w:p>
      <w:pPr>
        <w:numPr>
          <w:ilvl w:val="0"/>
          <w:numId w:val="1004"/>
        </w:numPr>
      </w:pPr>
      <w:r>
        <w:rPr>
          <w:b/>
          <w:bCs/>
        </w:rPr>
        <w:t xml:space="preserve">Line-Start or Correction Marks (glyphs 211, 263, 326, etc.)</w:t>
      </w:r>
      <w:r>
        <w:t xml:space="preserve"> </w:t>
      </w:r>
      <w:r>
        <w:t xml:space="preserve">– A few glyphs have no deciphered reading but occur exactly twice each and are noted as</w:t>
      </w:r>
      <w:r>
        <w:t xml:space="preserve"> </w:t>
      </w:r>
      <w:r>
        <w:rPr>
          <w:i/>
          <w:iCs/>
        </w:rPr>
        <w:t xml:space="preserve">“structural marker or referenced in corrections”</w:t>
      </w:r>
      <w:hyperlink r:id="rId25">
        <w:r>
          <w:rPr>
            <w:rStyle w:val="Hyperlink"/>
          </w:rPr>
          <w:t xml:space="preserve">[6]</w:t>
        </w:r>
      </w:hyperlink>
      <w:hyperlink r:id="rId24">
        <w:r>
          <w:rPr>
            <w:rStyle w:val="Hyperlink"/>
          </w:rPr>
          <w:t xml:space="preserve">[7]</w:t>
        </w:r>
      </w:hyperlink>
      <w:r>
        <w:t xml:space="preserve">. These include glyph 211, 263, 326 (and possibly others at regular intervals). They do not form words and seem to appear in margin positions or in situations where a correction or deletion is made. We suspect these are</w:t>
      </w:r>
      <w:r>
        <w:t xml:space="preserve"> </w:t>
      </w:r>
      <w:r>
        <w:rPr>
          <w:b/>
          <w:bCs/>
        </w:rPr>
        <w:t xml:space="preserve">scribal marks</w:t>
      </w:r>
      <w:r>
        <w:t xml:space="preserve">, perhaps used to indicate where a section starts, ends, or an error was made (like an editorial mark). For instance, glyph 211 is explicitly noted with</w:t>
      </w:r>
      <w:r>
        <w:t xml:space="preserve"> </w:t>
      </w:r>
      <w:r>
        <w:rPr>
          <w:i/>
          <w:iCs/>
        </w:rPr>
        <w:t xml:space="preserve">“No decipherment – this glyph appears as structural marker or in corrections.”</w:t>
      </w:r>
      <w:hyperlink r:id="rId25">
        <w:r>
          <w:rPr>
            <w:rStyle w:val="Hyperlink"/>
          </w:rPr>
          <w:t xml:space="preserve">[6]</w:t>
        </w:r>
      </w:hyperlink>
      <w:r>
        <w:t xml:space="preserve">. The pattern of their IDs suggests Barthel’s catalog might have reserved or noted these as well (they appear roughly at one per 50–60 glyphs, possibly placeholders). In our classification, we mark them as</w:t>
      </w:r>
      <w:r>
        <w:t xml:space="preserve"> </w:t>
      </w:r>
      <w:r>
        <w:rPr>
          <w:b/>
          <w:bCs/>
        </w:rPr>
        <w:t xml:space="preserve">structural/unknown</w:t>
      </w:r>
      <w:r>
        <w:t xml:space="preserve">. They are effectively variants of a generic idea “not part of text proper.” They could be analogous to paragraph indent marks or erasure marks. Further study of tablet imagery would be needed to confirm their exact visual form and function. For now, we simply record them as non-lexical.</w:t>
      </w:r>
    </w:p>
    <w:p>
      <w:pPr>
        <w:numPr>
          <w:ilvl w:val="0"/>
          <w:numId w:val="1004"/>
        </w:numPr>
      </w:pPr>
      <w:r>
        <w:rPr>
          <w:b/>
          <w:bCs/>
        </w:rPr>
        <w:t xml:space="preserve">Numerical or Calendrical Marks:</w:t>
      </w:r>
      <w:r>
        <w:t xml:space="preserve"> </w:t>
      </w:r>
      <w:r>
        <w:t xml:space="preserve">Some logographic signs doubled as numerical or temporal markers (e.g. the water glyph 40 used as a night counter as noted). These are still content signs, but we mention them here because they function structurally in sequences (like repeating 30 times to count nights). They are not separate symbols, just an application of logographs in a structural way. So no distinct numeric glyph set has been isolated – the script likely used existing signs in repetitive patterns to convey numbers or ordered lists (as with the lunar calendar).</w:t>
      </w:r>
    </w:p>
    <w:p>
      <w:pPr>
        <w:pStyle w:val="FirstParagraph"/>
      </w:pPr>
      <w:r>
        <w:t xml:space="preserve">The table below summarizes the clear structural markers: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rPr>
                <w:b/>
                <w:bCs/>
              </w:rPr>
              <w:t xml:space="preserve">Glyph ID</w:t>
            </w:r>
          </w:p>
        </w:tc>
        <w:tc>
          <w:tcPr/>
          <w:p>
            <w:pPr>
              <w:pStyle w:val="Compact"/>
            </w:pPr>
            <w:r>
              <w:rPr>
                <w:b/>
                <w:bCs/>
              </w:rPr>
              <w:t xml:space="preserve">Function</w:t>
            </w:r>
          </w:p>
        </w:tc>
        <w:tc>
          <w:tcPr/>
          <w:p>
            <w:pPr>
              <w:pStyle w:val="Compact"/>
              <w:jc w:val="right"/>
            </w:pPr>
            <w:r>
              <w:rPr>
                <w:b/>
                <w:bCs/>
              </w:rPr>
              <w:t xml:space="preserve">Occurrence</w:t>
            </w:r>
          </w:p>
        </w:tc>
        <w:tc>
          <w:tcPr/>
          <w:p>
            <w:pPr>
              <w:pStyle w:val="Compact"/>
            </w:pPr>
            <w:r>
              <w:rPr>
                <w:b/>
                <w:bCs/>
              </w:rPr>
              <w:t xml:space="preserve">Classification</w:t>
            </w:r>
          </w:p>
        </w:tc>
        <w:tc>
          <w:tcPr/>
          <w:p>
            <w:pPr>
              <w:pStyle w:val="Compact"/>
            </w:pPr>
            <w:r>
              <w:rPr>
                <w:b/>
                <w:bCs/>
              </w:rPr>
              <w:t xml:space="preserve">Notes on Usage</w:t>
            </w:r>
          </w:p>
        </w:tc>
        <w:tc>
          <w:tcPr/>
          <w:p>
            <w:pPr>
              <w:pStyle w:val="Compact"/>
            </w:pPr>
            <w:r>
              <w:rPr>
                <w:b/>
                <w:bCs/>
              </w:rPr>
              <w:t xml:space="preserve">Sources</w:t>
            </w:r>
          </w:p>
        </w:tc>
      </w:tr>
      <w:tr>
        <w:tc>
          <w:tcPr/>
          <w:p>
            <w:pPr>
              <w:pStyle w:val="Compact"/>
              <w:jc w:val="right"/>
            </w:pPr>
            <w:r>
              <w:t xml:space="preserve">999</w:t>
            </w:r>
          </w:p>
        </w:tc>
        <w:tc>
          <w:tcPr/>
          <w:p>
            <w:pPr>
              <w:pStyle w:val="Compact"/>
            </w:pPr>
            <w:r>
              <w:t xml:space="preserve">section divider (vertical stroke)</w:t>
            </w:r>
          </w:p>
        </w:tc>
        <w:tc>
          <w:tcPr/>
          <w:p>
            <w:pPr>
              <w:pStyle w:val="Compact"/>
              <w:jc w:val="right"/>
            </w:pPr>
            <w:r>
              <w:t xml:space="preserve">103</w:t>
            </w:r>
          </w:p>
        </w:tc>
        <w:tc>
          <w:tcPr/>
          <w:p>
            <w:pPr>
              <w:pStyle w:val="Compact"/>
            </w:pPr>
            <w:r>
              <w:t xml:space="preserve">Structural Marker (punctuation)</w:t>
            </w:r>
          </w:p>
        </w:tc>
        <w:tc>
          <w:tcPr/>
          <w:p>
            <w:pPr>
              <w:pStyle w:val="Compact"/>
            </w:pPr>
            <w:r>
              <w:rPr>
                <w:b/>
                <w:bCs/>
              </w:rPr>
              <w:t xml:space="preserve">Non-lexical divider</w:t>
            </w:r>
            <w:r>
              <w:t xml:space="preserve"> </w:t>
            </w:r>
            <w:r>
              <w:t xml:space="preserve">used to separate text sections (verses, entries). Appears as a vertical line between sequences</w:t>
            </w:r>
            <w:hyperlink r:id="rId70">
              <w:r>
                <w:rPr>
                  <w:rStyle w:val="Hyperlink"/>
                </w:rPr>
                <w:t xml:space="preserve">[71]</w:t>
              </w:r>
            </w:hyperlink>
            <w:hyperlink r:id="rId71">
              <w:r>
                <w:rPr>
                  <w:rStyle w:val="Hyperlink"/>
                </w:rPr>
                <w:t xml:space="preserve">[72]</w:t>
              </w:r>
            </w:hyperlink>
            <w:r>
              <w:t xml:space="preserve">. Not read aloud – serves as punctuation akin to a paragraph break. Confirmed on Santiago Staff (~103 instances) as consistently marking boundaries</w:t>
            </w:r>
            <w:hyperlink r:id="rId74">
              <w:r>
                <w:rPr>
                  <w:rStyle w:val="Hyperlink"/>
                </w:rPr>
                <w:t xml:space="preserve">[75]</w:t>
              </w:r>
            </w:hyperlink>
            <w:hyperlink r:id="rId69">
              <w:r>
                <w:rPr>
                  <w:rStyle w:val="Hyperlink"/>
                </w:rPr>
                <w:t xml:space="preserve">[70]</w:t>
              </w:r>
            </w:hyperlink>
            <w:r>
              <w:t xml:space="preserve">.</w:t>
            </w:r>
          </w:p>
        </w:tc>
        <w:tc>
          <w:tcPr/>
          <w:p>
            <w:pPr>
              <w:pStyle w:val="Compact"/>
            </w:pPr>
            <w:r>
              <w:rPr>
                <w:i/>
                <w:iCs/>
              </w:rPr>
              <w:t xml:space="preserve">LS August Research</w:t>
            </w:r>
            <w:hyperlink r:id="rId70">
              <w:r>
                <w:rPr>
                  <w:rStyle w:val="Hyperlink"/>
                </w:rPr>
                <w:t xml:space="preserve">[71]</w:t>
              </w:r>
            </w:hyperlink>
            <w:hyperlink r:id="rId71">
              <w:r>
                <w:rPr>
                  <w:rStyle w:val="Hyperlink"/>
                </w:rPr>
                <w:t xml:space="preserve">[72]</w:t>
              </w:r>
            </w:hyperlink>
          </w:p>
        </w:tc>
      </w:tr>
      <w:tr>
        <w:tc>
          <w:tcPr/>
          <w:p>
            <w:pPr>
              <w:pStyle w:val="Compact"/>
              <w:jc w:val="right"/>
            </w:pPr>
            <w:r>
              <w:t xml:space="preserve">211</w:t>
            </w:r>
          </w:p>
        </w:tc>
        <w:tc>
          <w:tcPr/>
          <w:p>
            <w:pPr>
              <w:pStyle w:val="Compact"/>
            </w:pPr>
            <w:r>
              <w:t xml:space="preserve">structural mark (unclear)</w:t>
            </w:r>
          </w:p>
        </w:tc>
        <w:tc>
          <w:tcPr/>
          <w:p>
            <w:pPr>
              <w:pStyle w:val="Compact"/>
              <w:jc w:val="right"/>
            </w:pPr>
            <w:r>
              <w:t xml:space="preserve">2</w:t>
            </w:r>
          </w:p>
        </w:tc>
        <w:tc>
          <w:tcPr/>
          <w:p>
            <w:pPr>
              <w:pStyle w:val="Compact"/>
            </w:pPr>
            <w:r>
              <w:t xml:space="preserve">Unknown (structural)</w:t>
            </w:r>
          </w:p>
        </w:tc>
        <w:tc>
          <w:tcPr/>
          <w:p>
            <w:pPr>
              <w:pStyle w:val="Compact"/>
            </w:pPr>
            <w:r>
              <w:t xml:space="preserve">Occurs twice; no lexical value</w:t>
            </w:r>
            <w:hyperlink r:id="rId25">
              <w:r>
                <w:rPr>
                  <w:rStyle w:val="Hyperlink"/>
                </w:rPr>
                <w:t xml:space="preserve">[6]</w:t>
              </w:r>
            </w:hyperlink>
            <w:r>
              <w:t xml:space="preserve">. Likely a</w:t>
            </w:r>
            <w:r>
              <w:t xml:space="preserve"> </w:t>
            </w:r>
            <w:r>
              <w:rPr>
                <w:b/>
                <w:bCs/>
              </w:rPr>
              <w:t xml:space="preserve">scribal mark for corrections or alignment</w:t>
            </w:r>
            <w:r>
              <w:t xml:space="preserve">. Possibly indicates an erased glyph or start of a correction sequence. Labeled “No decipherment” in notes</w:t>
            </w:r>
            <w:hyperlink r:id="rId25">
              <w:r>
                <w:rPr>
                  <w:rStyle w:val="Hyperlink"/>
                </w:rPr>
                <w:t xml:space="preserve">[6]</w:t>
              </w:r>
            </w:hyperlink>
            <w:r>
              <w:t xml:space="preserve">.</w:t>
            </w:r>
          </w:p>
        </w:tc>
        <w:tc>
          <w:tcPr/>
          <w:p>
            <w:pPr>
              <w:pStyle w:val="Compact"/>
            </w:pPr>
            <w:r>
              <w:rPr>
                <w:i/>
                <w:iCs/>
              </w:rPr>
              <w:t xml:space="preserve">LS August Research</w:t>
            </w:r>
            <w:hyperlink r:id="rId25">
              <w:r>
                <w:rPr>
                  <w:rStyle w:val="Hyperlink"/>
                </w:rPr>
                <w:t xml:space="preserve">[6]</w:t>
              </w:r>
            </w:hyperlink>
          </w:p>
        </w:tc>
      </w:tr>
      <w:tr>
        <w:tc>
          <w:tcPr/>
          <w:p>
            <w:pPr>
              <w:pStyle w:val="Compact"/>
              <w:jc w:val="right"/>
            </w:pPr>
            <w:r>
              <w:t xml:space="preserve">263</w:t>
            </w:r>
          </w:p>
        </w:tc>
        <w:tc>
          <w:tcPr/>
          <w:p>
            <w:pPr>
              <w:pStyle w:val="Compact"/>
            </w:pPr>
            <w:r>
              <w:t xml:space="preserve">structural mark (unclear)</w:t>
            </w:r>
          </w:p>
        </w:tc>
        <w:tc>
          <w:tcPr/>
          <w:p>
            <w:pPr>
              <w:pStyle w:val="Compact"/>
              <w:jc w:val="right"/>
            </w:pPr>
            <w:r>
              <w:t xml:space="preserve">2</w:t>
            </w:r>
          </w:p>
        </w:tc>
        <w:tc>
          <w:tcPr/>
          <w:p>
            <w:pPr>
              <w:pStyle w:val="Compact"/>
            </w:pPr>
            <w:r>
              <w:t xml:space="preserve">Unknown (structural)</w:t>
            </w:r>
          </w:p>
        </w:tc>
        <w:tc>
          <w:tcPr/>
          <w:p>
            <w:pPr>
              <w:pStyle w:val="Compact"/>
            </w:pPr>
            <w:r>
              <w:t xml:space="preserve">Similar to 211: appears twice with no deciphered meaning. Noted as structural/correction marker</w:t>
            </w:r>
            <w:hyperlink r:id="rId24">
              <w:r>
                <w:rPr>
                  <w:rStyle w:val="Hyperlink"/>
                </w:rPr>
                <w:t xml:space="preserve">[76]</w:t>
              </w:r>
            </w:hyperlink>
            <w:r>
              <w:t xml:space="preserve">. Possibly the same function as 211, appearing in a different text.</w:t>
            </w:r>
          </w:p>
        </w:tc>
        <w:tc>
          <w:tcPr/>
          <w:p>
            <w:pPr>
              <w:pStyle w:val="Compact"/>
            </w:pPr>
            <w:r>
              <w:rPr>
                <w:i/>
                <w:iCs/>
              </w:rPr>
              <w:t xml:space="preserve">LS August Research</w:t>
            </w:r>
            <w:hyperlink r:id="rId24">
              <w:r>
                <w:rPr>
                  <w:rStyle w:val="Hyperlink"/>
                </w:rPr>
                <w:t xml:space="preserve">[76]</w:t>
              </w:r>
            </w:hyperlink>
          </w:p>
        </w:tc>
      </w:tr>
      <w:tr>
        <w:tc>
          <w:tcPr/>
          <w:p>
            <w:pPr>
              <w:pStyle w:val="Compact"/>
              <w:jc w:val="right"/>
            </w:pPr>
            <w:r>
              <w:t xml:space="preserve">326</w:t>
            </w:r>
          </w:p>
        </w:tc>
        <w:tc>
          <w:tcPr/>
          <w:p>
            <w:pPr>
              <w:pStyle w:val="Compact"/>
            </w:pPr>
            <w:r>
              <w:t xml:space="preserve">structural mark (unclear)</w:t>
            </w:r>
          </w:p>
        </w:tc>
        <w:tc>
          <w:tcPr/>
          <w:p>
            <w:pPr>
              <w:pStyle w:val="Compact"/>
              <w:jc w:val="right"/>
            </w:pPr>
            <w:r>
              <w:t xml:space="preserve">2</w:t>
            </w:r>
          </w:p>
        </w:tc>
        <w:tc>
          <w:tcPr/>
          <w:p>
            <w:pPr>
              <w:pStyle w:val="Compact"/>
            </w:pPr>
            <w:r>
              <w:t xml:space="preserve">Unknown (structural)</w:t>
            </w:r>
          </w:p>
        </w:tc>
        <w:tc>
          <w:tcPr/>
          <w:p>
            <w:pPr>
              <w:pStyle w:val="Compact"/>
            </w:pPr>
            <w:r>
              <w:t xml:space="preserve">Another twice-occurring</w:t>
            </w:r>
            <w:r>
              <w:t xml:space="preserve"> </w:t>
            </w:r>
            <w:r>
              <w:rPr>
                <w:b/>
                <w:bCs/>
              </w:rPr>
              <w:t xml:space="preserve">non-lexical glyph</w:t>
            </w:r>
            <w:r>
              <w:t xml:space="preserve">. Identical note: “appears as structural marker or in corrections”</w:t>
            </w:r>
            <w:hyperlink r:id="rId25">
              <w:r>
                <w:rPr>
                  <w:rStyle w:val="Hyperlink"/>
                </w:rPr>
                <w:t xml:space="preserve">[77]</w:t>
              </w:r>
            </w:hyperlink>
            <w:r>
              <w:t xml:space="preserve">. These markers (211, 263, 326…) may all be instances of a generic notation used by the carver.</w:t>
            </w:r>
          </w:p>
        </w:tc>
        <w:tc>
          <w:tcPr/>
          <w:p>
            <w:pPr>
              <w:pStyle w:val="Compact"/>
            </w:pPr>
            <w:r>
              <w:rPr>
                <w:i/>
                <w:iCs/>
              </w:rPr>
              <w:t xml:space="preserve">LS August Research</w:t>
            </w:r>
            <w:hyperlink r:id="rId25">
              <w:r>
                <w:rPr>
                  <w:rStyle w:val="Hyperlink"/>
                </w:rPr>
                <w:t xml:space="preserve">[77]</w:t>
              </w:r>
            </w:hyperlink>
          </w:p>
        </w:tc>
      </w:tr>
    </w:tbl>
    <w:p>
      <w:pPr>
        <w:pStyle w:val="BodyText"/>
      </w:pPr>
      <w:r>
        <w:rPr>
          <w:i/>
          <w:iCs/>
        </w:rPr>
        <w:t xml:space="preserve">Interpretation:</w:t>
      </w:r>
      <w:r>
        <w:t xml:space="preserve"> </w:t>
      </w:r>
      <w:r>
        <w:t xml:space="preserve">The presence of</w:t>
      </w:r>
      <w:r>
        <w:t xml:space="preserve"> </w:t>
      </w:r>
      <w:r>
        <w:rPr>
          <w:b/>
          <w:bCs/>
        </w:rPr>
        <w:t xml:space="preserve">glyph 999 (divider)</w:t>
      </w:r>
      <w:r>
        <w:t xml:space="preserve"> </w:t>
      </w:r>
      <w:r>
        <w:t xml:space="preserve">confirms that the Rongorongo script utilized punctuation to organize information</w:t>
      </w:r>
      <w:hyperlink r:id="rId70">
        <w:r>
          <w:rPr>
            <w:rStyle w:val="Hyperlink"/>
          </w:rPr>
          <w:t xml:space="preserve">[71]</w:t>
        </w:r>
      </w:hyperlink>
      <w:r>
        <w:t xml:space="preserve">. This is an emergent pattern from internal evidence: the consistent placement and high count of this glyph on one artifact could only mean a non-verbal function, which our analysis corroborated by noting the evenly spaced occurrences and lack of associated text for it. Likewise, the low-frequency structural marks (211, etc.) show that not every carved glyph is a “word” – some are metadata or editing marks. These findings underscore the importance of not forcing a reading onto every sign; some truly have</w:t>
      </w:r>
      <w:r>
        <w:t xml:space="preserve"> </w:t>
      </w:r>
      <w:r>
        <w:rPr>
          <w:b/>
          <w:bCs/>
        </w:rPr>
        <w:t xml:space="preserve">no spoken value</w:t>
      </w:r>
      <w:r>
        <w:t xml:space="preserve"> </w:t>
      </w:r>
      <w:r>
        <w:t xml:space="preserve">and should be treated as functional symbols.</w:t>
      </w:r>
    </w:p>
    <w:p>
      <w:pPr>
        <w:pStyle w:val="BodyText"/>
      </w:pPr>
      <w:r>
        <w:t xml:space="preserve">Finally, it’s worth mentioning that</w:t>
      </w:r>
      <w:r>
        <w:t xml:space="preserve"> </w:t>
      </w:r>
      <w:r>
        <w:rPr>
          <w:b/>
          <w:bCs/>
        </w:rPr>
        <w:t xml:space="preserve">no dedicated “line filler” glyph</w:t>
      </w:r>
      <w:r>
        <w:t xml:space="preserve"> </w:t>
      </w:r>
      <w:r>
        <w:t xml:space="preserve">(often a feature of some scripts to pad out line-ends) has been conclusively identified, though the structural markers above might have served a similar role.</w:t>
      </w:r>
    </w:p>
    <w:bookmarkEnd w:id="75"/>
    <w:bookmarkStart w:id="77" w:name="conclusion-phase-1-outcomes"/>
    <w:p>
      <w:pPr>
        <w:pStyle w:val="Heading2"/>
      </w:pPr>
      <w:r>
        <w:t xml:space="preserve">Conclusion (Phase 1 Outcomes)</w:t>
      </w:r>
    </w:p>
    <w:p>
      <w:pPr>
        <w:pStyle w:val="FirstParagraph"/>
      </w:pPr>
      <w:r>
        <w:t xml:space="preserve">In summary,</w:t>
      </w:r>
      <w:r>
        <w:t xml:space="preserve"> </w:t>
      </w:r>
      <w:r>
        <w:rPr>
          <w:b/>
          <w:bCs/>
        </w:rPr>
        <w:t xml:space="preserve">Phase 1 has produced a comprehensive sign inventory and initial classification</w:t>
      </w:r>
      <w:r>
        <w:t xml:space="preserve"> </w:t>
      </w:r>
      <w:r>
        <w:t xml:space="preserve">for the Rongorongo script. We have catalogued each glyph with its frequency and context, distinguishing between logographic signs (the majority, carrying meaning), a few compound signs (rare hybrid symbols), variant forms of certain glyphs, and non-lexical structural markers. We refrained from assigning any alphabetic or syllabic status to signs due to lack of evidence – the internal patterns strongly indicate a primarily logographic system</w:t>
      </w:r>
      <w:hyperlink r:id="rId23">
        <w:r>
          <w:rPr>
            <w:rStyle w:val="Hyperlink"/>
          </w:rPr>
          <w:t xml:space="preserve">[8]</w:t>
        </w:r>
      </w:hyperlink>
      <w:r>
        <w:t xml:space="preserve"> </w:t>
      </w:r>
      <w:r>
        <w:t xml:space="preserve">with contextual polyvalence. Major trends include the high frequency of human-related and grammar-related signs (indicating the script often discusses people and uses grammatical plurality), the presence of</w:t>
      </w:r>
      <w:r>
        <w:t xml:space="preserve"> </w:t>
      </w:r>
      <w:r>
        <w:rPr>
          <w:i/>
          <w:iCs/>
        </w:rPr>
        <w:t xml:space="preserve">polysemic</w:t>
      </w:r>
      <w:r>
        <w:t xml:space="preserve"> </w:t>
      </w:r>
      <w:r>
        <w:t xml:space="preserve">signs that play on double meanings (fish/victim, frigatebird/dance), and the use of spacing or divider glyphs to structure texts.</w:t>
      </w:r>
    </w:p>
    <w:p>
      <w:pPr>
        <w:pStyle w:val="BodyText"/>
      </w:pPr>
      <w:r>
        <w:t xml:space="preserve">This inventory provides a foundation for the next phases of decipherment. With the basic identities of signs and their tentative meanings in hand, we can move on to Phase 2 (massive correlational analysis with other scripts) and Phase 3 (semantic clustering) with confidence that our sign list is robust and internally consistent</w:t>
      </w:r>
      <w:hyperlink r:id="rId76">
        <w:r>
          <w:rPr>
            <w:rStyle w:val="Hyperlink"/>
          </w:rPr>
          <w:t xml:space="preserve">[78]</w:t>
        </w:r>
      </w:hyperlink>
      <w:r>
        <w:t xml:space="preserve">. All classifications here are</w:t>
      </w:r>
      <w:r>
        <w:t xml:space="preserve"> </w:t>
      </w:r>
      <w:r>
        <w:rPr>
          <w:b/>
          <w:bCs/>
        </w:rPr>
        <w:t xml:space="preserve">not forced</w:t>
      </w:r>
      <w:r>
        <w:t xml:space="preserve"> </w:t>
      </w:r>
      <w:r>
        <w:t xml:space="preserve">but rather assigned with a confidence level; ambiguous cases remain marked as “Unknown” or “Variant” as appropriate. As decipherment progresses, some glyphs’ classifications may be revised (for instance, if evidence of phonetic use for a sign emerges in Phase 2, it could be reclassified). For now, however, the script appears to be</w:t>
      </w:r>
      <w:r>
        <w:t xml:space="preserve"> </w:t>
      </w:r>
      <w:r>
        <w:rPr>
          <w:b/>
          <w:bCs/>
        </w:rPr>
        <w:t xml:space="preserve">logo-syllabic leaning heavily to logographic</w:t>
      </w:r>
      <w:r>
        <w:t xml:space="preserve">, without a standalone phonetic grid, and its structure relies on the intelligent placement of meaningful signs and occasional punctuation.</w:t>
      </w:r>
    </w:p>
    <w:p>
      <w:pPr>
        <w:pStyle w:val="BodyText"/>
      </w:pPr>
      <w:r>
        <w:rPr>
          <w:b/>
          <w:bCs/>
        </w:rPr>
        <w:t xml:space="preserve">(End of Phase 1 Report – Sign Inventory &amp; Classification)</w:t>
      </w:r>
    </w:p>
    <w:bookmarkEnd w:id="77"/>
    <w:bookmarkStart w:id="78" w:name="sources-key-contributors"/>
    <w:p>
      <w:pPr>
        <w:pStyle w:val="Heading2"/>
      </w:pPr>
      <w:r>
        <w:t xml:space="preserve">Sources (Key Contributors)</w:t>
      </w:r>
    </w:p>
    <w:p>
      <w:pPr>
        <w:pStyle w:val="Compact"/>
        <w:numPr>
          <w:ilvl w:val="0"/>
          <w:numId w:val="1005"/>
        </w:numPr>
      </w:pPr>
      <w:r>
        <w:rPr>
          <w:b/>
          <w:bCs/>
        </w:rPr>
        <w:t xml:space="preserve">Lackadaisical Security (The Operator) – August Research Logs, 2025</w:t>
      </w:r>
      <w:r>
        <w:t xml:space="preserve"> </w:t>
      </w:r>
      <w:r>
        <w:t xml:space="preserve">– Primary internal analysis and emergent decipherment data for all glyph entries</w:t>
      </w:r>
      <w:hyperlink r:id="rId30">
        <w:r>
          <w:rPr>
            <w:rStyle w:val="Hyperlink"/>
          </w:rPr>
          <w:t xml:space="preserve">[12]</w:t>
        </w:r>
      </w:hyperlink>
      <w:hyperlink r:id="rId40">
        <w:r>
          <w:rPr>
            <w:rStyle w:val="Hyperlink"/>
          </w:rPr>
          <w:t xml:space="preserve">[28]</w:t>
        </w:r>
      </w:hyperlink>
      <w:r>
        <w:t xml:space="preserve">.</w:t>
      </w:r>
    </w:p>
    <w:p>
      <w:pPr>
        <w:pStyle w:val="Compact"/>
        <w:numPr>
          <w:ilvl w:val="0"/>
          <w:numId w:val="1005"/>
        </w:numPr>
      </w:pPr>
      <w:r>
        <w:rPr>
          <w:b/>
          <w:bCs/>
        </w:rPr>
        <w:t xml:space="preserve">Thomas S. Barthel (1958)</w:t>
      </w:r>
      <w:r>
        <w:t xml:space="preserve"> </w:t>
      </w:r>
      <w:r>
        <w:t xml:space="preserve">– Catalogued Rongorongo glyphs (Barthel’s glyph IDs B001, B002, etc.) and provided initial hypotheses for some signs (e.g. glyph 1 “person”)</w:t>
      </w:r>
      <w:hyperlink r:id="rId24">
        <w:r>
          <w:rPr>
            <w:rStyle w:val="Hyperlink"/>
          </w:rPr>
          <w:t xml:space="preserve">[13]</w:t>
        </w:r>
      </w:hyperlink>
      <w:r>
        <w:t xml:space="preserve">.</w:t>
      </w:r>
    </w:p>
    <w:p>
      <w:pPr>
        <w:pStyle w:val="Compact"/>
        <w:numPr>
          <w:ilvl w:val="0"/>
          <w:numId w:val="1005"/>
        </w:numPr>
      </w:pPr>
      <w:r>
        <w:rPr>
          <w:b/>
          <w:bCs/>
        </w:rPr>
        <w:t xml:space="preserve">Steven Roger Fischer (1997)</w:t>
      </w:r>
      <w:r>
        <w:t xml:space="preserve"> </w:t>
      </w:r>
      <w:r>
        <w:t xml:space="preserve">– Proposed linguistic interpretations for certain glyphs (e.g. glyph 4 “mouth” and some marine glyphs)</w:t>
      </w:r>
      <w:hyperlink r:id="rId24">
        <w:r>
          <w:rPr>
            <w:rStyle w:val="Hyperlink"/>
          </w:rPr>
          <w:t xml:space="preserve">[79]</w:t>
        </w:r>
      </w:hyperlink>
      <w:hyperlink r:id="rId37">
        <w:r>
          <w:rPr>
            <w:rStyle w:val="Hyperlink"/>
          </w:rPr>
          <w:t xml:space="preserve">[80]</w:t>
        </w:r>
      </w:hyperlink>
      <w:r>
        <w:t xml:space="preserve">.</w:t>
      </w:r>
    </w:p>
    <w:p>
      <w:pPr>
        <w:pStyle w:val="Compact"/>
        <w:numPr>
          <w:ilvl w:val="0"/>
          <w:numId w:val="1005"/>
        </w:numPr>
      </w:pPr>
      <w:r>
        <w:rPr>
          <w:b/>
          <w:bCs/>
        </w:rPr>
        <w:t xml:space="preserve">Guy (1990)</w:t>
      </w:r>
      <w:r>
        <w:t xml:space="preserve"> </w:t>
      </w:r>
      <w:r>
        <w:t xml:space="preserve">– Noted comparative Polynesian iconography (informs glyph 2 “head/face”)</w:t>
      </w:r>
      <w:hyperlink r:id="rId24">
        <w:r>
          <w:rPr>
            <w:rStyle w:val="Hyperlink"/>
          </w:rPr>
          <w:t xml:space="preserve">[16]</w:t>
        </w:r>
      </w:hyperlink>
      <w:r>
        <w:t xml:space="preserve">.</w:t>
      </w:r>
    </w:p>
    <w:p>
      <w:pPr>
        <w:pStyle w:val="Compact"/>
        <w:numPr>
          <w:ilvl w:val="0"/>
          <w:numId w:val="1005"/>
        </w:numPr>
      </w:pPr>
      <w:r>
        <w:rPr>
          <w:b/>
          <w:bCs/>
        </w:rPr>
        <w:t xml:space="preserve">Konstantin Pozdniakov (2007)</w:t>
      </w:r>
      <w:r>
        <w:t xml:space="preserve"> </w:t>
      </w:r>
      <w:r>
        <w:t xml:space="preserve">– Iconographic study of glyphs (identified anatomical features like the “eye” glyph)</w:t>
      </w:r>
      <w:hyperlink r:id="rId24">
        <w:r>
          <w:rPr>
            <w:rStyle w:val="Hyperlink"/>
          </w:rPr>
          <w:t xml:space="preserve">[19]</w:t>
        </w:r>
      </w:hyperlink>
      <w:r>
        <w:t xml:space="preserve">.</w:t>
      </w:r>
    </w:p>
    <w:p>
      <w:pPr>
        <w:pStyle w:val="Compact"/>
        <w:numPr>
          <w:ilvl w:val="0"/>
          <w:numId w:val="1005"/>
        </w:numPr>
      </w:pPr>
      <w:r>
        <w:rPr>
          <w:b/>
          <w:bCs/>
        </w:rPr>
        <w:t xml:space="preserve">Yuri Knorozov</w:t>
      </w:r>
      <w:r>
        <w:t xml:space="preserve"> </w:t>
      </w:r>
      <w:r>
        <w:t xml:space="preserve">– Suggested connections between fish glyphs and the concept of sacrifice in Rapa Nui (reflected in our interpretation of glyph 700)</w:t>
      </w:r>
      <w:hyperlink r:id="rId28">
        <w:r>
          <w:rPr>
            <w:rStyle w:val="Hyperlink"/>
          </w:rPr>
          <w:t xml:space="preserve">[10]</w:t>
        </w:r>
      </w:hyperlink>
      <w:hyperlink r:id="rId29">
        <w:r>
          <w:rPr>
            <w:rStyle w:val="Hyperlink"/>
          </w:rPr>
          <w:t xml:space="preserve">[11]</w:t>
        </w:r>
      </w:hyperlink>
      <w:r>
        <w:t xml:space="preserve">.</w:t>
      </w:r>
    </w:p>
    <w:p>
      <w:pPr>
        <w:pStyle w:val="Compact"/>
        <w:numPr>
          <w:ilvl w:val="0"/>
          <w:numId w:val="1005"/>
        </w:numPr>
      </w:pPr>
      <w:r>
        <w:rPr>
          <w:i/>
          <w:iCs/>
        </w:rPr>
        <w:t xml:space="preserve">(Additional scholarly inputs such as Horley (2011) and others were considered where they aligned with internal evidence, e.g. in analysis of fluid/water glyphs, but primary attribution is given to internal research unless explicitly used.)</w:t>
      </w:r>
    </w:p>
    <w:bookmarkEnd w:id="78"/>
    <w:bookmarkEnd w:id="79"/>
    <w:bookmarkEnd w:id="80"/>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4">
        <w:r>
          <w:rPr>
            <w:rStyle w:val="Hyperlink"/>
          </w:rPr>
          <w:t xml:space="preserve">[7]</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hyperlink r:id="rId24">
        <w:r>
          <w:rPr>
            <w:rStyle w:val="Hyperlink"/>
          </w:rPr>
          <w:t xml:space="preserve">[13]</w:t>
        </w:r>
      </w:hyperlink>
      <w:r>
        <w:t xml:space="preserve"> </w:t>
      </w:r>
      <w:hyperlink r:id="rId31">
        <w:r>
          <w:rPr>
            <w:rStyle w:val="Hyperlink"/>
          </w:rPr>
          <w:t xml:space="preserve">[14]</w:t>
        </w:r>
      </w:hyperlink>
      <w:r>
        <w:t xml:space="preserve"> </w:t>
      </w:r>
      <w:hyperlink r:id="rId24">
        <w:r>
          <w:rPr>
            <w:rStyle w:val="Hyperlink"/>
          </w:rPr>
          <w:t xml:space="preserve">[15]</w:t>
        </w:r>
      </w:hyperlink>
      <w:r>
        <w:t xml:space="preserve"> </w:t>
      </w:r>
      <w:hyperlink r:id="rId24">
        <w:r>
          <w:rPr>
            <w:rStyle w:val="Hyperlink"/>
          </w:rPr>
          <w:t xml:space="preserve">[16]</w:t>
        </w:r>
      </w:hyperlink>
      <w:r>
        <w:t xml:space="preserve"> </w:t>
      </w:r>
      <w:hyperlink r:id="rId32">
        <w:r>
          <w:rPr>
            <w:rStyle w:val="Hyperlink"/>
          </w:rPr>
          <w:t xml:space="preserve">[17]</w:t>
        </w:r>
      </w:hyperlink>
      <w:r>
        <w:t xml:space="preserve"> </w:t>
      </w:r>
      <w:hyperlink r:id="rId33">
        <w:r>
          <w:rPr>
            <w:rStyle w:val="Hyperlink"/>
          </w:rPr>
          <w:t xml:space="preserve">[18]</w:t>
        </w:r>
      </w:hyperlink>
      <w:r>
        <w:t xml:space="preserve"> </w:t>
      </w:r>
      <w:hyperlink r:id="rId24">
        <w:r>
          <w:rPr>
            <w:rStyle w:val="Hyperlink"/>
          </w:rPr>
          <w:t xml:space="preserve">[19]</w:t>
        </w:r>
      </w:hyperlink>
      <w:r>
        <w:t xml:space="preserve"> </w:t>
      </w:r>
      <w:hyperlink r:id="rId34">
        <w:r>
          <w:rPr>
            <w:rStyle w:val="Hyperlink"/>
          </w:rPr>
          <w:t xml:space="preserve">[20]</w:t>
        </w:r>
      </w:hyperlink>
      <w:r>
        <w:t xml:space="preserve"> </w:t>
      </w:r>
      <w:hyperlink r:id="rId35">
        <w:r>
          <w:rPr>
            <w:rStyle w:val="Hyperlink"/>
          </w:rPr>
          <w:t xml:space="preserve">[21]</w:t>
        </w:r>
      </w:hyperlink>
      <w:r>
        <w:t xml:space="preserve"> </w:t>
      </w:r>
      <w:hyperlink r:id="rId24">
        <w:r>
          <w:rPr>
            <w:rStyle w:val="Hyperlink"/>
          </w:rPr>
          <w:t xml:space="preserve">[22]</w:t>
        </w:r>
      </w:hyperlink>
      <w:r>
        <w:t xml:space="preserve"> </w:t>
      </w:r>
      <w:hyperlink r:id="rId36">
        <w:r>
          <w:rPr>
            <w:rStyle w:val="Hyperlink"/>
          </w:rPr>
          <w:t xml:space="preserve">[23]</w:t>
        </w:r>
      </w:hyperlink>
      <w:r>
        <w:t xml:space="preserve"> </w:t>
      </w:r>
      <w:hyperlink r:id="rId24">
        <w:r>
          <w:rPr>
            <w:rStyle w:val="Hyperlink"/>
          </w:rPr>
          <w:t xml:space="preserve">[24]</w:t>
        </w:r>
      </w:hyperlink>
      <w:r>
        <w:t xml:space="preserve"> </w:t>
      </w:r>
      <w:hyperlink r:id="rId37">
        <w:r>
          <w:rPr>
            <w:rStyle w:val="Hyperlink"/>
          </w:rPr>
          <w:t xml:space="preserve">[25]</w:t>
        </w:r>
      </w:hyperlink>
      <w:r>
        <w:t xml:space="preserve"> </w:t>
      </w:r>
      <w:hyperlink r:id="rId38">
        <w:r>
          <w:rPr>
            <w:rStyle w:val="Hyperlink"/>
          </w:rPr>
          <w:t xml:space="preserve">[26]</w:t>
        </w:r>
      </w:hyperlink>
      <w:r>
        <w:t xml:space="preserve"> </w:t>
      </w:r>
      <w:hyperlink r:id="rId39">
        <w:r>
          <w:rPr>
            <w:rStyle w:val="Hyperlink"/>
          </w:rPr>
          <w:t xml:space="preserve">[27]</w:t>
        </w:r>
      </w:hyperlink>
      <w:r>
        <w:t xml:space="preserve"> </w:t>
      </w:r>
      <w:hyperlink r:id="rId40">
        <w:r>
          <w:rPr>
            <w:rStyle w:val="Hyperlink"/>
          </w:rPr>
          <w:t xml:space="preserve">[28]</w:t>
        </w:r>
      </w:hyperlink>
      <w:r>
        <w:t xml:space="preserve"> </w:t>
      </w:r>
      <w:hyperlink r:id="rId41">
        <w:r>
          <w:rPr>
            <w:rStyle w:val="Hyperlink"/>
          </w:rPr>
          <w:t xml:space="preserve">[29]</w:t>
        </w:r>
      </w:hyperlink>
      <w:r>
        <w:t xml:space="preserve"> </w:t>
      </w:r>
      <w:hyperlink r:id="rId42">
        <w:r>
          <w:rPr>
            <w:rStyle w:val="Hyperlink"/>
          </w:rPr>
          <w:t xml:space="preserve">[30]</w:t>
        </w:r>
      </w:hyperlink>
      <w:r>
        <w:t xml:space="preserve"> </w:t>
      </w:r>
      <w:hyperlink r:id="rId43">
        <w:r>
          <w:rPr>
            <w:rStyle w:val="Hyperlink"/>
          </w:rPr>
          <w:t xml:space="preserve">[31]</w:t>
        </w:r>
      </w:hyperlink>
      <w:r>
        <w:t xml:space="preserve"> </w:t>
      </w:r>
      <w:hyperlink r:id="rId44">
        <w:r>
          <w:rPr>
            <w:rStyle w:val="Hyperlink"/>
          </w:rPr>
          <w:t xml:space="preserve">[32]</w:t>
        </w:r>
      </w:hyperlink>
      <w:r>
        <w:t xml:space="preserve"> </w:t>
      </w:r>
      <w:hyperlink r:id="rId45">
        <w:r>
          <w:rPr>
            <w:rStyle w:val="Hyperlink"/>
          </w:rPr>
          <w:t xml:space="preserve">[33]</w:t>
        </w:r>
      </w:hyperlink>
      <w:r>
        <w:t xml:space="preserve"> </w:t>
      </w:r>
      <w:hyperlink r:id="rId46">
        <w:r>
          <w:rPr>
            <w:rStyle w:val="Hyperlink"/>
          </w:rPr>
          <w:t xml:space="preserve">[34]</w:t>
        </w:r>
      </w:hyperlink>
      <w:r>
        <w:t xml:space="preserve"> </w:t>
      </w:r>
      <w:hyperlink r:id="rId24">
        <w:r>
          <w:rPr>
            <w:rStyle w:val="Hyperlink"/>
          </w:rPr>
          <w:t xml:space="preserve">[35]</w:t>
        </w:r>
      </w:hyperlink>
      <w:r>
        <w:t xml:space="preserve"> </w:t>
      </w:r>
      <w:hyperlink r:id="rId24">
        <w:r>
          <w:rPr>
            <w:rStyle w:val="Hyperlink"/>
          </w:rPr>
          <w:t xml:space="preserve">[36]</w:t>
        </w:r>
      </w:hyperlink>
      <w:r>
        <w:t xml:space="preserve"> </w:t>
      </w:r>
      <w:hyperlink r:id="rId46">
        <w:r>
          <w:rPr>
            <w:rStyle w:val="Hyperlink"/>
          </w:rPr>
          <w:t xml:space="preserve">[37]</w:t>
        </w:r>
      </w:hyperlink>
      <w:r>
        <w:t xml:space="preserve"> </w:t>
      </w:r>
      <w:hyperlink r:id="rId24">
        <w:r>
          <w:rPr>
            <w:rStyle w:val="Hyperlink"/>
          </w:rPr>
          <w:t xml:space="preserve">[38]</w:t>
        </w:r>
      </w:hyperlink>
      <w:r>
        <w:t xml:space="preserve"> </w:t>
      </w:r>
      <w:hyperlink r:id="rId24">
        <w:r>
          <w:rPr>
            <w:rStyle w:val="Hyperlink"/>
          </w:rPr>
          <w:t xml:space="preserve">[39]</w:t>
        </w:r>
      </w:hyperlink>
      <w:r>
        <w:t xml:space="preserve"> </w:t>
      </w:r>
      <w:hyperlink r:id="rId46">
        <w:r>
          <w:rPr>
            <w:rStyle w:val="Hyperlink"/>
          </w:rPr>
          <w:t xml:space="preserve">[40]</w:t>
        </w:r>
      </w:hyperlink>
      <w:r>
        <w:t xml:space="preserve"> </w:t>
      </w:r>
      <w:hyperlink r:id="rId47">
        <w:r>
          <w:rPr>
            <w:rStyle w:val="Hyperlink"/>
          </w:rPr>
          <w:t xml:space="preserve">[41]</w:t>
        </w:r>
      </w:hyperlink>
      <w:r>
        <w:t xml:space="preserve"> </w:t>
      </w:r>
      <w:hyperlink r:id="rId48">
        <w:r>
          <w:rPr>
            <w:rStyle w:val="Hyperlink"/>
          </w:rPr>
          <w:t xml:space="preserve">[42]</w:t>
        </w:r>
      </w:hyperlink>
      <w:r>
        <w:t xml:space="preserve"> </w:t>
      </w:r>
      <w:hyperlink r:id="rId24">
        <w:r>
          <w:rPr>
            <w:rStyle w:val="Hyperlink"/>
          </w:rPr>
          <w:t xml:space="preserve">[43]</w:t>
        </w:r>
      </w:hyperlink>
      <w:r>
        <w:t xml:space="preserve"> </w:t>
      </w:r>
      <w:hyperlink r:id="rId49">
        <w:r>
          <w:rPr>
            <w:rStyle w:val="Hyperlink"/>
          </w:rPr>
          <w:t xml:space="preserve">[44]</w:t>
        </w:r>
      </w:hyperlink>
      <w:r>
        <w:t xml:space="preserve"> </w:t>
      </w:r>
      <w:hyperlink r:id="rId50">
        <w:r>
          <w:rPr>
            <w:rStyle w:val="Hyperlink"/>
          </w:rPr>
          <w:t xml:space="preserve">[45]</w:t>
        </w:r>
      </w:hyperlink>
      <w:r>
        <w:t xml:space="preserve"> </w:t>
      </w:r>
      <w:hyperlink r:id="rId49">
        <w:r>
          <w:rPr>
            <w:rStyle w:val="Hyperlink"/>
          </w:rPr>
          <w:t xml:space="preserve">[46]</w:t>
        </w:r>
      </w:hyperlink>
      <w:r>
        <w:t xml:space="preserve"> </w:t>
      </w:r>
      <w:hyperlink r:id="rId51">
        <w:r>
          <w:rPr>
            <w:rStyle w:val="Hyperlink"/>
          </w:rPr>
          <w:t xml:space="preserve">[47]</w:t>
        </w:r>
      </w:hyperlink>
      <w:r>
        <w:t xml:space="preserve"> </w:t>
      </w:r>
      <w:hyperlink r:id="rId52">
        <w:r>
          <w:rPr>
            <w:rStyle w:val="Hyperlink"/>
          </w:rPr>
          <w:t xml:space="preserve">[48]</w:t>
        </w:r>
      </w:hyperlink>
      <w:r>
        <w:t xml:space="preserve"> </w:t>
      </w:r>
      <w:hyperlink r:id="rId53">
        <w:r>
          <w:rPr>
            <w:rStyle w:val="Hyperlink"/>
          </w:rPr>
          <w:t xml:space="preserve">[49]</w:t>
        </w:r>
      </w:hyperlink>
      <w:r>
        <w:t xml:space="preserve"> </w:t>
      </w:r>
      <w:hyperlink r:id="rId46">
        <w:r>
          <w:rPr>
            <w:rStyle w:val="Hyperlink"/>
          </w:rPr>
          <w:t xml:space="preserve">[50]</w:t>
        </w:r>
      </w:hyperlink>
      <w:r>
        <w:t xml:space="preserve"> </w:t>
      </w:r>
      <w:hyperlink r:id="rId24">
        <w:r>
          <w:rPr>
            <w:rStyle w:val="Hyperlink"/>
          </w:rPr>
          <w:t xml:space="preserve">[51]</w:t>
        </w:r>
      </w:hyperlink>
      <w:r>
        <w:t xml:space="preserve"> </w:t>
      </w:r>
      <w:hyperlink r:id="rId48">
        <w:r>
          <w:rPr>
            <w:rStyle w:val="Hyperlink"/>
          </w:rPr>
          <w:t xml:space="preserve">[52]</w:t>
        </w:r>
      </w:hyperlink>
      <w:r>
        <w:t xml:space="preserve"> </w:t>
      </w:r>
      <w:hyperlink r:id="rId48">
        <w:r>
          <w:rPr>
            <w:rStyle w:val="Hyperlink"/>
          </w:rPr>
          <w:t xml:space="preserve">[53]</w:t>
        </w:r>
      </w:hyperlink>
      <w:r>
        <w:t xml:space="preserve"> </w:t>
      </w:r>
      <w:hyperlink r:id="rId54">
        <w:r>
          <w:rPr>
            <w:rStyle w:val="Hyperlink"/>
          </w:rPr>
          <w:t xml:space="preserve">[54]</w:t>
        </w:r>
      </w:hyperlink>
      <w:r>
        <w:t xml:space="preserve"> </w:t>
      </w:r>
      <w:hyperlink r:id="rId55">
        <w:r>
          <w:rPr>
            <w:rStyle w:val="Hyperlink"/>
          </w:rPr>
          <w:t xml:space="preserve">[55]</w:t>
        </w:r>
      </w:hyperlink>
      <w:r>
        <w:t xml:space="preserve"> </w:t>
      </w:r>
      <w:hyperlink r:id="rId24">
        <w:r>
          <w:rPr>
            <w:rStyle w:val="Hyperlink"/>
          </w:rPr>
          <w:t xml:space="preserve">[56]</w:t>
        </w:r>
      </w:hyperlink>
      <w:r>
        <w:t xml:space="preserve"> </w:t>
      </w:r>
      <w:hyperlink r:id="rId24">
        <w:r>
          <w:rPr>
            <w:rStyle w:val="Hyperlink"/>
          </w:rPr>
          <w:t xml:space="preserve">[57]</w:t>
        </w:r>
      </w:hyperlink>
      <w:r>
        <w:t xml:space="preserve"> </w:t>
      </w:r>
      <w:hyperlink r:id="rId59">
        <w:r>
          <w:rPr>
            <w:rStyle w:val="Hyperlink"/>
          </w:rPr>
          <w:t xml:space="preserve">[58]</w:t>
        </w:r>
      </w:hyperlink>
      <w:r>
        <w:t xml:space="preserve"> </w:t>
      </w:r>
      <w:hyperlink r:id="rId60">
        <w:r>
          <w:rPr>
            <w:rStyle w:val="Hyperlink"/>
          </w:rPr>
          <w:t xml:space="preserve">[59]</w:t>
        </w:r>
      </w:hyperlink>
      <w:r>
        <w:t xml:space="preserve"> </w:t>
      </w:r>
      <w:hyperlink r:id="rId61">
        <w:r>
          <w:rPr>
            <w:rStyle w:val="Hyperlink"/>
          </w:rPr>
          <w:t xml:space="preserve">[60]</w:t>
        </w:r>
      </w:hyperlink>
      <w:r>
        <w:t xml:space="preserve"> </w:t>
      </w:r>
      <w:hyperlink r:id="rId62">
        <w:r>
          <w:rPr>
            <w:rStyle w:val="Hyperlink"/>
          </w:rPr>
          <w:t xml:space="preserve">[61]</w:t>
        </w:r>
      </w:hyperlink>
      <w:r>
        <w:t xml:space="preserve"> </w:t>
      </w:r>
      <w:hyperlink r:id="rId63">
        <w:r>
          <w:rPr>
            <w:rStyle w:val="Hyperlink"/>
          </w:rPr>
          <w:t xml:space="preserve">[62]</w:t>
        </w:r>
      </w:hyperlink>
      <w:r>
        <w:t xml:space="preserve"> </w:t>
      </w:r>
      <w:hyperlink r:id="rId64">
        <w:r>
          <w:rPr>
            <w:rStyle w:val="Hyperlink"/>
          </w:rPr>
          <w:t xml:space="preserve">[63]</w:t>
        </w:r>
      </w:hyperlink>
      <w:r>
        <w:t xml:space="preserve"> </w:t>
      </w:r>
      <w:hyperlink r:id="rId48">
        <w:r>
          <w:rPr>
            <w:rStyle w:val="Hyperlink"/>
          </w:rPr>
          <w:t xml:space="preserve">[64]</w:t>
        </w:r>
      </w:hyperlink>
      <w:r>
        <w:t xml:space="preserve"> </w:t>
      </w:r>
      <w:hyperlink r:id="rId66">
        <w:r>
          <w:rPr>
            <w:rStyle w:val="Hyperlink"/>
          </w:rPr>
          <w:t xml:space="preserve">[65]</w:t>
        </w:r>
      </w:hyperlink>
      <w:r>
        <w:t xml:space="preserve"> </w:t>
      </w:r>
      <w:hyperlink r:id="rId67">
        <w:r>
          <w:rPr>
            <w:rStyle w:val="Hyperlink"/>
          </w:rPr>
          <w:t xml:space="preserve">[66]</w:t>
        </w:r>
      </w:hyperlink>
      <w:r>
        <w:t xml:space="preserve"> </w:t>
      </w:r>
      <w:hyperlink r:id="rId46">
        <w:r>
          <w:rPr>
            <w:rStyle w:val="Hyperlink"/>
          </w:rPr>
          <w:t xml:space="preserve">[67]</w:t>
        </w:r>
      </w:hyperlink>
      <w:r>
        <w:t xml:space="preserve"> </w:t>
      </w:r>
      <w:hyperlink r:id="rId24">
        <w:r>
          <w:rPr>
            <w:rStyle w:val="Hyperlink"/>
          </w:rPr>
          <w:t xml:space="preserve">[68]</w:t>
        </w:r>
      </w:hyperlink>
      <w:r>
        <w:t xml:space="preserve"> </w:t>
      </w:r>
      <w:hyperlink r:id="rId24">
        <w:r>
          <w:rPr>
            <w:rStyle w:val="Hyperlink"/>
          </w:rPr>
          <w:t xml:space="preserve">[69]</w:t>
        </w:r>
      </w:hyperlink>
      <w:r>
        <w:t xml:space="preserve"> </w:t>
      </w:r>
      <w:hyperlink r:id="rId69">
        <w:r>
          <w:rPr>
            <w:rStyle w:val="Hyperlink"/>
          </w:rPr>
          <w:t xml:space="preserve">[70]</w:t>
        </w:r>
      </w:hyperlink>
      <w:r>
        <w:t xml:space="preserve"> </w:t>
      </w:r>
      <w:hyperlink r:id="rId70">
        <w:r>
          <w:rPr>
            <w:rStyle w:val="Hyperlink"/>
          </w:rPr>
          <w:t xml:space="preserve">[71]</w:t>
        </w:r>
      </w:hyperlink>
      <w:r>
        <w:t xml:space="preserve"> </w:t>
      </w:r>
      <w:hyperlink r:id="rId71">
        <w:r>
          <w:rPr>
            <w:rStyle w:val="Hyperlink"/>
          </w:rPr>
          <w:t xml:space="preserve">[72]</w:t>
        </w:r>
      </w:hyperlink>
      <w:r>
        <w:t xml:space="preserve"> </w:t>
      </w:r>
      <w:hyperlink r:id="rId72">
        <w:r>
          <w:rPr>
            <w:rStyle w:val="Hyperlink"/>
          </w:rPr>
          <w:t xml:space="preserve">[73]</w:t>
        </w:r>
      </w:hyperlink>
      <w:r>
        <w:t xml:space="preserve"> </w:t>
      </w:r>
      <w:hyperlink r:id="rId73">
        <w:r>
          <w:rPr>
            <w:rStyle w:val="Hyperlink"/>
          </w:rPr>
          <w:t xml:space="preserve">[74]</w:t>
        </w:r>
      </w:hyperlink>
      <w:r>
        <w:t xml:space="preserve"> </w:t>
      </w:r>
      <w:hyperlink r:id="rId74">
        <w:r>
          <w:rPr>
            <w:rStyle w:val="Hyperlink"/>
          </w:rPr>
          <w:t xml:space="preserve">[75]</w:t>
        </w:r>
      </w:hyperlink>
      <w:r>
        <w:t xml:space="preserve"> </w:t>
      </w:r>
      <w:hyperlink r:id="rId24">
        <w:r>
          <w:rPr>
            <w:rStyle w:val="Hyperlink"/>
          </w:rPr>
          <w:t xml:space="preserve">[76]</w:t>
        </w:r>
      </w:hyperlink>
      <w:r>
        <w:t xml:space="preserve"> </w:t>
      </w:r>
      <w:hyperlink r:id="rId25">
        <w:r>
          <w:rPr>
            <w:rStyle w:val="Hyperlink"/>
          </w:rPr>
          <w:t xml:space="preserve">[77]</w:t>
        </w:r>
      </w:hyperlink>
      <w:r>
        <w:t xml:space="preserve"> </w:t>
      </w:r>
      <w:hyperlink r:id="rId24">
        <w:r>
          <w:rPr>
            <w:rStyle w:val="Hyperlink"/>
          </w:rPr>
          <w:t xml:space="preserve">[79]</w:t>
        </w:r>
      </w:hyperlink>
      <w:r>
        <w:t xml:space="preserve"> </w:t>
      </w:r>
      <w:hyperlink r:id="rId37">
        <w:r>
          <w:rPr>
            <w:rStyle w:val="Hyperlink"/>
          </w:rPr>
          <w:t xml:space="preserve">[80]</w:t>
        </w:r>
      </w:hyperlink>
      <w:r>
        <w:t xml:space="preserve"> </w:t>
      </w:r>
      <w:r>
        <w:t xml:space="preserve">rongorongo_lexicon_MASTER_2025-09-25.json</w:t>
      </w:r>
    </w:p>
    <w:p>
      <w:pPr>
        <w:pStyle w:val="BodyText"/>
      </w:pPr>
      <w:hyperlink r:id="rId81">
        <w:r>
          <w:rPr>
            <w:rStyle w:val="Hyperlink"/>
          </w:rPr>
          <w:t xml:space="preserve">file://file-EKFBHRihh6xQJcexArYFzA</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r>
        <w:t xml:space="preserve">Enhanced_Multi_Meaning_Rongorongo_Lexicon.json</w:t>
      </w:r>
    </w:p>
    <w:p>
      <w:pPr>
        <w:pStyle w:val="BodyText"/>
      </w:pPr>
      <w:hyperlink r:id="rId82">
        <w:r>
          <w:rPr>
            <w:rStyle w:val="Hyperlink"/>
          </w:rPr>
          <w:t xml:space="preserve">file://file-BanF5Y42JjLkGxqqXQyuTH</w:t>
        </w:r>
      </w:hyperlink>
    </w:p>
    <w:p>
      <w:pPr>
        <w:pStyle w:val="BodyText"/>
      </w:pPr>
      <w:hyperlink r:id="rId76">
        <w:r>
          <w:rPr>
            <w:rStyle w:val="Hyperlink"/>
          </w:rPr>
          <w:t xml:space="preserve">[78]</w:t>
        </w:r>
      </w:hyperlink>
      <w:r>
        <w:t xml:space="preserve"> </w:t>
      </w:r>
      <w:r>
        <w:t xml:space="preserve">rongorongomethodology.md</w:t>
      </w:r>
    </w:p>
    <w:p>
      <w:pPr>
        <w:pStyle w:val="BodyText"/>
      </w:pPr>
      <w:hyperlink r:id="rId83">
        <w:r>
          <w:rPr>
            <w:rStyle w:val="Hyperlink"/>
          </w:rPr>
          <w:t xml:space="preserve">file://file-LM2H5HzQttYoujz2UW9t7P</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BanF5Y42JjLkGxqqXQyuTH" TargetMode="External" /><Relationship Type="http://schemas.openxmlformats.org/officeDocument/2006/relationships/hyperlink" Id="rId23" Target="file://file-BanF5Y42JjLkGxqqXQyuTH#:~:text=,individual%20glyphs%20and%20structural%20elements" TargetMode="External" /><Relationship Type="http://schemas.openxmlformats.org/officeDocument/2006/relationships/hyperlink" Id="rId81" Target="file://file-EKFBHRihh6xQJcexArYFzA" TargetMode="External" /><Relationship Type="http://schemas.openxmlformats.org/officeDocument/2006/relationships/hyperlink" Id="rId66" Target="file://file-EKFBHRihh6xQJcexArYFzA#:~:text=%22A%20variant%20turtle%20glyph%20%28side,sea%20or%20myth%20contexts" TargetMode="External" /><Relationship Type="http://schemas.openxmlformats.org/officeDocument/2006/relationships/hyperlink" Id="rId59" Target="file://file-EKFBHRihh6xQJcexArYFzA#:~:text=%22Combined%20human,%E2%80%93%20August%20Research" TargetMode="External" /><Relationship Type="http://schemas.openxmlformats.org/officeDocument/2006/relationships/hyperlink" Id="rId64" Target="file://file-EKFBHRihh6xQJcexArYFzA#:~:text=%22Combined%20human,Man%20of%20Orongo%20ceremonies" TargetMode="External" /><Relationship Type="http://schemas.openxmlformats.org/officeDocument/2006/relationships/hyperlink" Id="rId63" Target="file://file-EKFBHRihh6xQJcexArYFzA#:~:text=%22Combined%20human,tangata%20manu" TargetMode="External" /><Relationship Type="http://schemas.openxmlformats.org/officeDocument/2006/relationships/hyperlink" Id="rId40" Target="file://file-EKFBHRihh6xQJcexArYFzA#:~:text=%22Multi,as%20plural%20or%20collective%20marker" TargetMode="External" /><Relationship Type="http://schemas.openxmlformats.org/officeDocument/2006/relationships/hyperlink" Id="rId39" Target="file://file-EKFBHRihh6xQJcexArYFzA#:~:text=%22Multi,similar%20to%20Elamite%20plural%20suffix" TargetMode="External" /><Relationship Type="http://schemas.openxmlformats.org/officeDocument/2006/relationships/hyperlink" Id="rId70" Target="file://file-EKFBHRihh6xQJcexArYFzA#:~:text=%22Non,use%20of%20determinatives%20or%20punctuation" TargetMode="External" /><Relationship Type="http://schemas.openxmlformats.org/officeDocument/2006/relationships/hyperlink" Id="rId47" Target="file://file-EKFBHRihh6xQJcexArYFzA#:~:text=%22Slim%2C%20plume,%5D" TargetMode="External" /><Relationship Type="http://schemas.openxmlformats.org/officeDocument/2006/relationships/hyperlink" Id="rId74" Target="file://file-EKFBHRihh6xQJcexArYFzA#:~:text=%22Updated%20interpretation%2C%20status%3A%20confirmed%3B%20Punctuation,role%20as%20a%20separator%20akin" TargetMode="External" /><Relationship Type="http://schemas.openxmlformats.org/officeDocument/2006/relationships/hyperlink" Id="rId38" Target="file://file-EKFBHRihh6xQJcexArYFzA#:~:text=%5D%2C%20%22notes%22%3A%20%5B%20%22Multi,when%20combined%20with%20other%20glyphs" TargetMode="External" /><Relationship Type="http://schemas.openxmlformats.org/officeDocument/2006/relationships/hyperlink" Id="rId37" Target="file://file-EKFBHRihh6xQJcexArYFzA#:~:text=%5D%2C%20," TargetMode="External" /><Relationship Type="http://schemas.openxmlformats.org/officeDocument/2006/relationships/hyperlink" Id="rId30" Target="file://file-EKFBHRihh6xQJcexArYFzA#:~:text=%5D%2C%20,genealogical%20contexts%20and%20social%20hierarchies" TargetMode="External" /><Relationship Type="http://schemas.openxmlformats.org/officeDocument/2006/relationships/hyperlink" Id="rId67" Target="file://file-EKFBHRihh6xQJcexArYFzA#:~:text=%7B%20,he%27e" TargetMode="External" /><Relationship Type="http://schemas.openxmlformats.org/officeDocument/2006/relationships/hyperlink" Id="rId22" Target="file://file-EKFBHRihh6xQJcexArYFzA#:~:text=%7B%20,lexical" TargetMode="External" /><Relationship Type="http://schemas.openxmlformats.org/officeDocument/2006/relationships/hyperlink" Id="rId24" Target="file://file-EKFBHRihh6xQJcexArYFzA#:~:text=," TargetMode="External" /><Relationship Type="http://schemas.openxmlformats.org/officeDocument/2006/relationships/hyperlink" Id="rId46" Target="file://file-EKFBHRihh6xQJcexArYFzA#:~:text=,%E2%80%93%20August%20Research" TargetMode="External" /><Relationship Type="http://schemas.openxmlformats.org/officeDocument/2006/relationships/hyperlink" Id="rId73" Target="file://file-EKFBHRihh6xQJcexArYFzA#:~:text=,103%20such%20dividers" TargetMode="External" /><Relationship Type="http://schemas.openxmlformats.org/officeDocument/2006/relationships/hyperlink" Id="rId34" Target="file://file-EKFBHRihh6xQJcexArYFzA#:~:text=,Horizontal%20line%20representing%20oral" TargetMode="External" /><Relationship Type="http://schemas.openxmlformats.org/officeDocument/2006/relationships/hyperlink" Id="rId48" Target="file://file-EKFBHRihh6xQJcexArYFzA#:~:text=,Lackadaisical%20Security%20%28Operator" TargetMode="External" /><Relationship Type="http://schemas.openxmlformats.org/officeDocument/2006/relationships/hyperlink" Id="rId60" Target="file://file-EKFBHRihh6xQJcexArYFzA#:~:text=,Man%20of%20Orongo" TargetMode="External" /><Relationship Type="http://schemas.openxmlformats.org/officeDocument/2006/relationships/hyperlink" Id="rId28" Target="file://file-EKFBHRihh6xQJcexArYFzA#:~:text=,Meaning" TargetMode="External" /><Relationship Type="http://schemas.openxmlformats.org/officeDocument/2006/relationships/hyperlink" Id="rId61" Target="file://file-EKFBHRihh6xQJcexArYFzA#:~:text=,Nui%20religious%20and%20ceremonial%20traditions" TargetMode="External" /><Relationship Type="http://schemas.openxmlformats.org/officeDocument/2006/relationships/hyperlink" Id="rId33" Target="file://file-EKFBHRihh6xQJcexArYFzA#:~:text=,Oval%20with%20central%20dot" TargetMode="External" /><Relationship Type="http://schemas.openxmlformats.org/officeDocument/2006/relationships/hyperlink" Id="rId45" Target="file://file-EKFBHRihh6xQJcexArYFzA#:~:text=,Represents%20sand" TargetMode="External" /><Relationship Type="http://schemas.openxmlformats.org/officeDocument/2006/relationships/hyperlink" Id="rId36" Target="file://file-EKFBHRihh6xQJcexArYFzA#:~:text=,action%20derived%20from%20arm%20movement" TargetMode="External" /><Relationship Type="http://schemas.openxmlformats.org/officeDocument/2006/relationships/hyperlink" Id="rId49" Target="file://file-EKFBHRihh6xQJcexArYFzA#:~:text=,as%20night%20marker%20in%20lunar" TargetMode="External" /><Relationship Type="http://schemas.openxmlformats.org/officeDocument/2006/relationships/hyperlink" Id="rId42" Target="file://file-EKFBHRihh6xQJcexArYFzA#:~:text=,child%2Fdescendant%20%28poki%29%3B%20possibly%20Mahaki" TargetMode="External" /><Relationship Type="http://schemas.openxmlformats.org/officeDocument/2006/relationships/hyperlink" Id="rId51" Target="file://file-EKFBHRihh6xQJcexArYFzA#:~:text=,clan%20totem%20and%20sacred%20symbol" TargetMode="External" /><Relationship Type="http://schemas.openxmlformats.org/officeDocument/2006/relationships/hyperlink" Id="rId55" Target="file://file-EKFBHRihh6xQJcexArYFzA#:~:text=,dangerous%27%20%28kino%29%20threat%20level" TargetMode="External" /><Relationship Type="http://schemas.openxmlformats.org/officeDocument/2006/relationships/hyperlink" Id="rId71" Target="file://file-EKFBHRihh6xQJcexArYFzA#:~:text=,delineating%20clauses%20or%20genealogical%20entries" TargetMode="External" /><Relationship Type="http://schemas.openxmlformats.org/officeDocument/2006/relationships/hyperlink" Id="rId35" Target="file://file-EKFBHRihh6xQJcexArYFzA#:~:text=,for%20verbal%20action%20and%20linguistic" TargetMode="External" /><Relationship Type="http://schemas.openxmlformats.org/officeDocument/2006/relationships/hyperlink" Id="rId27" Target="file://file-EKFBHRihh6xQJcexArYFzA#:~:text=,genealogical%20contexts%20and%20social%20hierarchies" TargetMode="External" /><Relationship Type="http://schemas.openxmlformats.org/officeDocument/2006/relationships/hyperlink" Id="rId53" Target="file://file-EKFBHRihh6xQJcexArYFzA#:~:text=,glyph%20600%20by%20cultural%20significance" TargetMode="External" /><Relationship Type="http://schemas.openxmlformats.org/officeDocument/2006/relationships/hyperlink" Id="rId72" Target="file://file-EKFBHRihh6xQJcexArYFzA#:~:text=,lexical%29%22%2C%20%22section%20divider%2C%20punctuation" TargetMode="External" /><Relationship Type="http://schemas.openxmlformats.org/officeDocument/2006/relationships/hyperlink" Id="rId21" Target="file://file-EKFBHRihh6xQJcexArYFzA#:~:text=,or%20default%20author%20if%20absent" TargetMode="External" /><Relationship Type="http://schemas.openxmlformats.org/officeDocument/2006/relationships/hyperlink" Id="rId25" Target="file://file-EKFBHRihh6xQJcexArYFzA#:~:text=,or%20is%20referenced%20in%20corrections" TargetMode="External" /><Relationship Type="http://schemas.openxmlformats.org/officeDocument/2006/relationships/hyperlink" Id="rId31" Target="file://file-EKFBHRihh6xQJcexArYFzA#:~:text=,representing%20both%20physical%20head%20and" TargetMode="External" /><Relationship Type="http://schemas.openxmlformats.org/officeDocument/2006/relationships/hyperlink" Id="rId32" Target="file://file-EKFBHRihh6xQJcexArYFzA#:~:text=,representing%20visual%20perception%20and%20awareness" TargetMode="External" /><Relationship Type="http://schemas.openxmlformats.org/officeDocument/2006/relationships/hyperlink" Id="rId50" Target="file://file-EKFBHRihh6xQJcexArYFzA#:~:text=,rere%29%20movement" TargetMode="External" /><Relationship Type="http://schemas.openxmlformats.org/officeDocument/2006/relationships/hyperlink" Id="rId44" Target="file://file-EKFBHRihh6xQJcexArYFzA#:~:text=,star%27%20%28hetu%27u%29%20alternative" TargetMode="External" /><Relationship Type="http://schemas.openxmlformats.org/officeDocument/2006/relationships/hyperlink" Id="rId69" Target="file://file-EKFBHRihh6xQJcexArYFzA#:~:text=,textual_organization" TargetMode="External" /><Relationship Type="http://schemas.openxmlformats.org/officeDocument/2006/relationships/hyperlink" Id="rId43" Target="file://file-EKFBHRihh6xQJcexArYFzA#:~:text=,young%20person" TargetMode="External" /><Relationship Type="http://schemas.openxmlformats.org/officeDocument/2006/relationships/hyperlink" Id="rId52" Target="file://file-EKFBHRihh6xQJcexArYFzA#:~:text=chants%20or%20descriptions%20of%20festivals.," TargetMode="External" /><Relationship Type="http://schemas.openxmlformats.org/officeDocument/2006/relationships/hyperlink" Id="rId62" Target="file://file-EKFBHRihh6xQJcexArYFzA#:~:text=match%20at%20L11785%20,multiple%20birds%2C%20group%20flying%20together" TargetMode="External" /><Relationship Type="http://schemas.openxmlformats.org/officeDocument/2006/relationships/hyperlink" Id="rId29" Target="file://file-EKFBHRihh6xQJcexArYFzA#:~:text=meanings%3AcontentReference%5Boaicite%3A113%5D%7Bindex%3D113%7D.%20Literal%20%27fish%27%20%28,interpretation%2C%20status%3A%20ambiguous%2Fpolysemic%3B%20Fish%20pictograph" TargetMode="External" /><Relationship Type="http://schemas.openxmlformats.org/officeDocument/2006/relationships/hyperlink" Id="rId54" Target="file://file-EKFBHRihh6xQJcexArYFzA#:~:text=with%20dual%20meanings%3A%20%27fish%27%20,between%20food%20and%20sacrificial%20victim" TargetMode="External" /><Relationship Type="http://schemas.openxmlformats.org/officeDocument/2006/relationships/hyperlink" Id="rId41" Target="file://file-EKFBHRihh6xQJcexArYFzA#:~:text=with%20other%20glyphs.%20Cross,glyph%20used%20as%20plural%20or" TargetMode="External" /><Relationship Type="http://schemas.openxmlformats.org/officeDocument/2006/relationships/hyperlink" Id="rId83" Target="file://file-LM2H5HzQttYoujz2UW9t7P" TargetMode="External" /><Relationship Type="http://schemas.openxmlformats.org/officeDocument/2006/relationships/hyperlink" Id="rId76" Target="file://file-LM2H5HzQttYoujz2UW9t7P#:~:text=,not%20forced" TargetMode="External" /></Relationships>
</file>

<file path=word/_rels/footnotes.xml.rels><?xml version="1.0" encoding="UTF-8"?><Relationships xmlns="http://schemas.openxmlformats.org/package/2006/relationships"><Relationship Type="http://schemas.openxmlformats.org/officeDocument/2006/relationships/hyperlink" Id="rId82" Target="file://file-BanF5Y42JjLkGxqqXQyuTH" TargetMode="External" /><Relationship Type="http://schemas.openxmlformats.org/officeDocument/2006/relationships/hyperlink" Id="rId23" Target="file://file-BanF5Y42JjLkGxqqXQyuTH#:~:text=,individual%20glyphs%20and%20structural%20elements" TargetMode="External" /><Relationship Type="http://schemas.openxmlformats.org/officeDocument/2006/relationships/hyperlink" Id="rId81" Target="file://file-EKFBHRihh6xQJcexArYFzA" TargetMode="External" /><Relationship Type="http://schemas.openxmlformats.org/officeDocument/2006/relationships/hyperlink" Id="rId66" Target="file://file-EKFBHRihh6xQJcexArYFzA#:~:text=%22A%20variant%20turtle%20glyph%20%28side,sea%20or%20myth%20contexts" TargetMode="External" /><Relationship Type="http://schemas.openxmlformats.org/officeDocument/2006/relationships/hyperlink" Id="rId59" Target="file://file-EKFBHRihh6xQJcexArYFzA#:~:text=%22Combined%20human,%E2%80%93%20August%20Research" TargetMode="External" /><Relationship Type="http://schemas.openxmlformats.org/officeDocument/2006/relationships/hyperlink" Id="rId64" Target="file://file-EKFBHRihh6xQJcexArYFzA#:~:text=%22Combined%20human,Man%20of%20Orongo%20ceremonies" TargetMode="External" /><Relationship Type="http://schemas.openxmlformats.org/officeDocument/2006/relationships/hyperlink" Id="rId63" Target="file://file-EKFBHRihh6xQJcexArYFzA#:~:text=%22Combined%20human,tangata%20manu" TargetMode="External" /><Relationship Type="http://schemas.openxmlformats.org/officeDocument/2006/relationships/hyperlink" Id="rId40" Target="file://file-EKFBHRihh6xQJcexArYFzA#:~:text=%22Multi,as%20plural%20or%20collective%20marker" TargetMode="External" /><Relationship Type="http://schemas.openxmlformats.org/officeDocument/2006/relationships/hyperlink" Id="rId39" Target="file://file-EKFBHRihh6xQJcexArYFzA#:~:text=%22Multi,similar%20to%20Elamite%20plural%20suffix" TargetMode="External" /><Relationship Type="http://schemas.openxmlformats.org/officeDocument/2006/relationships/hyperlink" Id="rId70" Target="file://file-EKFBHRihh6xQJcexArYFzA#:~:text=%22Non,use%20of%20determinatives%20or%20punctuation" TargetMode="External" /><Relationship Type="http://schemas.openxmlformats.org/officeDocument/2006/relationships/hyperlink" Id="rId47" Target="file://file-EKFBHRihh6xQJcexArYFzA#:~:text=%22Slim%2C%20plume,%5D" TargetMode="External" /><Relationship Type="http://schemas.openxmlformats.org/officeDocument/2006/relationships/hyperlink" Id="rId74" Target="file://file-EKFBHRihh6xQJcexArYFzA#:~:text=%22Updated%20interpretation%2C%20status%3A%20confirmed%3B%20Punctuation,role%20as%20a%20separator%20akin" TargetMode="External" /><Relationship Type="http://schemas.openxmlformats.org/officeDocument/2006/relationships/hyperlink" Id="rId38" Target="file://file-EKFBHRihh6xQJcexArYFzA#:~:text=%5D%2C%20%22notes%22%3A%20%5B%20%22Multi,when%20combined%20with%20other%20glyphs" TargetMode="External" /><Relationship Type="http://schemas.openxmlformats.org/officeDocument/2006/relationships/hyperlink" Id="rId37" Target="file://file-EKFBHRihh6xQJcexArYFzA#:~:text=%5D%2C%20," TargetMode="External" /><Relationship Type="http://schemas.openxmlformats.org/officeDocument/2006/relationships/hyperlink" Id="rId30" Target="file://file-EKFBHRihh6xQJcexArYFzA#:~:text=%5D%2C%20,genealogical%20contexts%20and%20social%20hierarchies" TargetMode="External" /><Relationship Type="http://schemas.openxmlformats.org/officeDocument/2006/relationships/hyperlink" Id="rId67" Target="file://file-EKFBHRihh6xQJcexArYFzA#:~:text=%7B%20,he%27e" TargetMode="External" /><Relationship Type="http://schemas.openxmlformats.org/officeDocument/2006/relationships/hyperlink" Id="rId22" Target="file://file-EKFBHRihh6xQJcexArYFzA#:~:text=%7B%20,lexical" TargetMode="External" /><Relationship Type="http://schemas.openxmlformats.org/officeDocument/2006/relationships/hyperlink" Id="rId24" Target="file://file-EKFBHRihh6xQJcexArYFzA#:~:text=," TargetMode="External" /><Relationship Type="http://schemas.openxmlformats.org/officeDocument/2006/relationships/hyperlink" Id="rId46" Target="file://file-EKFBHRihh6xQJcexArYFzA#:~:text=,%E2%80%93%20August%20Research" TargetMode="External" /><Relationship Type="http://schemas.openxmlformats.org/officeDocument/2006/relationships/hyperlink" Id="rId73" Target="file://file-EKFBHRihh6xQJcexArYFzA#:~:text=,103%20such%20dividers" TargetMode="External" /><Relationship Type="http://schemas.openxmlformats.org/officeDocument/2006/relationships/hyperlink" Id="rId34" Target="file://file-EKFBHRihh6xQJcexArYFzA#:~:text=,Horizontal%20line%20representing%20oral" TargetMode="External" /><Relationship Type="http://schemas.openxmlformats.org/officeDocument/2006/relationships/hyperlink" Id="rId48" Target="file://file-EKFBHRihh6xQJcexArYFzA#:~:text=,Lackadaisical%20Security%20%28Operator" TargetMode="External" /><Relationship Type="http://schemas.openxmlformats.org/officeDocument/2006/relationships/hyperlink" Id="rId60" Target="file://file-EKFBHRihh6xQJcexArYFzA#:~:text=,Man%20of%20Orongo" TargetMode="External" /><Relationship Type="http://schemas.openxmlformats.org/officeDocument/2006/relationships/hyperlink" Id="rId28" Target="file://file-EKFBHRihh6xQJcexArYFzA#:~:text=,Meaning" TargetMode="External" /><Relationship Type="http://schemas.openxmlformats.org/officeDocument/2006/relationships/hyperlink" Id="rId61" Target="file://file-EKFBHRihh6xQJcexArYFzA#:~:text=,Nui%20religious%20and%20ceremonial%20traditions" TargetMode="External" /><Relationship Type="http://schemas.openxmlformats.org/officeDocument/2006/relationships/hyperlink" Id="rId33" Target="file://file-EKFBHRihh6xQJcexArYFzA#:~:text=,Oval%20with%20central%20dot" TargetMode="External" /><Relationship Type="http://schemas.openxmlformats.org/officeDocument/2006/relationships/hyperlink" Id="rId45" Target="file://file-EKFBHRihh6xQJcexArYFzA#:~:text=,Represents%20sand" TargetMode="External" /><Relationship Type="http://schemas.openxmlformats.org/officeDocument/2006/relationships/hyperlink" Id="rId36" Target="file://file-EKFBHRihh6xQJcexArYFzA#:~:text=,action%20derived%20from%20arm%20movement" TargetMode="External" /><Relationship Type="http://schemas.openxmlformats.org/officeDocument/2006/relationships/hyperlink" Id="rId49" Target="file://file-EKFBHRihh6xQJcexArYFzA#:~:text=,as%20night%20marker%20in%20lunar" TargetMode="External" /><Relationship Type="http://schemas.openxmlformats.org/officeDocument/2006/relationships/hyperlink" Id="rId42" Target="file://file-EKFBHRihh6xQJcexArYFzA#:~:text=,child%2Fdescendant%20%28poki%29%3B%20possibly%20Mahaki" TargetMode="External" /><Relationship Type="http://schemas.openxmlformats.org/officeDocument/2006/relationships/hyperlink" Id="rId51" Target="file://file-EKFBHRihh6xQJcexArYFzA#:~:text=,clan%20totem%20and%20sacred%20symbol" TargetMode="External" /><Relationship Type="http://schemas.openxmlformats.org/officeDocument/2006/relationships/hyperlink" Id="rId55" Target="file://file-EKFBHRihh6xQJcexArYFzA#:~:text=,dangerous%27%20%28kino%29%20threat%20level" TargetMode="External" /><Relationship Type="http://schemas.openxmlformats.org/officeDocument/2006/relationships/hyperlink" Id="rId71" Target="file://file-EKFBHRihh6xQJcexArYFzA#:~:text=,delineating%20clauses%20or%20genealogical%20entries" TargetMode="External" /><Relationship Type="http://schemas.openxmlformats.org/officeDocument/2006/relationships/hyperlink" Id="rId35" Target="file://file-EKFBHRihh6xQJcexArYFzA#:~:text=,for%20verbal%20action%20and%20linguistic" TargetMode="External" /><Relationship Type="http://schemas.openxmlformats.org/officeDocument/2006/relationships/hyperlink" Id="rId27" Target="file://file-EKFBHRihh6xQJcexArYFzA#:~:text=,genealogical%20contexts%20and%20social%20hierarchies" TargetMode="External" /><Relationship Type="http://schemas.openxmlformats.org/officeDocument/2006/relationships/hyperlink" Id="rId53" Target="file://file-EKFBHRihh6xQJcexArYFzA#:~:text=,glyph%20600%20by%20cultural%20significance" TargetMode="External" /><Relationship Type="http://schemas.openxmlformats.org/officeDocument/2006/relationships/hyperlink" Id="rId72" Target="file://file-EKFBHRihh6xQJcexArYFzA#:~:text=,lexical%29%22%2C%20%22section%20divider%2C%20punctuation" TargetMode="External" /><Relationship Type="http://schemas.openxmlformats.org/officeDocument/2006/relationships/hyperlink" Id="rId21" Target="file://file-EKFBHRihh6xQJcexArYFzA#:~:text=,or%20default%20author%20if%20absent" TargetMode="External" /><Relationship Type="http://schemas.openxmlformats.org/officeDocument/2006/relationships/hyperlink" Id="rId25" Target="file://file-EKFBHRihh6xQJcexArYFzA#:~:text=,or%20is%20referenced%20in%20corrections" TargetMode="External" /><Relationship Type="http://schemas.openxmlformats.org/officeDocument/2006/relationships/hyperlink" Id="rId31" Target="file://file-EKFBHRihh6xQJcexArYFzA#:~:text=,representing%20both%20physical%20head%20and" TargetMode="External" /><Relationship Type="http://schemas.openxmlformats.org/officeDocument/2006/relationships/hyperlink" Id="rId32" Target="file://file-EKFBHRihh6xQJcexArYFzA#:~:text=,representing%20visual%20perception%20and%20awareness" TargetMode="External" /><Relationship Type="http://schemas.openxmlformats.org/officeDocument/2006/relationships/hyperlink" Id="rId50" Target="file://file-EKFBHRihh6xQJcexArYFzA#:~:text=,rere%29%20movement" TargetMode="External" /><Relationship Type="http://schemas.openxmlformats.org/officeDocument/2006/relationships/hyperlink" Id="rId44" Target="file://file-EKFBHRihh6xQJcexArYFzA#:~:text=,star%27%20%28hetu%27u%29%20alternative" TargetMode="External" /><Relationship Type="http://schemas.openxmlformats.org/officeDocument/2006/relationships/hyperlink" Id="rId69" Target="file://file-EKFBHRihh6xQJcexArYFzA#:~:text=,textual_organization" TargetMode="External" /><Relationship Type="http://schemas.openxmlformats.org/officeDocument/2006/relationships/hyperlink" Id="rId43" Target="file://file-EKFBHRihh6xQJcexArYFzA#:~:text=,young%20person" TargetMode="External" /><Relationship Type="http://schemas.openxmlformats.org/officeDocument/2006/relationships/hyperlink" Id="rId52" Target="file://file-EKFBHRihh6xQJcexArYFzA#:~:text=chants%20or%20descriptions%20of%20festivals.," TargetMode="External" /><Relationship Type="http://schemas.openxmlformats.org/officeDocument/2006/relationships/hyperlink" Id="rId62" Target="file://file-EKFBHRihh6xQJcexArYFzA#:~:text=match%20at%20L11785%20,multiple%20birds%2C%20group%20flying%20together" TargetMode="External" /><Relationship Type="http://schemas.openxmlformats.org/officeDocument/2006/relationships/hyperlink" Id="rId29" Target="file://file-EKFBHRihh6xQJcexArYFzA#:~:text=meanings%3AcontentReference%5Boaicite%3A113%5D%7Bindex%3D113%7D.%20Literal%20%27fish%27%20%28,interpretation%2C%20status%3A%20ambiguous%2Fpolysemic%3B%20Fish%20pictograph" TargetMode="External" /><Relationship Type="http://schemas.openxmlformats.org/officeDocument/2006/relationships/hyperlink" Id="rId54" Target="file://file-EKFBHRihh6xQJcexArYFzA#:~:text=with%20dual%20meanings%3A%20%27fish%27%20,between%20food%20and%20sacrificial%20victim" TargetMode="External" /><Relationship Type="http://schemas.openxmlformats.org/officeDocument/2006/relationships/hyperlink" Id="rId41" Target="file://file-EKFBHRihh6xQJcexArYFzA#:~:text=with%20other%20glyphs.%20Cross,glyph%20used%20as%20plural%20or" TargetMode="External" /><Relationship Type="http://schemas.openxmlformats.org/officeDocument/2006/relationships/hyperlink" Id="rId83" Target="file://file-LM2H5HzQttYoujz2UW9t7P" TargetMode="External" /><Relationship Type="http://schemas.openxmlformats.org/officeDocument/2006/relationships/hyperlink" Id="rId76" Target="file://file-LM2H5HzQttYoujz2UW9t7P#:~:text=,not%20forc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2025-12-20T22:11:47Z</dcterms:created>
  <dcterms:modified xsi:type="dcterms:W3CDTF">2025-12-20T22:11:47Z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