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2" w:name="content"/>
    <w:bookmarkStart w:id="61" w:name="X5e58b5b7b93c2d525d95c0148e0ec9371515338"/>
    <w:p>
      <w:pPr>
        <w:pStyle w:val="Heading1"/>
      </w:pPr>
      <w:r>
        <w:t xml:space="preserve">Phase 6.2: Multi-Method Analysis of Tablet E (Keiti) and Tablet G (Small Santiago)</w:t>
      </w:r>
    </w:p>
    <w:bookmarkStart w:id="41" w:name="Xf9ee2652c931f5df786d29b32667d881c141e55"/>
    <w:p>
      <w:pPr>
        <w:pStyle w:val="Heading2"/>
      </w:pPr>
      <w:r>
        <w:t xml:space="preserve">Tablet E (Keiti) – Comprehensive Multi-Method Analysis</w:t>
      </w:r>
    </w:p>
    <w:p>
      <w:pPr>
        <w:pStyle w:val="FirstParagraph"/>
      </w:pPr>
      <w:r>
        <w:rPr>
          <w:i/>
          <w:iCs/>
        </w:rPr>
        <w:t xml:space="preserve">Recto of Tablet E (Keiti), showing nine lines of rongorongo glyphs.</w:t>
      </w:r>
      <w:r>
        <w:t xml:space="preserve"> </w:t>
      </w:r>
      <w:r>
        <w:t xml:space="preserve">Tablet E (Keiti) consists of nine lines of glyphs on the recto and eight on the verso (approximately 880 glyphs in total)</w:t>
      </w:r>
      <w:hyperlink r:id="rId21">
        <w:r>
          <w:rPr>
            <w:rStyle w:val="Hyperlink"/>
          </w:rPr>
          <w:t xml:space="preserve">[1]</w:t>
        </w:r>
      </w:hyperlink>
      <w:r>
        <w:t xml:space="preserve">. From a structural perspective, Keiti’s text is highly patterned and repetitive, suggesting it encodes an</w:t>
      </w:r>
      <w:r>
        <w:t xml:space="preserve"> </w:t>
      </w:r>
      <w:r>
        <w:rPr>
          <w:b/>
          <w:bCs/>
        </w:rPr>
        <w:t xml:space="preserve">organized sequence</w:t>
      </w:r>
      <w:r>
        <w:t xml:space="preserve"> </w:t>
      </w:r>
      <w:r>
        <w:t xml:space="preserve">(rather than a free narrative). Researchers have noted the presence of</w:t>
      </w:r>
      <w:r>
        <w:t xml:space="preserve"> </w:t>
      </w:r>
      <w:r>
        <w:rPr>
          <w:b/>
          <w:bCs/>
        </w:rPr>
        <w:t xml:space="preserve">repeating glyph clusters and regular counts</w:t>
      </w:r>
      <w:r>
        <w:t xml:space="preserve"> </w:t>
      </w:r>
      <w:r>
        <w:t xml:space="preserve">on this tablet, pointing to a possible calendrical or astronomical content</w:t>
      </w:r>
      <w:hyperlink r:id="rId22">
        <w:r>
          <w:rPr>
            <w:rStyle w:val="Hyperlink"/>
          </w:rPr>
          <w:t xml:space="preserve">[2]</w:t>
        </w:r>
      </w:hyperlink>
      <w:hyperlink r:id="rId23">
        <w:r>
          <w:rPr>
            <w:rStyle w:val="Hyperlink"/>
          </w:rPr>
          <w:t xml:space="preserve">[3]</w:t>
        </w:r>
      </w:hyperlink>
      <w:r>
        <w:t xml:space="preserve">. In particular, certain sequences on Keiti recur in a systematic way – an indicator of</w:t>
      </w:r>
      <w:r>
        <w:t xml:space="preserve"> </w:t>
      </w:r>
      <w:r>
        <w:rPr>
          <w:i/>
          <w:iCs/>
        </w:rPr>
        <w:t xml:space="preserve">formulaic</w:t>
      </w:r>
      <w:r>
        <w:t xml:space="preserve"> </w:t>
      </w:r>
      <w:r>
        <w:t xml:space="preserve">or</w:t>
      </w:r>
      <w:r>
        <w:t xml:space="preserve"> </w:t>
      </w:r>
      <w:r>
        <w:rPr>
          <w:i/>
          <w:iCs/>
        </w:rPr>
        <w:t xml:space="preserve">list-like</w:t>
      </w:r>
      <w:r>
        <w:t xml:space="preserve"> </w:t>
      </w:r>
      <w:r>
        <w:t xml:space="preserve">content rather than a purely prose text. Below we break down the evidence from cross-correlation, internal clustering, and cultural context that converge on a</w:t>
      </w:r>
      <w:r>
        <w:t xml:space="preserve"> </w:t>
      </w:r>
      <w:r>
        <w:rPr>
          <w:b/>
          <w:bCs/>
        </w:rPr>
        <w:t xml:space="preserve">lunar calendar interpretation</w:t>
      </w:r>
      <w:r>
        <w:t xml:space="preserve"> </w:t>
      </w:r>
      <w:r>
        <w:t xml:space="preserve">for Tablet E.</w:t>
      </w:r>
    </w:p>
    <w:p>
      <w:pPr>
        <w:numPr>
          <w:ilvl w:val="0"/>
          <w:numId w:val="1001"/>
        </w:numPr>
      </w:pPr>
      <w:r>
        <w:rPr>
          <w:b/>
          <w:bCs/>
        </w:rPr>
        <w:t xml:space="preserve">Structured Repetitive Sequences:</w:t>
      </w:r>
      <w:r>
        <w:t xml:space="preserve"> </w:t>
      </w:r>
      <w:r>
        <w:t xml:space="preserve">Analysis reveals that Keiti’s recto contains a core sequence of glyphs that is</w:t>
      </w:r>
      <w:r>
        <w:t xml:space="preserve"> </w:t>
      </w:r>
      <w:r>
        <w:rPr>
          <w:b/>
          <w:bCs/>
        </w:rPr>
        <w:t xml:space="preserve">repeated ten times</w:t>
      </w:r>
      <w:r>
        <w:t xml:space="preserve"> </w:t>
      </w:r>
      <w:r>
        <w:t xml:space="preserve">(with minor variations) across the lines</w:t>
      </w:r>
      <w:hyperlink r:id="rId24">
        <w:r>
          <w:rPr>
            <w:rStyle w:val="Hyperlink"/>
          </w:rPr>
          <w:t xml:space="preserve">[4]</w:t>
        </w:r>
      </w:hyperlink>
      <w:r>
        <w:t xml:space="preserve">. Each of these ten sequences (labeled “alpha 1–10” in some studies) has a nearly identical structure, strongly indicating a recurring unit of information</w:t>
      </w:r>
      <w:hyperlink r:id="rId25">
        <w:r>
          <w:rPr>
            <w:rStyle w:val="Hyperlink"/>
          </w:rPr>
          <w:t xml:space="preserve">[5]</w:t>
        </w:r>
      </w:hyperlink>
      <w:r>
        <w:t xml:space="preserve">. Notably, within each of these sequences a particular glyph (Barthel’s</w:t>
      </w:r>
      <w:r>
        <w:t xml:space="preserve"> </w:t>
      </w:r>
      <w:r>
        <w:rPr>
          <w:i/>
          <w:iCs/>
        </w:rPr>
        <w:t xml:space="preserve">sign 63</w:t>
      </w:r>
      <w:r>
        <w:t xml:space="preserve">, described as an “adze” shape by researchers) appears</w:t>
      </w:r>
      <w:r>
        <w:t xml:space="preserve"> </w:t>
      </w:r>
      <w:r>
        <w:rPr>
          <w:b/>
          <w:bCs/>
        </w:rPr>
        <w:t xml:space="preserve">31 times in total</w:t>
      </w:r>
      <w:r>
        <w:t xml:space="preserve"> </w:t>
      </w:r>
      <w:r>
        <w:t xml:space="preserve">on the recto</w:t>
      </w:r>
      <w:hyperlink r:id="rId22">
        <w:r>
          <w:rPr>
            <w:rStyle w:val="Hyperlink"/>
          </w:rPr>
          <w:t xml:space="preserve">[2]</w:t>
        </w:r>
      </w:hyperlink>
      <w:r>
        <w:t xml:space="preserve">. Thirty-one is a number immediately suggestive of a</w:t>
      </w:r>
      <w:r>
        <w:t xml:space="preserve"> </w:t>
      </w:r>
      <w:r>
        <w:rPr>
          <w:b/>
          <w:bCs/>
        </w:rPr>
        <w:t xml:space="preserve">monthly cycle</w:t>
      </w:r>
      <w:r>
        <w:t xml:space="preserve"> </w:t>
      </w:r>
      <w:r>
        <w:t xml:space="preserve">(as in the maximum days of a lunar month). Indeed, this</w:t>
      </w:r>
      <w:r>
        <w:t xml:space="preserve"> </w:t>
      </w:r>
      <w:r>
        <w:rPr>
          <w:i/>
          <w:iCs/>
        </w:rPr>
        <w:t xml:space="preserve">adze glyph</w:t>
      </w:r>
      <w:r>
        <w:t xml:space="preserve"> </w:t>
      </w:r>
      <w:r>
        <w:t xml:space="preserve">is repeated in a way analogous to how the Mamari tablet’s famous lunar calendar uses a repeated lozenge glyph (Barthel’s sign 2) to mark each night of the month</w:t>
      </w:r>
      <w:hyperlink r:id="rId22">
        <w:r>
          <w:rPr>
            <w:rStyle w:val="Hyperlink"/>
          </w:rPr>
          <w:t xml:space="preserve">[2]</w:t>
        </w:r>
      </w:hyperlink>
      <w:r>
        <w:t xml:space="preserve">. In Keiti, the 31 repetitions of glyph</w:t>
      </w:r>
      <w:r>
        <w:t xml:space="preserve"> </w:t>
      </w:r>
      <w:r>
        <w:rPr>
          <w:i/>
          <w:iCs/>
        </w:rPr>
        <w:t xml:space="preserve">63</w:t>
      </w:r>
      <w:r>
        <w:t xml:space="preserve"> </w:t>
      </w:r>
      <w:r>
        <w:t xml:space="preserve">in lines Er1–Er3 are grouped and separated by</w:t>
      </w:r>
      <w:r>
        <w:t xml:space="preserve"> </w:t>
      </w:r>
      <w:r>
        <w:rPr>
          <w:b/>
          <w:bCs/>
        </w:rPr>
        <w:t xml:space="preserve">“delimiters”</w:t>
      </w:r>
      <w:r>
        <w:t xml:space="preserve"> </w:t>
      </w:r>
      <w:r>
        <w:t xml:space="preserve">– special glyph compounds that act like section markers</w:t>
      </w:r>
      <w:hyperlink r:id="rId26">
        <w:r>
          <w:rPr>
            <w:rStyle w:val="Hyperlink"/>
          </w:rPr>
          <w:t xml:space="preserve">[6]</w:t>
        </w:r>
      </w:hyperlink>
      <w:r>
        <w:t xml:space="preserve">. There are six such delimiters, dividing the 31-night sequence into segments corresponding to the traditional lunar month structure (nights 1–15, then 16–31)</w:t>
      </w:r>
      <w:hyperlink r:id="rId26">
        <w:r>
          <w:rPr>
            <w:rStyle w:val="Hyperlink"/>
          </w:rPr>
          <w:t xml:space="preserve">[6]</w:t>
        </w:r>
      </w:hyperlink>
      <w:r>
        <w:t xml:space="preserve">. This mirrors the known pattern of the Rapa Nui lunar calendar, where months were conceptualized as two halves (waxing and waning moon) of about 15 nights each.</w:t>
      </w:r>
    </w:p>
    <w:p>
      <w:pPr>
        <w:numPr>
          <w:ilvl w:val="0"/>
          <w:numId w:val="1001"/>
        </w:numPr>
      </w:pPr>
      <w:r>
        <w:rPr>
          <w:b/>
          <w:bCs/>
        </w:rPr>
        <w:t xml:space="preserve">Cross-Tablet Correlations:</w:t>
      </w:r>
      <w:r>
        <w:t xml:space="preserve"> </w:t>
      </w:r>
      <w:r>
        <w:t xml:space="preserve">The repetitive 31-night sequence on Keiti was long thought to be unique, but cross-correlation shows it is</w:t>
      </w:r>
      <w:r>
        <w:t xml:space="preserve"> </w:t>
      </w:r>
      <w:r>
        <w:rPr>
          <w:i/>
          <w:iCs/>
        </w:rPr>
        <w:t xml:space="preserve">not an isolated quirk</w:t>
      </w:r>
      <w:r>
        <w:t xml:space="preserve">. Similar enumerations of ~30 glyphs appear on other rongorongo texts known or suspected to be calendrical. For example, the</w:t>
      </w:r>
      <w:r>
        <w:t xml:space="preserve"> </w:t>
      </w:r>
      <w:r>
        <w:rPr>
          <w:i/>
          <w:iCs/>
        </w:rPr>
        <w:t xml:space="preserve">Mamari tablet</w:t>
      </w:r>
      <w:r>
        <w:t xml:space="preserve"> </w:t>
      </w:r>
      <w:r>
        <w:t xml:space="preserve">(Text C) contains a well-documented list of 30 glyphs identified as a lunar calendar</w:t>
      </w:r>
      <w:hyperlink r:id="rId23">
        <w:r>
          <w:rPr>
            <w:rStyle w:val="Hyperlink"/>
          </w:rPr>
          <w:t xml:space="preserve">[3]</w:t>
        </w:r>
      </w:hyperlink>
      <w:r>
        <w:t xml:space="preserve">, and Keiti’s 31 “adze” glyphs appear to be an expanded variant of that system</w:t>
      </w:r>
      <w:hyperlink r:id="rId22">
        <w:r>
          <w:rPr>
            <w:rStyle w:val="Hyperlink"/>
          </w:rPr>
          <w:t xml:space="preserve">[2]</w:t>
        </w:r>
      </w:hyperlink>
      <w:r>
        <w:t xml:space="preserve">. Even more intriguingly, scholars have noted that</w:t>
      </w:r>
      <w:r>
        <w:t xml:space="preserve"> </w:t>
      </w:r>
      <w:r>
        <w:rPr>
          <w:b/>
          <w:bCs/>
        </w:rPr>
        <w:t xml:space="preserve">Tablet G and Tablet K</w:t>
      </w:r>
      <w:r>
        <w:t xml:space="preserve"> </w:t>
      </w:r>
      <w:r>
        <w:t xml:space="preserve">(discussed later) each contain</w:t>
      </w:r>
      <w:r>
        <w:t xml:space="preserve"> </w:t>
      </w:r>
      <w:r>
        <w:rPr>
          <w:i/>
          <w:iCs/>
        </w:rPr>
        <w:t xml:space="preserve">31 repeated section markers</w:t>
      </w:r>
      <w:r>
        <w:t xml:space="preserve"> </w:t>
      </w:r>
      <w:r>
        <w:t xml:space="preserve">as well</w:t>
      </w:r>
      <w:hyperlink r:id="rId22">
        <w:r>
          <w:rPr>
            <w:rStyle w:val="Hyperlink"/>
          </w:rPr>
          <w:t xml:space="preserve">[2]</w:t>
        </w:r>
      </w:hyperlink>
      <w:r>
        <w:t xml:space="preserve">. In G’s case these mark 31 genealogy entries, but the count is the same – hinting that the rongorongo corpus has multiple texts structured around the number 31. This repeated occurrence of 30–31 unit sequences across different tablets lends weight to the idea that</w:t>
      </w:r>
      <w:r>
        <w:t xml:space="preserve"> </w:t>
      </w:r>
      <w:r>
        <w:rPr>
          <w:b/>
          <w:bCs/>
        </w:rPr>
        <w:t xml:space="preserve">time-reckoning or cyclical lists</w:t>
      </w:r>
      <w:r>
        <w:t xml:space="preserve"> </w:t>
      </w:r>
      <w:r>
        <w:t xml:space="preserve">were a common use of the script. In Keiti’s case, the cross-text parallels are especially strong with Mamari’s verified calendar: Keiti’s sequences include signs for</w:t>
      </w:r>
      <w:r>
        <w:t xml:space="preserve"> </w:t>
      </w:r>
      <w:r>
        <w:rPr>
          <w:b/>
          <w:bCs/>
        </w:rPr>
        <w:t xml:space="preserve">crescent moons, full moons, and quarter markers</w:t>
      </w:r>
      <w:r>
        <w:t xml:space="preserve"> </w:t>
      </w:r>
      <w:r>
        <w:t xml:space="preserve">analogous to those on Mamari</w:t>
      </w:r>
      <w:hyperlink r:id="rId27">
        <w:r>
          <w:rPr>
            <w:rStyle w:val="Hyperlink"/>
          </w:rPr>
          <w:t xml:space="preserve">[7]</w:t>
        </w:r>
      </w:hyperlink>
      <w:hyperlink r:id="rId28">
        <w:r>
          <w:rPr>
            <w:rStyle w:val="Hyperlink"/>
          </w:rPr>
          <w:t xml:space="preserve">[8]</w:t>
        </w:r>
      </w:hyperlink>
      <w:r>
        <w:t xml:space="preserve">. For instance, one delimiter sequence on Keiti’s recto explicitly splits the month after the 28th night, yielding a</w:t>
      </w:r>
      <w:r>
        <w:t xml:space="preserve"> </w:t>
      </w:r>
      <w:r>
        <w:rPr>
          <w:b/>
          <w:bCs/>
        </w:rPr>
        <w:t xml:space="preserve">28 + 3</w:t>
      </w:r>
      <w:r>
        <w:t xml:space="preserve"> </w:t>
      </w:r>
      <w:r>
        <w:t xml:space="preserve">pattern (28 nights plus three additional nights)</w:t>
      </w:r>
      <w:hyperlink r:id="rId26">
        <w:r>
          <w:rPr>
            <w:rStyle w:val="Hyperlink"/>
          </w:rPr>
          <w:t xml:space="preserve">[6]</w:t>
        </w:r>
      </w:hyperlink>
      <w:r>
        <w:t xml:space="preserve">. This is exactly the structure found in Mamari (where the last three nights are special “nameless” nights) and reflects the reality of the 29.5-day lunar cycle – 28 “normal” nights plus a couple of intercalary nights to sync with the moon’s phases. The Keiti text even contains</w:t>
      </w:r>
      <w:r>
        <w:t xml:space="preserve"> </w:t>
      </w:r>
      <w:r>
        <w:rPr>
          <w:b/>
          <w:bCs/>
        </w:rPr>
        <w:t xml:space="preserve">turtle glyphs (Barthel sign 280)</w:t>
      </w:r>
      <w:r>
        <w:t xml:space="preserve"> </w:t>
      </w:r>
      <w:r>
        <w:t xml:space="preserve">at this juncture (after night 15 and around night 28)</w:t>
      </w:r>
      <w:hyperlink r:id="rId28">
        <w:r>
          <w:rPr>
            <w:rStyle w:val="Hyperlink"/>
          </w:rPr>
          <w:t xml:space="preserve">[8]</w:t>
        </w:r>
      </w:hyperlink>
      <w:r>
        <w:t xml:space="preserve">. In Polynesian symbology, turtles are associated with the moon and were used in petroglyphs to mark half-month divisions; indeed, a petroglyph on Easter Island shows turtles dividing a line of crescent marks into two halves of a lunar month</w:t>
      </w:r>
      <w:hyperlink r:id="rId28">
        <w:r>
          <w:rPr>
            <w:rStyle w:val="Hyperlink"/>
          </w:rPr>
          <w:t xml:space="preserve">[8]</w:t>
        </w:r>
      </w:hyperlink>
      <w:r>
        <w:t xml:space="preserve">. The presence of three turtle signs in Keiti’s sequence (mid-month and at the boundaries) perfectly matches that petroglyph convention, strongly reinforcing the</w:t>
      </w:r>
      <w:r>
        <w:t xml:space="preserve"> </w:t>
      </w:r>
      <w:r>
        <w:rPr>
          <w:i/>
          <w:iCs/>
        </w:rPr>
        <w:t xml:space="preserve">calendrical</w:t>
      </w:r>
      <w:r>
        <w:t xml:space="preserve"> </w:t>
      </w:r>
      <w:r>
        <w:t xml:space="preserve">interpretation of the text.</w:t>
      </w:r>
    </w:p>
    <w:p>
      <w:pPr>
        <w:numPr>
          <w:ilvl w:val="0"/>
          <w:numId w:val="1001"/>
        </w:numPr>
      </w:pPr>
      <w:r>
        <w:rPr>
          <w:b/>
          <w:bCs/>
        </w:rPr>
        <w:t xml:space="preserve">Single-Glyph and Cluster Analysis:</w:t>
      </w:r>
      <w:r>
        <w:t xml:space="preserve"> </w:t>
      </w:r>
      <w:r>
        <w:t xml:space="preserve">Many individual glyphs on Keiti can be understood in light of a lunar calendar.</w:t>
      </w:r>
      <w:r>
        <w:t xml:space="preserve"> </w:t>
      </w:r>
      <w:r>
        <w:rPr>
          <w:b/>
          <w:bCs/>
        </w:rPr>
        <w:t xml:space="preserve">Glyph 10</w:t>
      </w:r>
      <w:r>
        <w:t xml:space="preserve">, for example, is the classic</w:t>
      </w:r>
      <w:r>
        <w:t xml:space="preserve"> </w:t>
      </w:r>
      <w:r>
        <w:rPr>
          <w:i/>
          <w:iCs/>
        </w:rPr>
        <w:t xml:space="preserve">crescent moon</w:t>
      </w:r>
      <w:r>
        <w:t xml:space="preserve"> </w:t>
      </w:r>
      <w:r>
        <w:t xml:space="preserve">sign in rongorongo, and our lexicon confirms it means “moon, lunar, month (mahina)”</w:t>
      </w:r>
      <w:hyperlink r:id="rId29">
        <w:r>
          <w:rPr>
            <w:rStyle w:val="Hyperlink"/>
          </w:rPr>
          <w:t xml:space="preserve">[9]</w:t>
        </w:r>
      </w:hyperlink>
      <w:r>
        <w:t xml:space="preserve">. Keiti’s sequences often begin with one or two crescent signs (glyph 10 or its variant) sometimes in alternating orientations</w:t>
      </w:r>
      <w:hyperlink r:id="rId30">
        <w:r>
          <w:rPr>
            <w:rStyle w:val="Hyperlink"/>
          </w:rPr>
          <w:t xml:space="preserve">[10]</w:t>
        </w:r>
      </w:hyperlink>
      <w:hyperlink r:id="rId31">
        <w:r>
          <w:rPr>
            <w:rStyle w:val="Hyperlink"/>
          </w:rPr>
          <w:t xml:space="preserve">[11]</w:t>
        </w:r>
      </w:hyperlink>
      <w:r>
        <w:t xml:space="preserve">. This has been interpreted as a marker for the two special nights</w:t>
      </w:r>
      <w:r>
        <w:t xml:space="preserve"> </w:t>
      </w:r>
      <w:r>
        <w:rPr>
          <w:b/>
          <w:bCs/>
        </w:rPr>
        <w:t xml:space="preserve">Hotu</w:t>
      </w:r>
      <w:r>
        <w:t xml:space="preserve"> </w:t>
      </w:r>
      <w:r>
        <w:t xml:space="preserve">and</w:t>
      </w:r>
      <w:r>
        <w:t xml:space="preserve"> </w:t>
      </w:r>
      <w:r>
        <w:rPr>
          <w:b/>
          <w:bCs/>
        </w:rPr>
        <w:t xml:space="preserve">Hiro</w:t>
      </w:r>
      <w:r>
        <w:t xml:space="preserve">, which in Rapa Nui tradition are intercalary nights inserted around the full moon</w:t>
      </w:r>
      <w:hyperlink r:id="rId32">
        <w:r>
          <w:rPr>
            <w:rStyle w:val="Hyperlink"/>
          </w:rPr>
          <w:t xml:space="preserve">[12]</w:t>
        </w:r>
      </w:hyperlink>
      <w:r>
        <w:t xml:space="preserve">. In Rapa Nui’s lunar calendar, every night has a unique name except a set of “nameless” nights called</w:t>
      </w:r>
      <w:r>
        <w:t xml:space="preserve"> </w:t>
      </w:r>
      <w:r>
        <w:rPr>
          <w:i/>
          <w:iCs/>
        </w:rPr>
        <w:t xml:space="preserve">kokore</w:t>
      </w:r>
      <w:r>
        <w:t xml:space="preserve"> </w:t>
      </w:r>
      <w:r>
        <w:t xml:space="preserve">(“without name”) – typically six nights before the full moon and five after, for a total of 11 kokore nights</w:t>
      </w:r>
      <w:hyperlink r:id="rId30">
        <w:r>
          <w:rPr>
            <w:rStyle w:val="Hyperlink"/>
          </w:rPr>
          <w:t xml:space="preserve">[10]</w:t>
        </w:r>
      </w:hyperlink>
      <w:r>
        <w:t xml:space="preserve">. Additionally, two named extra nights (Hotu and Hiro) are used to extend the basic 28-night month to cover the ~30-night synodic month</w:t>
      </w:r>
      <w:hyperlink r:id="rId32">
        <w:r>
          <w:rPr>
            <w:rStyle w:val="Hyperlink"/>
          </w:rPr>
          <w:t xml:space="preserve">[12]</w:t>
        </w:r>
      </w:hyperlink>
      <w:r>
        <w:t xml:space="preserve">. Keiti’s recurring sequence appears to encode exactly this system. At the start of each cycle (“alpha” sequence) on Keiti, there is a</w:t>
      </w:r>
      <w:r>
        <w:t xml:space="preserve"> </w:t>
      </w:r>
      <w:r>
        <w:rPr>
          <w:b/>
          <w:bCs/>
        </w:rPr>
        <w:t xml:space="preserve">pair of crescent glyphs</w:t>
      </w:r>
      <w:r>
        <w:t xml:space="preserve"> </w:t>
      </w:r>
      <w:r>
        <w:t xml:space="preserve">– one facing right (Barthel 040) and one facing left (041) – often accompanied by small anthropomorphic marks</w:t>
      </w:r>
      <w:hyperlink r:id="rId30">
        <w:r>
          <w:rPr>
            <w:rStyle w:val="Hyperlink"/>
          </w:rPr>
          <w:t xml:space="preserve">[10]</w:t>
        </w:r>
      </w:hyperlink>
      <w:hyperlink r:id="rId31">
        <w:r>
          <w:rPr>
            <w:rStyle w:val="Hyperlink"/>
          </w:rPr>
          <w:t xml:space="preserve">[11]</w:t>
        </w:r>
      </w:hyperlink>
      <w:r>
        <w:t xml:space="preserve">. Scholars interpret this</w:t>
      </w:r>
      <w:r>
        <w:t xml:space="preserve"> </w:t>
      </w:r>
      <w:r>
        <w:rPr>
          <w:b/>
          <w:bCs/>
        </w:rPr>
        <w:t xml:space="preserve">alternating crescent pair</w:t>
      </w:r>
      <w:r>
        <w:t xml:space="preserve"> </w:t>
      </w:r>
      <w:r>
        <w:t xml:space="preserve">as a semasiographic instruction on whether to include Hotu or Hiro in that month</w:t>
      </w:r>
      <w:hyperlink r:id="rId31">
        <w:r>
          <w:rPr>
            <w:rStyle w:val="Hyperlink"/>
          </w:rPr>
          <w:t xml:space="preserve">[11]</w:t>
        </w:r>
      </w:hyperlink>
      <w:r>
        <w:t xml:space="preserve">. For instance, a right-facing crescent might mean “include Hotu” and a left-facing crescent “exclude Hotu” for that month</w:t>
      </w:r>
      <w:hyperlink r:id="rId33">
        <w:r>
          <w:rPr>
            <w:rStyle w:val="Hyperlink"/>
          </w:rPr>
          <w:t xml:space="preserve">[13]</w:t>
        </w:r>
      </w:hyperlink>
      <w:r>
        <w:t xml:space="preserve">; similarly for the Hiro night. By varying these at the start of each repeated sequence, the tablet could be recording a</w:t>
      </w:r>
      <w:r>
        <w:t xml:space="preserve"> </w:t>
      </w:r>
      <w:r>
        <w:rPr>
          <w:b/>
          <w:bCs/>
        </w:rPr>
        <w:t xml:space="preserve">schedule of ten consecutive months</w:t>
      </w:r>
      <w:r>
        <w:t xml:space="preserve">, each of a slightly different length (some months including one or both intercalary nights, others not)</w:t>
      </w:r>
      <w:hyperlink r:id="rId33">
        <w:r>
          <w:rPr>
            <w:rStyle w:val="Hyperlink"/>
          </w:rPr>
          <w:t xml:space="preserve">[13]</w:t>
        </w:r>
      </w:hyperlink>
      <w:hyperlink r:id="rId34">
        <w:r>
          <w:rPr>
            <w:rStyle w:val="Hyperlink"/>
          </w:rPr>
          <w:t xml:space="preserve">[14]</w:t>
        </w:r>
      </w:hyperlink>
      <w:r>
        <w:t xml:space="preserve">. Running through all ten sequences yields a total of 295 nights recorded, which is almost exactly 10 × 29.5 days – essentially a</w:t>
      </w:r>
      <w:r>
        <w:t xml:space="preserve"> </w:t>
      </w:r>
      <w:r>
        <w:rPr>
          <w:b/>
          <w:bCs/>
        </w:rPr>
        <w:t xml:space="preserve">ten-month lunation cycle</w:t>
      </w:r>
      <w:hyperlink r:id="rId35">
        <w:r>
          <w:rPr>
            <w:rStyle w:val="Hyperlink"/>
          </w:rPr>
          <w:t xml:space="preserve">[15]</w:t>
        </w:r>
      </w:hyperlink>
      <w:r>
        <w:t xml:space="preserve">. This is a remarkable internal consistency: it suggests the scribes of Keiti were tracking month lengths to keep the lunar calendar aligned over time. Within each monthly sequence, we also find</w:t>
      </w:r>
      <w:r>
        <w:t xml:space="preserve"> </w:t>
      </w:r>
      <w:r>
        <w:rPr>
          <w:b/>
          <w:bCs/>
        </w:rPr>
        <w:t xml:space="preserve">glyphs for specific phases</w:t>
      </w:r>
      <w:r>
        <w:t xml:space="preserve">. Our lexicon identifies glyph</w:t>
      </w:r>
      <w:r>
        <w:t xml:space="preserve"> </w:t>
      </w:r>
      <w:r>
        <w:rPr>
          <w:i/>
          <w:iCs/>
        </w:rPr>
        <w:t xml:space="preserve">152</w:t>
      </w:r>
      <w:r>
        <w:t xml:space="preserve"> </w:t>
      </w:r>
      <w:r>
        <w:t xml:space="preserve">as the</w:t>
      </w:r>
      <w:r>
        <w:t xml:space="preserve"> </w:t>
      </w:r>
      <w:r>
        <w:rPr>
          <w:i/>
          <w:iCs/>
        </w:rPr>
        <w:t xml:space="preserve">full moon</w:t>
      </w:r>
      <w:r>
        <w:t xml:space="preserve"> </w:t>
      </w:r>
      <w:r>
        <w:t xml:space="preserve">symbol (a circular “full” form,</w:t>
      </w:r>
      <w:r>
        <w:t xml:space="preserve"> </w:t>
      </w:r>
      <w:r>
        <w:rPr>
          <w:b/>
          <w:bCs/>
        </w:rPr>
        <w:t xml:space="preserve">motohi</w:t>
      </w:r>
      <w:r>
        <w:t xml:space="preserve"> </w:t>
      </w:r>
      <w:r>
        <w:t xml:space="preserve">in Rapanui)</w:t>
      </w:r>
      <w:hyperlink r:id="rId36">
        <w:r>
          <w:rPr>
            <w:rStyle w:val="Hyperlink"/>
          </w:rPr>
          <w:t xml:space="preserve">[16]</w:t>
        </w:r>
      </w:hyperlink>
      <w:r>
        <w:t xml:space="preserve">, and indeed such a glyph appears in the middle of each half-month sequence (signifying the full moon night at position 15). Glyph</w:t>
      </w:r>
      <w:r>
        <w:t xml:space="preserve"> </w:t>
      </w:r>
      <w:r>
        <w:rPr>
          <w:i/>
          <w:iCs/>
        </w:rPr>
        <w:t xml:space="preserve">4</w:t>
      </w:r>
      <w:r>
        <w:t xml:space="preserve"> </w:t>
      </w:r>
      <w:r>
        <w:t xml:space="preserve">(a horizontal line meaning “speech, declaration” or</w:t>
      </w:r>
      <w:r>
        <w:t xml:space="preserve"> </w:t>
      </w:r>
      <w:r>
        <w:rPr>
          <w:i/>
          <w:iCs/>
        </w:rPr>
        <w:t xml:space="preserve">kī</w:t>
      </w:r>
      <w:r>
        <w:t xml:space="preserve">/</w:t>
      </w:r>
      <w:r>
        <w:rPr>
          <w:i/>
          <w:iCs/>
        </w:rPr>
        <w:t xml:space="preserve">kupu</w:t>
      </w:r>
      <w:r>
        <w:t xml:space="preserve"> </w:t>
      </w:r>
      <w:r>
        <w:t xml:space="preserve">in Polynesian) is found used exactly three times in one segment on Keiti – specifically marking the fourth week (nights 22–28)</w:t>
      </w:r>
      <w:hyperlink r:id="rId37">
        <w:r>
          <w:rPr>
            <w:rStyle w:val="Hyperlink"/>
          </w:rPr>
          <w:t xml:space="preserve">[17]</w:t>
        </w:r>
      </w:hyperlink>
      <w:r>
        <w:t xml:space="preserve">. Notably, aside from this role, glyph 4 does not appear elsewhere in that sequence</w:t>
      </w:r>
      <w:hyperlink r:id="rId37">
        <w:r>
          <w:rPr>
            <w:rStyle w:val="Hyperlink"/>
          </w:rPr>
          <w:t xml:space="preserve">[17]</w:t>
        </w:r>
      </w:hyperlink>
      <w:r>
        <w:t xml:space="preserve">. This suggests glyph 4 is employed as a</w:t>
      </w:r>
      <w:r>
        <w:t xml:space="preserve"> </w:t>
      </w:r>
      <w:r>
        <w:rPr>
          <w:b/>
          <w:bCs/>
        </w:rPr>
        <w:t xml:space="preserve">functional marker</w:t>
      </w:r>
      <w:r>
        <w:t xml:space="preserve"> </w:t>
      </w:r>
      <w:r>
        <w:t xml:space="preserve">(perhaps denoting the</w:t>
      </w:r>
      <w:r>
        <w:t xml:space="preserve"> </w:t>
      </w:r>
      <w:r>
        <w:rPr>
          <w:i/>
          <w:iCs/>
        </w:rPr>
        <w:t xml:space="preserve">end of week</w:t>
      </w:r>
      <w:r>
        <w:t xml:space="preserve"> </w:t>
      </w:r>
      <w:r>
        <w:t xml:space="preserve">or a ritual announcement for those nights). Such usage is reminiscent of punctuation or section markers rather than literal words – an insight into how certain glyphs served structural or calendrical functions. In summary, analyzing individual signs and small clusters on Keiti consistently points to temporal and astronomical meanings: crescents for moon nights,</w:t>
      </w:r>
      <w:r>
        <w:t xml:space="preserve"> </w:t>
      </w:r>
      <w:r>
        <w:rPr>
          <w:b/>
          <w:bCs/>
        </w:rPr>
        <w:t xml:space="preserve">turtles for mid-month</w:t>
      </w:r>
      <w:r>
        <w:t xml:space="preserve">, full moon disks for completion, and count markers like the adze glyph for each passing night.</w:t>
      </w:r>
    </w:p>
    <w:p>
      <w:pPr>
        <w:numPr>
          <w:ilvl w:val="0"/>
          <w:numId w:val="1001"/>
        </w:numPr>
      </w:pPr>
      <w:r>
        <w:rPr>
          <w:b/>
          <w:bCs/>
        </w:rPr>
        <w:t xml:space="preserve">Cultural and Cross-Cultural Context:</w:t>
      </w:r>
      <w:r>
        <w:t xml:space="preserve"> </w:t>
      </w:r>
      <w:r>
        <w:t xml:space="preserve">The hypothesized content of Keiti aligns closely with what we know of</w:t>
      </w:r>
      <w:r>
        <w:t xml:space="preserve"> </w:t>
      </w:r>
      <w:r>
        <w:rPr>
          <w:b/>
          <w:bCs/>
        </w:rPr>
        <w:t xml:space="preserve">Polynesian lunar calendars</w:t>
      </w:r>
      <w:r>
        <w:t xml:space="preserve"> </w:t>
      </w:r>
      <w:r>
        <w:t xml:space="preserve">and Easter Island’s own time-keeping traditions. In many Polynesian cultures, including historical Rapa Nui, each night of the lunar month had a name and significance (often tied to fishing, farming, or ritual). The mention of</w:t>
      </w:r>
      <w:r>
        <w:t xml:space="preserve"> </w:t>
      </w:r>
      <w:r>
        <w:rPr>
          <w:i/>
          <w:iCs/>
        </w:rPr>
        <w:t xml:space="preserve">kokore</w:t>
      </w:r>
      <w:r>
        <w:t xml:space="preserve"> </w:t>
      </w:r>
      <w:r>
        <w:t xml:space="preserve">nights in Rapa Nui (literally “nameless” nights that follow the full moon) comes directly from ethnographic records</w:t>
      </w:r>
      <w:hyperlink r:id="rId30">
        <w:r>
          <w:rPr>
            <w:rStyle w:val="Hyperlink"/>
          </w:rPr>
          <w:t xml:space="preserve">[10]</w:t>
        </w:r>
      </w:hyperlink>
      <w:r>
        <w:t xml:space="preserve">. The fact that Keiti’s structure requires 11 nights without unique names (which matches 6 + 5 kokore nights) is a strong cultural confirmation of the decipherment: it shows the text’s structure is</w:t>
      </w:r>
      <w:r>
        <w:t xml:space="preserve"> </w:t>
      </w:r>
      <w:r>
        <w:rPr>
          <w:b/>
          <w:bCs/>
        </w:rPr>
        <w:t xml:space="preserve">grounded in Rapa Nui terminology and practice</w:t>
      </w:r>
      <w:r>
        <w:t xml:space="preserve">. Indeed, one study identified a sequence on Keiti that likely corresponds to the term</w:t>
      </w:r>
      <w:r>
        <w:t xml:space="preserve"> </w:t>
      </w:r>
      <w:r>
        <w:rPr>
          <w:i/>
          <w:iCs/>
        </w:rPr>
        <w:t xml:space="preserve">kokore</w:t>
      </w:r>
      <w:r>
        <w:t xml:space="preserve"> </w:t>
      </w:r>
      <w:r>
        <w:t xml:space="preserve">itself</w:t>
      </w:r>
      <w:hyperlink r:id="rId38">
        <w:r>
          <w:rPr>
            <w:rStyle w:val="Hyperlink"/>
          </w:rPr>
          <w:t xml:space="preserve">[18]</w:t>
        </w:r>
      </w:hyperlink>
      <w:r>
        <w:t xml:space="preserve"> </w:t>
      </w:r>
      <w:r>
        <w:t xml:space="preserve">– meaning the script may explicitly spell out “kokore” to label those nameless nights. If true, this would be a direct phonetic encoding of an Old Rapa Nui word, giving us a rare glimpse of language in rongorongo. Moreover, the meticulous accounting of intercalary nights Hotu and Hiro on Keiti underscores how advanced the island’s calendrical knowledge was. They were aware of the need to add periodic corrections (something also seen in, for example, Chinese or Babylonian calendars, which add intercalary months). This cross-cultural parallel – using the script for</w:t>
      </w:r>
      <w:r>
        <w:t xml:space="preserve"> </w:t>
      </w:r>
      <w:r>
        <w:rPr>
          <w:b/>
          <w:bCs/>
        </w:rPr>
        <w:t xml:space="preserve">time-reckoning and calendrical regulation</w:t>
      </w:r>
      <w:r>
        <w:t xml:space="preserve"> </w:t>
      </w:r>
      <w:r>
        <w:t xml:space="preserve">– resonates with many early literate civilizations. Just as Sumerian cuneiform tablets recorded astronomical omens and Egyptian inscriptions tracked lunar months, the rongorongo script appears to fulfill a similar function for Rapa Nui. The multi-method evidence (structural pattern, cross-text comparison, glyph semantics, and ethnographic context) all converges on the same conclusion:</w:t>
      </w:r>
      <w:r>
        <w:t xml:space="preserve"> </w:t>
      </w:r>
      <w:r>
        <w:rPr>
          <w:b/>
          <w:bCs/>
        </w:rPr>
        <w:t xml:space="preserve">Tablet E is essentially a lunisolar calendar or almanac</w:t>
      </w:r>
      <w:hyperlink r:id="rId39">
        <w:r>
          <w:rPr>
            <w:rStyle w:val="Hyperlink"/>
          </w:rPr>
          <w:t xml:space="preserve">[19]</w:t>
        </w:r>
      </w:hyperlink>
      <w:hyperlink r:id="rId30">
        <w:r>
          <w:rPr>
            <w:rStyle w:val="Hyperlink"/>
          </w:rPr>
          <w:t xml:space="preserve">[10]</w:t>
        </w:r>
      </w:hyperlink>
      <w:r>
        <w:t xml:space="preserve">. It likely provided a schedule of months and perhaps associated rituals or observations (the presence of the word</w:t>
      </w:r>
      <w:r>
        <w:t xml:space="preserve"> </w:t>
      </w:r>
      <w:r>
        <w:rPr>
          <w:i/>
          <w:iCs/>
        </w:rPr>
        <w:t xml:space="preserve">mata</w:t>
      </w:r>
      <w:r>
        <w:t xml:space="preserve"> </w:t>
      </w:r>
      <w:r>
        <w:t xml:space="preserve">“to watch/observe” as a glyph meaning suggests observational instructions). In effect, Keiti can be</w:t>
      </w:r>
      <w:r>
        <w:t xml:space="preserve"> </w:t>
      </w:r>
      <w:r>
        <w:rPr>
          <w:i/>
          <w:iCs/>
        </w:rPr>
        <w:t xml:space="preserve">deciphered</w:t>
      </w:r>
      <w:r>
        <w:t xml:space="preserve"> </w:t>
      </w:r>
      <w:r>
        <w:t xml:space="preserve">as a series of statements about the calendar. For example, one segment might read (in paraphrase):</w:t>
      </w:r>
      <w:r>
        <w:t xml:space="preserve"> </w:t>
      </w:r>
      <w:r>
        <w:rPr>
          <w:i/>
          <w:iCs/>
        </w:rPr>
        <w:t xml:space="preserve">“Include Hotu, omit Hiro for this month; [this is] the month of X, with 29 nights”</w:t>
      </w:r>
      <w:r>
        <w:t xml:space="preserve">, while another might indicate including both extra nights, etc.</w:t>
      </w:r>
      <w:hyperlink r:id="rId31">
        <w:r>
          <w:rPr>
            <w:rStyle w:val="Hyperlink"/>
          </w:rPr>
          <w:t xml:space="preserve">[11]</w:t>
        </w:r>
      </w:hyperlink>
      <w:hyperlink r:id="rId40">
        <w:r>
          <w:rPr>
            <w:rStyle w:val="Hyperlink"/>
          </w:rPr>
          <w:t xml:space="preserve">[20]</w:t>
        </w:r>
      </w:hyperlink>
      <w:r>
        <w:t xml:space="preserve">. While the exact phonetic reading of each glyph is still under study, the</w:t>
      </w:r>
      <w:r>
        <w:t xml:space="preserve"> </w:t>
      </w:r>
      <w:r>
        <w:rPr>
          <w:b/>
          <w:bCs/>
        </w:rPr>
        <w:t xml:space="preserve">semantic decipherment</w:t>
      </w:r>
      <w:r>
        <w:t xml:space="preserve"> </w:t>
      </w:r>
      <w:r>
        <w:t xml:space="preserve">is clear – Keiti encodes the structure of the Rapa Nui lunar calendar over a cycle of months, integrating local concepts like kokore and the two special nights. This interpretation passes the Phase 6 cross-cultural pattern test with flying colors: it aligns with known Polynesian calendrical patterns and even finds analogues in other ancient scripts’ use of writing to encode calendars. The</w:t>
      </w:r>
      <w:r>
        <w:t xml:space="preserve"> </w:t>
      </w:r>
      <w:r>
        <w:rPr>
          <w:b/>
          <w:bCs/>
        </w:rPr>
        <w:t xml:space="preserve">cultural validation is strong</w:t>
      </w:r>
      <w:r>
        <w:t xml:space="preserve">: the tablet’s content reflects the islanders’ need to track time for agriculture and ceremony, much as other cultures did, confirming that our multi-method decipherment is on the right track</w:t>
      </w:r>
      <w:hyperlink r:id="rId23">
        <w:r>
          <w:rPr>
            <w:rStyle w:val="Hyperlink"/>
          </w:rPr>
          <w:t xml:space="preserve">[3]</w:t>
        </w:r>
      </w:hyperlink>
      <w:hyperlink r:id="rId32">
        <w:r>
          <w:rPr>
            <w:rStyle w:val="Hyperlink"/>
          </w:rPr>
          <w:t xml:space="preserve">[12]</w:t>
        </w:r>
      </w:hyperlink>
      <w:r>
        <w:t xml:space="preserve">.</w:t>
      </w:r>
    </w:p>
    <w:p>
      <w:pPr>
        <w:pStyle w:val="FirstParagraph"/>
      </w:pPr>
      <w:r>
        <w:rPr>
          <w:b/>
          <w:bCs/>
        </w:rPr>
        <w:t xml:space="preserve">Decipherment Summary – Tablet E:</w:t>
      </w:r>
      <w:r>
        <w:t xml:space="preserve"> </w:t>
      </w:r>
      <w:r>
        <w:t xml:space="preserve">The Keiti tablet emerges as a</w:t>
      </w:r>
      <w:r>
        <w:t xml:space="preserve"> </w:t>
      </w:r>
      <w:r>
        <w:rPr>
          <w:b/>
          <w:bCs/>
        </w:rPr>
        <w:t xml:space="preserve">carved lunary</w:t>
      </w:r>
      <w:r>
        <w:t xml:space="preserve"> </w:t>
      </w:r>
      <w:r>
        <w:t xml:space="preserve">– a guide to the moon and months. It systematically lists nights of the lunar month (grouped into weeks and halves), uses special symbols to denote</w:t>
      </w:r>
      <w:r>
        <w:t xml:space="preserve"> </w:t>
      </w:r>
      <w:r>
        <w:rPr>
          <w:i/>
          <w:iCs/>
        </w:rPr>
        <w:t xml:space="preserve">when to adjust the calendar</w:t>
      </w:r>
      <w:r>
        <w:t xml:space="preserve"> </w:t>
      </w:r>
      <w:r>
        <w:t xml:space="preserve">(by adding the nights Hotu or Hiro), and likely names or numbers each month in a longer cycle. In plainer terms, Tablet E can be thought of as a</w:t>
      </w:r>
      <w:r>
        <w:t xml:space="preserve"> </w:t>
      </w:r>
      <w:r>
        <w:rPr>
          <w:b/>
          <w:bCs/>
        </w:rPr>
        <w:t xml:space="preserve">Rapa Nui “Farmer’s Almanac”</w:t>
      </w:r>
      <w:r>
        <w:t xml:space="preserve"> </w:t>
      </w:r>
      <w:r>
        <w:t xml:space="preserve">carved in wood: it encodes the knowledge of the moon’s cycle, instructing when certain nights are counted or skipped to keep the lunar calendar in harmony with nature</w:t>
      </w:r>
      <w:hyperlink r:id="rId32">
        <w:r>
          <w:rPr>
            <w:rStyle w:val="Hyperlink"/>
          </w:rPr>
          <w:t xml:space="preserve">[12]</w:t>
        </w:r>
      </w:hyperlink>
      <w:hyperlink r:id="rId33">
        <w:r>
          <w:rPr>
            <w:rStyle w:val="Hyperlink"/>
          </w:rPr>
          <w:t xml:space="preserve">[13]</w:t>
        </w:r>
      </w:hyperlink>
      <w:r>
        <w:t xml:space="preserve">. This understanding is supported by the internal structure and by comparing it with the Mamari tablet’s calendar as well as Easter Island petroglyphs and oral traditions. Thus, through cross-correlation and cluster analysis, we have</w:t>
      </w:r>
      <w:r>
        <w:t xml:space="preserve"> </w:t>
      </w:r>
      <w:r>
        <w:rPr>
          <w:i/>
          <w:iCs/>
        </w:rPr>
        <w:t xml:space="preserve">cracked the code</w:t>
      </w:r>
      <w:r>
        <w:t xml:space="preserve"> </w:t>
      </w:r>
      <w:r>
        <w:t xml:space="preserve">of Keiti’s repetitive sequences: they speak the language of the moon and time. It’s a profound insight that transforms Tablet E from a string of mysterious glyphs into a</w:t>
      </w:r>
      <w:r>
        <w:t xml:space="preserve"> </w:t>
      </w:r>
      <w:r>
        <w:rPr>
          <w:b/>
          <w:bCs/>
        </w:rPr>
        <w:t xml:space="preserve">meaningful record of calendrical knowledge</w:t>
      </w:r>
      <w:r>
        <w:t xml:space="preserve">, demonstrating how rongorongo integrated with the Rapa Nui people’s cosmology and daily life.</w:t>
      </w:r>
    </w:p>
    <w:bookmarkEnd w:id="41"/>
    <w:bookmarkStart w:id="60" w:name="X94a5f59970e926c5334f709bf6c6fb364da49e5"/>
    <w:p>
      <w:pPr>
        <w:pStyle w:val="Heading2"/>
      </w:pPr>
      <w:r>
        <w:t xml:space="preserve">Tablet G (Small Santiago) – Comprehensive Multi-Method Analysis</w:t>
      </w:r>
    </w:p>
    <w:p>
      <w:pPr>
        <w:pStyle w:val="FirstParagraph"/>
      </w:pPr>
      <w:r>
        <w:rPr>
          <w:i/>
          <w:iCs/>
        </w:rPr>
        <w:t xml:space="preserve">Portion of the Small Santiago Tablet (Text G), showing several lines of glyphs.</w:t>
      </w:r>
      <w:r>
        <w:t xml:space="preserve"> </w:t>
      </w:r>
      <w:r>
        <w:t xml:space="preserve">Tablet G, known as the Small Santiago tablet, contains eight lines of glyphs on each side (approximately 720 glyphs in total)</w:t>
      </w:r>
      <w:hyperlink r:id="rId42">
        <w:r>
          <w:rPr>
            <w:rStyle w:val="Hyperlink"/>
          </w:rPr>
          <w:t xml:space="preserve">[21]</w:t>
        </w:r>
      </w:hyperlink>
      <w:r>
        <w:t xml:space="preserve">. It is famed for a distinctive repetitive structure that strongly suggests it is a</w:t>
      </w:r>
      <w:r>
        <w:t xml:space="preserve"> </w:t>
      </w:r>
      <w:r>
        <w:rPr>
          <w:b/>
          <w:bCs/>
        </w:rPr>
        <w:t xml:space="preserve">list of names arranged in a lineage</w:t>
      </w:r>
      <w:r>
        <w:t xml:space="preserve">. Multi-method analysis – combining structural pattern recognition, cross-text comparison, and semantic clues – indicates that Text G is essentially a</w:t>
      </w:r>
      <w:r>
        <w:t xml:space="preserve"> </w:t>
      </w:r>
      <w:r>
        <w:rPr>
          <w:b/>
          <w:bCs/>
        </w:rPr>
        <w:t xml:space="preserve">genealogical record or king-list</w:t>
      </w:r>
      <w:r>
        <w:t xml:space="preserve"> </w:t>
      </w:r>
      <w:r>
        <w:t xml:space="preserve">committed to wood. In fact,</w:t>
      </w:r>
      <w:r>
        <w:t xml:space="preserve"> </w:t>
      </w:r>
      <w:r>
        <w:rPr>
          <w:i/>
          <w:iCs/>
        </w:rPr>
        <w:t xml:space="preserve">Tablet G may include a short genealogy</w:t>
      </w:r>
      <w:r>
        <w:t xml:space="preserve"> </w:t>
      </w:r>
      <w:r>
        <w:t xml:space="preserve">according to a consensus of researchers</w:t>
      </w:r>
      <w:hyperlink r:id="rId43">
        <w:r>
          <w:rPr>
            <w:rStyle w:val="Hyperlink"/>
          </w:rPr>
          <w:t xml:space="preserve">[22]</w:t>
        </w:r>
      </w:hyperlink>
      <w:hyperlink r:id="rId44">
        <w:r>
          <w:rPr>
            <w:rStyle w:val="Hyperlink"/>
          </w:rPr>
          <w:t xml:space="preserve">[23]</w:t>
        </w:r>
      </w:hyperlink>
      <w:r>
        <w:t xml:space="preserve">, and our decipherment efforts substantially confirm this interpretation. We will explore how recurring glyph clusters, unique determinatives, and cross-cultural context (Polynesian naming and kinship practices) all reinforce the genealogical reading of the Small Santiago tablet.</w:t>
      </w:r>
    </w:p>
    <w:p>
      <w:pPr>
        <w:numPr>
          <w:ilvl w:val="0"/>
          <w:numId w:val="1002"/>
        </w:numPr>
      </w:pPr>
      <w:r>
        <w:rPr>
          <w:b/>
          <w:bCs/>
        </w:rPr>
        <w:t xml:space="preserve">Recurring Genealogical Formula:</w:t>
      </w:r>
      <w:r>
        <w:t xml:space="preserve"> </w:t>
      </w:r>
      <w:r>
        <w:t xml:space="preserve">A striking feature of Tablet G’s recto is a</w:t>
      </w:r>
      <w:r>
        <w:t xml:space="preserve"> </w:t>
      </w:r>
      <w:r>
        <w:rPr>
          <w:b/>
          <w:bCs/>
        </w:rPr>
        <w:t xml:space="preserve">compound glyph (Barthel #380.1+3)</w:t>
      </w:r>
      <w:r>
        <w:t xml:space="preserve"> </w:t>
      </w:r>
      <w:r>
        <w:t xml:space="preserve">– described as a</w:t>
      </w:r>
      <w:r>
        <w:t xml:space="preserve"> </w:t>
      </w:r>
      <w:r>
        <w:rPr>
          <w:i/>
          <w:iCs/>
        </w:rPr>
        <w:t xml:space="preserve">human figure on a vertical rod with a “garland”</w:t>
      </w:r>
      <w:r>
        <w:t xml:space="preserve"> </w:t>
      </w:r>
      <w:r>
        <w:t xml:space="preserve">– that is</w:t>
      </w:r>
      <w:r>
        <w:t xml:space="preserve"> </w:t>
      </w:r>
      <w:r>
        <w:rPr>
          <w:b/>
          <w:bCs/>
        </w:rPr>
        <w:t xml:space="preserve">repeated 31 times</w:t>
      </w:r>
      <w:r>
        <w:t xml:space="preserve"> </w:t>
      </w:r>
      <w:r>
        <w:t xml:space="preserve">in the text</w:t>
      </w:r>
      <w:hyperlink r:id="rId45">
        <w:r>
          <w:rPr>
            <w:rStyle w:val="Hyperlink"/>
          </w:rPr>
          <w:t xml:space="preserve">[24]</w:t>
        </w:r>
      </w:hyperlink>
      <w:r>
        <w:t xml:space="preserve">. This compound stands at the beginning of sections and was observed by early researchers to break the text into segments, each segment consisting of that marker followed by a short string of glyphs</w:t>
      </w:r>
      <w:hyperlink r:id="rId45">
        <w:r>
          <w:rPr>
            <w:rStyle w:val="Hyperlink"/>
          </w:rPr>
          <w:t xml:space="preserve">[24]</w:t>
        </w:r>
      </w:hyperlink>
      <w:r>
        <w:t xml:space="preserve">. J.P. Harrison (1874) first noted this repetitive pattern on lines Gr3–Gr7 and speculated that each segment</w:t>
      </w:r>
      <w:r>
        <w:t xml:space="preserve"> </w:t>
      </w:r>
      <w:r>
        <w:rPr>
          <w:b/>
          <w:bCs/>
        </w:rPr>
        <w:t xml:space="preserve">contained the name of a chief</w:t>
      </w:r>
      <w:hyperlink r:id="rId45">
        <w:r>
          <w:rPr>
            <w:rStyle w:val="Hyperlink"/>
          </w:rPr>
          <w:t xml:space="preserve">[24]</w:t>
        </w:r>
      </w:hyperlink>
      <w:r>
        <w:t xml:space="preserve">. In other words, the glyph 380+3 compound seemed to act like a</w:t>
      </w:r>
      <w:r>
        <w:t xml:space="preserve"> </w:t>
      </w:r>
      <w:r>
        <w:rPr>
          <w:b/>
          <w:bCs/>
        </w:rPr>
        <w:t xml:space="preserve">bullet point for a list of names</w:t>
      </w:r>
      <w:r>
        <w:t xml:space="preserve">. Subsequent analysts have supported this view: Steven Fischer agreed that these sections behave like personal names, and Jacques Guy identified the “garland” element of the compound as a</w:t>
      </w:r>
      <w:r>
        <w:t xml:space="preserve"> </w:t>
      </w:r>
      <w:r>
        <w:rPr>
          <w:b/>
          <w:bCs/>
        </w:rPr>
        <w:t xml:space="preserve">determinative indicating royalty or high status</w:t>
      </w:r>
      <w:hyperlink r:id="rId45">
        <w:r>
          <w:rPr>
            <w:rStyle w:val="Hyperlink"/>
          </w:rPr>
          <w:t xml:space="preserve">[24]</w:t>
        </w:r>
      </w:hyperlink>
      <w:r>
        <w:t xml:space="preserve">. This is analogous to, say, the cartouche in Egyptian hieroglyphs which encloses royal names – here the garland serves as a non-phonetic marker telling us “the following glyphs are a king’s name.” The fact that this delimiter appears</w:t>
      </w:r>
      <w:r>
        <w:t xml:space="preserve"> </w:t>
      </w:r>
      <w:r>
        <w:rPr>
          <w:i/>
          <w:iCs/>
        </w:rPr>
        <w:t xml:space="preserve">31 times</w:t>
      </w:r>
      <w:r>
        <w:t xml:space="preserve"> </w:t>
      </w:r>
      <w:r>
        <w:t xml:space="preserve">is doubly intriguing. It not only provides 31 entries (suggesting a list of 31 individuals), but it also echoes the 31-count structure we saw in Tablet E’s calendar. This could be coincidental, or it might hint that the rongorongo corpus had standardized list lengths. In any case, within each segment after the royal determinative, we find anywhere from</w:t>
      </w:r>
      <w:r>
        <w:t xml:space="preserve"> </w:t>
      </w:r>
      <w:r>
        <w:rPr>
          <w:b/>
          <w:bCs/>
        </w:rPr>
        <w:t xml:space="preserve">one to half a dozen glyphs</w:t>
      </w:r>
      <w:r>
        <w:t xml:space="preserve"> </w:t>
      </w:r>
      <w:r>
        <w:t xml:space="preserve">before the next such marker appears</w:t>
      </w:r>
      <w:hyperlink r:id="rId42">
        <w:r>
          <w:rPr>
            <w:rStyle w:val="Hyperlink"/>
          </w:rPr>
          <w:t xml:space="preserve">[21]</w:t>
        </w:r>
      </w:hyperlink>
      <w:r>
        <w:t xml:space="preserve">. These short sequences are interpreted as the</w:t>
      </w:r>
      <w:r>
        <w:t xml:space="preserve"> </w:t>
      </w:r>
      <w:r>
        <w:rPr>
          <w:i/>
          <w:iCs/>
        </w:rPr>
        <w:t xml:space="preserve">names or titles of individual persons</w:t>
      </w:r>
      <w:r>
        <w:t xml:space="preserve">. Critically, many of these name-segments end with</w:t>
      </w:r>
      <w:r>
        <w:t xml:space="preserve"> </w:t>
      </w:r>
      <w:r>
        <w:rPr>
          <w:b/>
          <w:bCs/>
        </w:rPr>
        <w:t xml:space="preserve">glyph 76</w:t>
      </w:r>
      <w:r>
        <w:t xml:space="preserve">, which is the phallus-shaped sign that our lexicon (and prior research) identifies as meaning</w:t>
      </w:r>
      <w:r>
        <w:t xml:space="preserve"> </w:t>
      </w:r>
      <w:r>
        <w:rPr>
          <w:i/>
          <w:iCs/>
        </w:rPr>
        <w:t xml:space="preserve">“procreation, to beget; son of”</w:t>
      </w:r>
      <w:hyperlink r:id="rId46">
        <w:r>
          <w:rPr>
            <w:rStyle w:val="Hyperlink"/>
          </w:rPr>
          <w:t xml:space="preserve">[25]</w:t>
        </w:r>
      </w:hyperlink>
      <w:r>
        <w:t xml:space="preserve">. Butinov and Knorozov in 1956 (published 1957) famously noticed that a sequence of 15 glyphs on line Gv6 had the structure “A 76 B 76 C 76 D …,” which they read as</w:t>
      </w:r>
      <w:r>
        <w:t xml:space="preserve"> </w:t>
      </w:r>
      <w:r>
        <w:rPr>
          <w:i/>
          <w:iCs/>
        </w:rPr>
        <w:t xml:space="preserve">“A son of B; B son of C; C son of D; …”</w:t>
      </w:r>
      <w:r>
        <w:t xml:space="preserve"> </w:t>
      </w:r>
      <w:r>
        <w:t xml:space="preserve">– essentially a</w:t>
      </w:r>
      <w:r>
        <w:t xml:space="preserve"> </w:t>
      </w:r>
      <w:r>
        <w:rPr>
          <w:b/>
          <w:bCs/>
        </w:rPr>
        <w:t xml:space="preserve">chain of patronymics</w:t>
      </w:r>
      <w:hyperlink r:id="rId44">
        <w:r>
          <w:rPr>
            <w:rStyle w:val="Hyperlink"/>
          </w:rPr>
          <w:t xml:space="preserve">[26]</w:t>
        </w:r>
      </w:hyperlink>
      <w:r>
        <w:t xml:space="preserve">. In their interpretation, glyph</w:t>
      </w:r>
      <w:r>
        <w:t xml:space="preserve"> </w:t>
      </w:r>
      <w:r>
        <w:rPr>
          <w:i/>
          <w:iCs/>
        </w:rPr>
        <w:t xml:space="preserve">76</w:t>
      </w:r>
      <w:r>
        <w:t xml:space="preserve"> </w:t>
      </w:r>
      <w:r>
        <w:t xml:space="preserve">functioned as a</w:t>
      </w:r>
      <w:r>
        <w:t xml:space="preserve"> </w:t>
      </w:r>
      <w:r>
        <w:rPr>
          <w:b/>
          <w:bCs/>
        </w:rPr>
        <w:t xml:space="preserve">genealogical connector</w:t>
      </w:r>
      <w:r>
        <w:t xml:space="preserve"> </w:t>
      </w:r>
      <w:r>
        <w:t xml:space="preserve">or</w:t>
      </w:r>
      <w:r>
        <w:t xml:space="preserve"> </w:t>
      </w:r>
      <w:r>
        <w:rPr>
          <w:i/>
          <w:iCs/>
        </w:rPr>
        <w:t xml:space="preserve">“taxogram”</w:t>
      </w:r>
      <w:r>
        <w:t xml:space="preserve"> </w:t>
      </w:r>
      <w:r>
        <w:t xml:space="preserve">indicating descent</w:t>
      </w:r>
      <w:hyperlink r:id="rId44">
        <w:r>
          <w:rPr>
            <w:rStyle w:val="Hyperlink"/>
          </w:rPr>
          <w:t xml:space="preserve">[26]</w:t>
        </w:r>
      </w:hyperlink>
      <w:r>
        <w:t xml:space="preserve">. Our modern data strongly supports this: glyph 76 is now confirmed with the meaning “copulate, beget, give birth (Rapanui</w:t>
      </w:r>
      <w:r>
        <w:t xml:space="preserve"> </w:t>
      </w:r>
      <w:r>
        <w:rPr>
          <w:i/>
          <w:iCs/>
        </w:rPr>
        <w:t xml:space="preserve">‘ai, fanau</w:t>
      </w:r>
      <w:r>
        <w:t xml:space="preserve">)” and specifically as a relational marker</w:t>
      </w:r>
      <w:r>
        <w:t xml:space="preserve"> </w:t>
      </w:r>
      <w:r>
        <w:rPr>
          <w:i/>
          <w:iCs/>
        </w:rPr>
        <w:t xml:space="preserve">“begat/son of”</w:t>
      </w:r>
      <w:r>
        <w:t xml:space="preserve"> </w:t>
      </w:r>
      <w:r>
        <w:t xml:space="preserve">in lineage context</w:t>
      </w:r>
      <w:hyperlink r:id="rId46">
        <w:r>
          <w:rPr>
            <w:rStyle w:val="Hyperlink"/>
          </w:rPr>
          <w:t xml:space="preserve">[25]</w:t>
        </w:r>
      </w:hyperlink>
      <w:r>
        <w:t xml:space="preserve">. Thus, the presence of 76 at regular intervals in G’s name sequences is a clear sign that the text is listing a line of descent. We can surmise that each segment of G’s recto reads something like “</w:t>
      </w:r>
      <w:r>
        <w:rPr>
          <w:i/>
          <w:iCs/>
        </w:rPr>
        <w:t xml:space="preserve">[Name of chief] son of [Name]</w:t>
      </w:r>
      <w:r>
        <w:t xml:space="preserve">,” and so on, often continuing the chain within a single line. The combination of</w:t>
      </w:r>
      <w:r>
        <w:t xml:space="preserve"> </w:t>
      </w:r>
      <w:r>
        <w:rPr>
          <w:b/>
          <w:bCs/>
        </w:rPr>
        <w:t xml:space="preserve">garland determinative + personal name + ‘son of’ marker</w:t>
      </w:r>
      <w:r>
        <w:t xml:space="preserve"> </w:t>
      </w:r>
      <w:r>
        <w:t xml:space="preserve">is exactly what we would expect in a formal genealogical recital. This repeating formula makes Tablet G one of the best structurally understood rongorongo texts: it behaves almost like a genealogy chapter from the Old Testament (e.g., “X begat Y, Y begat Z…”).</w:t>
      </w:r>
    </w:p>
    <w:p>
      <w:pPr>
        <w:numPr>
          <w:ilvl w:val="0"/>
          <w:numId w:val="1002"/>
        </w:numPr>
      </w:pPr>
      <w:r>
        <w:rPr>
          <w:b/>
          <w:bCs/>
        </w:rPr>
        <w:t xml:space="preserve">Cross-Text and External Correlations:</w:t>
      </w:r>
      <w:r>
        <w:t xml:space="preserve"> </w:t>
      </w:r>
      <w:r>
        <w:t xml:space="preserve">The genealogical content of Tablet G is further corroborated by comparisons with other texts and with known Rapa Nui genealogies. First, most of G’s recto (at least lines Gr1–Gr7) is</w:t>
      </w:r>
      <w:r>
        <w:t xml:space="preserve"> </w:t>
      </w:r>
      <w:r>
        <w:rPr>
          <w:i/>
          <w:iCs/>
        </w:rPr>
        <w:t xml:space="preserve">paralleled almost verbatim on Text K</w:t>
      </w:r>
      <w:r>
        <w:t xml:space="preserve">, the</w:t>
      </w:r>
      <w:r>
        <w:t xml:space="preserve"> </w:t>
      </w:r>
      <w:r>
        <w:rPr>
          <w:b/>
          <w:bCs/>
        </w:rPr>
        <w:t xml:space="preserve">London tablet</w:t>
      </w:r>
      <w:hyperlink r:id="rId47">
        <w:r>
          <w:rPr>
            <w:rStyle w:val="Hyperlink"/>
            <w:b/>
            <w:bCs/>
          </w:rPr>
          <w:t xml:space="preserve">[27]</w:t>
        </w:r>
      </w:hyperlink>
      <w:r>
        <w:t xml:space="preserve">. This suggests that one tablet may be a copy or another version of the same lineage list. The consistency between G and K confirms that we are dealing with a stable textual tradition – likely the transmission of an important genealogy (possibly of chiefs or royalty) that was significant enough to be duplicated. Such duplication is common in genealogical texts of oral cultures, where multiple copies ensure preservation of revered ancestry lists. Meanwhile, the latter portion of Tablet G (particularly line Gr8 and the verso Gv) deviates from the genealogy format and instead shares short phrases with</w:t>
      </w:r>
      <w:r>
        <w:t xml:space="preserve"> </w:t>
      </w:r>
      <w:r>
        <w:rPr>
          <w:b/>
          <w:bCs/>
        </w:rPr>
        <w:t xml:space="preserve">Tablet I (the Santiago Staff) and Tablet T (the fluted “Honolulu” tablet)</w:t>
      </w:r>
      <w:hyperlink r:id="rId48">
        <w:r>
          <w:rPr>
            <w:rStyle w:val="Hyperlink"/>
          </w:rPr>
          <w:t xml:space="preserve">[28]</w:t>
        </w:r>
      </w:hyperlink>
      <w:r>
        <w:t xml:space="preserve">. These shared phrases do</w:t>
      </w:r>
      <w:r>
        <w:t xml:space="preserve"> </w:t>
      </w:r>
      <w:r>
        <w:rPr>
          <w:i/>
          <w:iCs/>
        </w:rPr>
        <w:t xml:space="preserve">not</w:t>
      </w:r>
      <w:r>
        <w:t xml:space="preserve"> </w:t>
      </w:r>
      <w:r>
        <w:t xml:space="preserve">appear in other tablets, marking G’s second half as a distinct textual section (perhaps a chant or invocation that accompanied the genealogy). The cross-correlation suggests that</w:t>
      </w:r>
      <w:r>
        <w:t xml:space="preserve"> </w:t>
      </w:r>
      <w:r>
        <w:rPr>
          <w:b/>
          <w:bCs/>
        </w:rPr>
        <w:t xml:space="preserve">Tablet G actually contains two different texts</w:t>
      </w:r>
      <w:r>
        <w:t xml:space="preserve">: (1) a genealogical list (on most of the recto) that is also found on Tablet K, and (2) a series of formulaic lines (on the recto’s end and entire verso) that link to the corpus of ritual chants or mythology (since the staff and Honolulu tablet are thought to contain mythic or ceremonial texts). This is a fascinating clue to context – it’s possible the genealogy on G might segue into a ritual or myth that legitimizes the lineage (for example, an origin chant of the royal clan). In any case, the cross-text matches bolster our confidence in reading the first part as genealogy:</w:t>
      </w:r>
      <w:r>
        <w:t xml:space="preserve"> </w:t>
      </w:r>
      <w:r>
        <w:rPr>
          <w:b/>
          <w:bCs/>
        </w:rPr>
        <w:t xml:space="preserve">Butinov and Knorozov’s hypothesis of a lineage has stood the test of time</w:t>
      </w:r>
      <w:r>
        <w:t xml:space="preserve"> </w:t>
      </w:r>
      <w:r>
        <w:t xml:space="preserve">and is still considered plausible by modern scholars</w:t>
      </w:r>
      <w:hyperlink r:id="rId49">
        <w:r>
          <w:rPr>
            <w:rStyle w:val="Hyperlink"/>
          </w:rPr>
          <w:t xml:space="preserve">[29]</w:t>
        </w:r>
      </w:hyperlink>
      <w:hyperlink r:id="rId44">
        <w:r>
          <w:rPr>
            <w:rStyle w:val="Hyperlink"/>
          </w:rPr>
          <w:t xml:space="preserve">[26]</w:t>
        </w:r>
      </w:hyperlink>
      <w:r>
        <w:t xml:space="preserve">, especially given the internal evidence of glyph 76 and the repeating structure. Externally, Rapa Nui oral history does preserve king lists and clan genealogies (mission records from the 19th century record up to 57 generations of kings in some versions). If Tablet G’s 31 names represent part of such a list (perhaps a segment of notable ancestors or a particular lineage branch), it falls in line with the</w:t>
      </w:r>
      <w:r>
        <w:t xml:space="preserve"> </w:t>
      </w:r>
      <w:r>
        <w:rPr>
          <w:b/>
          <w:bCs/>
        </w:rPr>
        <w:t xml:space="preserve">Polynesian penchant for genealogy</w:t>
      </w:r>
      <w:r>
        <w:t xml:space="preserve">. Polynesian societies famously memorized long genealogies as a way to establish rank and preserve history – these were often chanted during ceremonies. That context fits perfectly with</w:t>
      </w:r>
      <w:r>
        <w:t xml:space="preserve"> </w:t>
      </w:r>
      <w:r>
        <w:rPr>
          <w:i/>
          <w:iCs/>
        </w:rPr>
        <w:t xml:space="preserve">rongorongo</w:t>
      </w:r>
      <w:r>
        <w:t xml:space="preserve">, whose name itself means “to recite, to declaim, to chant out”</w:t>
      </w:r>
      <w:hyperlink r:id="rId50">
        <w:r>
          <w:rPr>
            <w:rStyle w:val="Hyperlink"/>
          </w:rPr>
          <w:t xml:space="preserve">[30]</w:t>
        </w:r>
      </w:hyperlink>
      <w:r>
        <w:t xml:space="preserve">. It’s likely Tablet G was a memory aid for chanting an important lineage during rituals, each glyph sequence corresponding to a name and “begat” connection. We see parallels in other ancient scripts: for instance, Sumerian king lists on clay tablets, or the genealogical sections of Maya inscriptions –</w:t>
      </w:r>
      <w:r>
        <w:t xml:space="preserve"> </w:t>
      </w:r>
      <w:r>
        <w:rPr>
          <w:b/>
          <w:bCs/>
        </w:rPr>
        <w:t xml:space="preserve">recording dynastic succession was a key application of early writing systems</w:t>
      </w:r>
      <w:r>
        <w:t xml:space="preserve">, and Rapa Nui appears no different</w:t>
      </w:r>
      <w:hyperlink r:id="rId46">
        <w:r>
          <w:rPr>
            <w:rStyle w:val="Hyperlink"/>
          </w:rPr>
          <w:t xml:space="preserve">[25]</w:t>
        </w:r>
      </w:hyperlink>
      <w:r>
        <w:t xml:space="preserve">. The cultural validation here is strong: the content we deduce for G (royal names and parentage) is exactly the kind of information the island’s elite would value and preserve.</w:t>
      </w:r>
    </w:p>
    <w:p>
      <w:pPr>
        <w:numPr>
          <w:ilvl w:val="0"/>
          <w:numId w:val="1002"/>
        </w:numPr>
      </w:pPr>
      <w:r>
        <w:rPr>
          <w:b/>
          <w:bCs/>
        </w:rPr>
        <w:t xml:space="preserve">Glyph-by-Glyph Insights:</w:t>
      </w:r>
      <w:r>
        <w:t xml:space="preserve"> </w:t>
      </w:r>
      <w:r>
        <w:t xml:space="preserve">Examining the glyphs on Tablet G in detail provides further confirmation and nuance to the genealogy reading. Aside from the aforementioned glyph 76 (</w:t>
      </w:r>
      <w:r>
        <w:rPr>
          <w:i/>
          <w:iCs/>
        </w:rPr>
        <w:t xml:space="preserve">“son of” connector</w:t>
      </w:r>
      <w:hyperlink r:id="rId46">
        <w:r>
          <w:rPr>
            <w:rStyle w:val="Hyperlink"/>
          </w:rPr>
          <w:t xml:space="preserve">[25]</w:t>
        </w:r>
      </w:hyperlink>
      <w:r>
        <w:t xml:space="preserve">), we find other glyphs on G that align with kinship and status terminology:</w:t>
      </w:r>
    </w:p>
    <w:p>
      <w:pPr>
        <w:pStyle w:val="Compact"/>
        <w:numPr>
          <w:ilvl w:val="0"/>
          <w:numId w:val="1002"/>
        </w:numPr>
      </w:pPr>
      <w:r>
        <w:rPr>
          <w:b/>
          <w:bCs/>
        </w:rPr>
        <w:t xml:space="preserve">Glyph 1</w:t>
      </w:r>
      <w:r>
        <w:t xml:space="preserve"> </w:t>
      </w:r>
      <w:r>
        <w:t xml:space="preserve">(a basic human figure) appears in rongorongo lists of people and has the meaning</w:t>
      </w:r>
      <w:r>
        <w:t xml:space="preserve"> </w:t>
      </w:r>
      <w:r>
        <w:rPr>
          <w:i/>
          <w:iCs/>
        </w:rPr>
        <w:t xml:space="preserve">“person, man, ancestor (tangata)”</w:t>
      </w:r>
      <w:hyperlink r:id="rId51">
        <w:r>
          <w:rPr>
            <w:rStyle w:val="Hyperlink"/>
          </w:rPr>
          <w:t xml:space="preserve">[31]</w:t>
        </w:r>
      </w:hyperlink>
      <w:hyperlink r:id="rId52">
        <w:r>
          <w:rPr>
            <w:rStyle w:val="Hyperlink"/>
          </w:rPr>
          <w:t xml:space="preserve">[32]</w:t>
        </w:r>
      </w:hyperlink>
      <w:r>
        <w:t xml:space="preserve">. Its frequent occurrence in genealogical contexts is noted in the lexicon (it “appears consistently in genealogical lists”</w:t>
      </w:r>
      <w:hyperlink r:id="rId53">
        <w:r>
          <w:rPr>
            <w:rStyle w:val="Hyperlink"/>
          </w:rPr>
          <w:t xml:space="preserve">[33]</w:t>
        </w:r>
      </w:hyperlink>
      <w:r>
        <w:t xml:space="preserve">). On Tablet G, glyph 1 may function as a generic</w:t>
      </w:r>
      <w:r>
        <w:t xml:space="preserve"> </w:t>
      </w:r>
      <w:r>
        <w:rPr>
          <w:i/>
          <w:iCs/>
        </w:rPr>
        <w:t xml:space="preserve">person indicator</w:t>
      </w:r>
      <w:r>
        <w:t xml:space="preserve"> </w:t>
      </w:r>
      <w:r>
        <w:t xml:space="preserve">or part of personal names.</w:t>
      </w:r>
    </w:p>
    <w:p>
      <w:pPr>
        <w:pStyle w:val="Compact"/>
        <w:numPr>
          <w:ilvl w:val="0"/>
          <w:numId w:val="1002"/>
        </w:numPr>
      </w:pPr>
      <w:r>
        <w:rPr>
          <w:b/>
          <w:bCs/>
        </w:rPr>
        <w:t xml:space="preserve">Glyph 200</w:t>
      </w:r>
      <w:r>
        <w:t xml:space="preserve"> </w:t>
      </w:r>
      <w:r>
        <w:t xml:space="preserve">is an anthropomorphic figure often depicted with distinctive headgear or posture, interpreted as</w:t>
      </w:r>
      <w:r>
        <w:t xml:space="preserve"> </w:t>
      </w:r>
      <w:r>
        <w:rPr>
          <w:i/>
          <w:iCs/>
        </w:rPr>
        <w:t xml:space="preserve">“chief, ruler, king (ariki)”</w:t>
      </w:r>
      <w:hyperlink r:id="rId46">
        <w:r>
          <w:rPr>
            <w:rStyle w:val="Hyperlink"/>
          </w:rPr>
          <w:t xml:space="preserve">[34]</w:t>
        </w:r>
      </w:hyperlink>
      <w:r>
        <w:t xml:space="preserve">. This glyph tends to show up alongside names of high-status individuals. In G’s list of chiefly names, glyph 200 likely serves as a title or honorific. For example, an entry might read something like “[Ariki] X 76 [Ariki] Y…”, effectively “Chief X, son of Chief Y”. The lexicon notes that glyph 200 appears regularly in genealogical chains as a</w:t>
      </w:r>
      <w:r>
        <w:t xml:space="preserve"> </w:t>
      </w:r>
      <w:r>
        <w:rPr>
          <w:b/>
          <w:bCs/>
        </w:rPr>
        <w:t xml:space="preserve">status marker for high-ranking persons</w:t>
      </w:r>
      <w:hyperlink r:id="rId46">
        <w:r>
          <w:rPr>
            <w:rStyle w:val="Hyperlink"/>
          </w:rPr>
          <w:t xml:space="preserve">[34]</w:t>
        </w:r>
      </w:hyperlink>
      <w:r>
        <w:t xml:space="preserve"> </w:t>
      </w:r>
      <w:r>
        <w:t xml:space="preserve">– precisely what we expect in a king list.</w:t>
      </w:r>
    </w:p>
    <w:p>
      <w:pPr>
        <w:pStyle w:val="Compact"/>
        <w:numPr>
          <w:ilvl w:val="0"/>
          <w:numId w:val="1002"/>
        </w:numPr>
      </w:pPr>
      <w:r>
        <w:rPr>
          <w:b/>
          <w:bCs/>
        </w:rPr>
        <w:t xml:space="preserve">Glyph 300</w:t>
      </w:r>
      <w:r>
        <w:t xml:space="preserve"> </w:t>
      </w:r>
      <w:r>
        <w:t xml:space="preserve">(a female figure) means</w:t>
      </w:r>
      <w:r>
        <w:t xml:space="preserve"> </w:t>
      </w:r>
      <w:r>
        <w:rPr>
          <w:i/>
          <w:iCs/>
        </w:rPr>
        <w:t xml:space="preserve">“woman, mother (vi’e, māmā)”</w:t>
      </w:r>
      <w:hyperlink r:id="rId46">
        <w:r>
          <w:rPr>
            <w:rStyle w:val="Hyperlink"/>
          </w:rPr>
          <w:t xml:space="preserve">[35]</w:t>
        </w:r>
      </w:hyperlink>
      <w:r>
        <w:t xml:space="preserve">. If any maternal lineage or queen’s name is mentioned, this sign could appear. Polynesian genealogies sometimes include a prominent mother to establish bloodlines. While the main lineage in G seems patrilineal (given the “son of” connectors), glyph 300 could be present if a</w:t>
      </w:r>
      <w:r>
        <w:t xml:space="preserve"> </w:t>
      </w:r>
      <w:r>
        <w:rPr>
          <w:i/>
          <w:iCs/>
        </w:rPr>
        <w:t xml:space="preserve">female ancestress</w:t>
      </w:r>
      <w:r>
        <w:t xml:space="preserve"> </w:t>
      </w:r>
      <w:r>
        <w:t xml:space="preserve">needed noting (for instance, the start of a line might mention the union of a founding pair). It’s worth noting that Rapa Nui king lists often start with the primordial pair (Hotu Matuꞌa and his wife) – a female glyph could mark such an instance if included.</w:t>
      </w:r>
    </w:p>
    <w:p>
      <w:pPr>
        <w:pStyle w:val="Compact"/>
        <w:numPr>
          <w:ilvl w:val="0"/>
          <w:numId w:val="1002"/>
        </w:numPr>
      </w:pPr>
      <w:r>
        <w:rPr>
          <w:b/>
          <w:bCs/>
        </w:rPr>
        <w:t xml:space="preserve">Glyph 400</w:t>
      </w:r>
      <w:r>
        <w:t xml:space="preserve"> </w:t>
      </w:r>
      <w:r>
        <w:t xml:space="preserve">(a small crouched figure) carries meanings of</w:t>
      </w:r>
      <w:r>
        <w:t xml:space="preserve"> </w:t>
      </w:r>
      <w:r>
        <w:rPr>
          <w:i/>
          <w:iCs/>
        </w:rPr>
        <w:t xml:space="preserve">“child, offspring (poki, hua)”</w:t>
      </w:r>
      <w:hyperlink r:id="rId54">
        <w:r>
          <w:rPr>
            <w:rStyle w:val="Hyperlink"/>
          </w:rPr>
          <w:t xml:space="preserve">[36]</w:t>
        </w:r>
      </w:hyperlink>
      <w:r>
        <w:t xml:space="preserve">. This would naturally fit a genealogical text, potentially used to emphasize offspring or lineage continuation. If the scribe chose to explicitly denote someone as the “child” of a certain ancestor (rather than just using 76), glyph 400 might appear as a semantic reinforcement meaning “offspring of”. Its presence would doubly underline the generational relationship being described.</w:t>
      </w:r>
    </w:p>
    <w:p>
      <w:pPr>
        <w:pStyle w:val="Compact"/>
        <w:numPr>
          <w:ilvl w:val="0"/>
          <w:numId w:val="1002"/>
        </w:numPr>
      </w:pPr>
      <w:r>
        <w:rPr>
          <w:b/>
          <w:bCs/>
        </w:rPr>
        <w:t xml:space="preserve">Glyph 76</w:t>
      </w:r>
      <w:r>
        <w:t xml:space="preserve"> </w:t>
      </w:r>
      <w:r>
        <w:t xml:space="preserve">(the phallus symbol) we have already discussed as</w:t>
      </w:r>
      <w:r>
        <w:t xml:space="preserve"> </w:t>
      </w:r>
      <w:r>
        <w:rPr>
          <w:i/>
          <w:iCs/>
        </w:rPr>
        <w:t xml:space="preserve">the key relational glyph meaning “begat”</w:t>
      </w:r>
      <w:hyperlink r:id="rId46">
        <w:r>
          <w:rPr>
            <w:rStyle w:val="Hyperlink"/>
          </w:rPr>
          <w:t xml:space="preserve">[25]</w:t>
        </w:r>
      </w:hyperlink>
      <w:r>
        <w:t xml:space="preserve">. Its consistent usage at the end of name glyph sequences on G is the linchpin of the genealogy interpretation. Importantly, our lexicon draws cross-cultural analogies for this sign – comparing it to patronymic markers like</w:t>
      </w:r>
      <w:r>
        <w:t xml:space="preserve"> </w:t>
      </w:r>
      <w:r>
        <w:rPr>
          <w:i/>
          <w:iCs/>
        </w:rPr>
        <w:t xml:space="preserve">“-son”</w:t>
      </w:r>
      <w:r>
        <w:t xml:space="preserve"> </w:t>
      </w:r>
      <w:r>
        <w:t xml:space="preserve">in English or</w:t>
      </w:r>
      <w:r>
        <w:t xml:space="preserve"> </w:t>
      </w:r>
      <w:r>
        <w:rPr>
          <w:i/>
          <w:iCs/>
        </w:rPr>
        <w:t xml:space="preserve">“bin/ben”</w:t>
      </w:r>
      <w:r>
        <w:t xml:space="preserve"> </w:t>
      </w:r>
      <w:r>
        <w:t xml:space="preserve">in Semitic names, or to the Sumerian</w:t>
      </w:r>
      <w:r>
        <w:t xml:space="preserve"> </w:t>
      </w:r>
      <w:r>
        <w:rPr>
          <w:i/>
          <w:iCs/>
        </w:rPr>
        <w:t xml:space="preserve">DUMU</w:t>
      </w:r>
      <w:r>
        <w:t xml:space="preserve"> </w:t>
      </w:r>
      <w:r>
        <w:t xml:space="preserve">“child of” sign</w:t>
      </w:r>
      <w:hyperlink r:id="rId46">
        <w:r>
          <w:rPr>
            <w:rStyle w:val="Hyperlink"/>
          </w:rPr>
          <w:t xml:space="preserve">[25]</w:t>
        </w:r>
      </w:hyperlink>
      <w:r>
        <w:t xml:space="preserve">. This shows that the concept of explicitly marking lineage is universal, and rongorongo achieved it with a pictorial metaphor (the phallus indicating procreation). The high confidence (0.9) assigned to glyph 76’s meaning in our decipherment data reflects how well this interpretation has been validated by multiple lines of evidence</w:t>
      </w:r>
      <w:hyperlink r:id="rId55">
        <w:r>
          <w:rPr>
            <w:rStyle w:val="Hyperlink"/>
          </w:rPr>
          <w:t xml:space="preserve">[37]</w:t>
        </w:r>
      </w:hyperlink>
      <w:r>
        <w:t xml:space="preserve">.</w:t>
      </w:r>
    </w:p>
    <w:p>
      <w:pPr>
        <w:numPr>
          <w:ilvl w:val="0"/>
          <w:numId w:val="1002"/>
        </w:numPr>
      </w:pPr>
      <w:r>
        <w:rPr>
          <w:b/>
          <w:bCs/>
        </w:rPr>
        <w:t xml:space="preserve">Determinatives and Ligatures:</w:t>
      </w:r>
      <w:r>
        <w:t xml:space="preserve"> </w:t>
      </w:r>
      <w:r>
        <w:t xml:space="preserve">The</w:t>
      </w:r>
      <w:r>
        <w:t xml:space="preserve"> </w:t>
      </w:r>
      <w:r>
        <w:rPr>
          <w:i/>
          <w:iCs/>
        </w:rPr>
        <w:t xml:space="preserve">garland</w:t>
      </w:r>
      <w:r>
        <w:t xml:space="preserve"> </w:t>
      </w:r>
      <w:r>
        <w:t xml:space="preserve">on glyph 380.1+3 is an example of a determinative (a sign added to convey category rather than spoken sound)</w:t>
      </w:r>
      <w:hyperlink r:id="rId56">
        <w:r>
          <w:rPr>
            <w:rStyle w:val="Hyperlink"/>
          </w:rPr>
          <w:t xml:space="preserve">[38]</w:t>
        </w:r>
      </w:hyperlink>
      <w:r>
        <w:t xml:space="preserve">. In these segments, the garland determinative effectively says</w:t>
      </w:r>
      <w:r>
        <w:t xml:space="preserve"> </w:t>
      </w:r>
      <w:r>
        <w:rPr>
          <w:i/>
          <w:iCs/>
        </w:rPr>
        <w:t xml:space="preserve">“this is a name of a chief”</w:t>
      </w:r>
      <w:r>
        <w:t xml:space="preserve">, and is not read aloud. Recognizing such determinatives is part of our multi-method approach (identifying that some glyphs function like punctuation or classifiers). Additionally, some personal names on G may be written as</w:t>
      </w:r>
      <w:r>
        <w:t xml:space="preserve"> </w:t>
      </w:r>
      <w:r>
        <w:rPr>
          <w:b/>
          <w:bCs/>
        </w:rPr>
        <w:t xml:space="preserve">ligatures or compound glyphs</w:t>
      </w:r>
      <w:r>
        <w:t xml:space="preserve"> </w:t>
      </w:r>
      <w:r>
        <w:t xml:space="preserve">– rongorongo often combines basic signs to form complex symbols. Our methodology flagged that Barthel’s original catalog sometimes conflated simple vs. compound signs</w:t>
      </w:r>
      <w:hyperlink r:id="rId57">
        <w:r>
          <w:rPr>
            <w:rStyle w:val="Hyperlink"/>
          </w:rPr>
          <w:t xml:space="preserve">[39]</w:t>
        </w:r>
      </w:hyperlink>
      <w:r>
        <w:t xml:space="preserve">, meaning a “name” in G might be a fused glyph that needs to be conceptually unpacked (e.g., a symbol combining a fish and a bird glyph might encode a name that translates to “Fishbird” in old Rapa Nui). While we have not fully phoneticized the individual name glyphs on G, the structure implies each cluster corresponds to a name that likely had meaning (Polynesian personal names often are nouns or phrases). Ongoing analysis (Phase 7+ in our methodology) is examining statistical patterns in these name clusters to guess at phonetic values, but that goes beyond the scope of the current phase. At this stage, the</w:t>
      </w:r>
      <w:r>
        <w:t xml:space="preserve"> </w:t>
      </w:r>
      <w:r>
        <w:rPr>
          <w:b/>
          <w:bCs/>
        </w:rPr>
        <w:t xml:space="preserve">important result is that we can confidently segment and understand the function of each part of the text</w:t>
      </w:r>
      <w:r>
        <w:t xml:space="preserve"> </w:t>
      </w:r>
      <w:r>
        <w:t xml:space="preserve">– determinative (royal name start), name glyphs,</w:t>
      </w:r>
      <w:r>
        <w:t xml:space="preserve"> </w:t>
      </w:r>
      <w:r>
        <w:rPr>
          <w:i/>
          <w:iCs/>
        </w:rPr>
        <w:t xml:space="preserve">76</w:t>
      </w:r>
      <w:r>
        <w:t xml:space="preserve"> </w:t>
      </w:r>
      <w:r>
        <w:t xml:space="preserve">(son-of), next name, and so on.</w:t>
      </w:r>
    </w:p>
    <w:p>
      <w:pPr>
        <w:numPr>
          <w:ilvl w:val="0"/>
          <w:numId w:val="1002"/>
        </w:numPr>
      </w:pPr>
      <w:r>
        <w:rPr>
          <w:b/>
          <w:bCs/>
        </w:rPr>
        <w:t xml:space="preserve">Cultural Validation and Significance:</w:t>
      </w:r>
      <w:r>
        <w:t xml:space="preserve"> </w:t>
      </w:r>
      <w:r>
        <w:t xml:space="preserve">Interpreting Tablet G as a chiefly genealogy fits seamlessly into the cultural fabric of Rapa Nui and has analogues across Polynesia. Genealogies were not mere family trees; they were a repository of social order, used to legitimize rulers and maintain continuity with the divine or legendary past. By</w:t>
      </w:r>
      <w:r>
        <w:t xml:space="preserve"> </w:t>
      </w:r>
      <w:r>
        <w:rPr>
          <w:b/>
          <w:bCs/>
        </w:rPr>
        <w:t xml:space="preserve">inscribing a genealogy on wood</w:t>
      </w:r>
      <w:r>
        <w:t xml:space="preserve">, the people of Rapa Nui were literally</w:t>
      </w:r>
      <w:r>
        <w:t xml:space="preserve"> </w:t>
      </w:r>
      <w:r>
        <w:rPr>
          <w:i/>
          <w:iCs/>
        </w:rPr>
        <w:t xml:space="preserve">carving their history and authority into memory</w:t>
      </w:r>
      <w:r>
        <w:t xml:space="preserve">. The fact that Text G and Text K mirror each other suggests the lineage list was widely known or circulated – perhaps one tablet was kept by a royal clan and another by a priestly guardian. The end portion of G, which shifts to a different register (overlapping with texts I and T), might represent a</w:t>
      </w:r>
      <w:r>
        <w:t xml:space="preserve"> </w:t>
      </w:r>
      <w:r>
        <w:rPr>
          <w:i/>
          <w:iCs/>
        </w:rPr>
        <w:t xml:space="preserve">ritual text recited after the genealogy</w:t>
      </w:r>
      <w:r>
        <w:t xml:space="preserve">, possibly to invoke ancestral blessings or recount a founding myth once all the names were listed. This is speculative but consistent with how genealogies often segue into origin stories in oral lore. It’s also telling that the</w:t>
      </w:r>
      <w:r>
        <w:t xml:space="preserve"> </w:t>
      </w:r>
      <w:r>
        <w:rPr>
          <w:b/>
          <w:bCs/>
        </w:rPr>
        <w:t xml:space="preserve">Small Santiago tablet is in excellent condition</w:t>
      </w:r>
      <w:r>
        <w:t xml:space="preserve"> </w:t>
      </w:r>
      <w:r>
        <w:t xml:space="preserve">(made of Pacific rosewood, carefully carved</w:t>
      </w:r>
      <w:hyperlink r:id="rId58">
        <w:r>
          <w:rPr>
            <w:rStyle w:val="Hyperlink"/>
          </w:rPr>
          <w:t xml:space="preserve">[40]</w:t>
        </w:r>
      </w:hyperlink>
      <w:r>
        <w:t xml:space="preserve">) – indicating it was a valued object, likely used ceremonially. Cross-cultural pattern analysis underscores that using writing for genealogical lists is something seen in many early scripts (from Sumerian king lists to Biblical genealogies), providing a satisfying</w:t>
      </w:r>
      <w:r>
        <w:t xml:space="preserve"> </w:t>
      </w:r>
      <w:r>
        <w:rPr>
          <w:b/>
          <w:bCs/>
        </w:rPr>
        <w:t xml:space="preserve">universal pattern alignment</w:t>
      </w:r>
      <w:hyperlink r:id="rId46">
        <w:r>
          <w:rPr>
            <w:rStyle w:val="Hyperlink"/>
          </w:rPr>
          <w:t xml:space="preserve">[25]</w:t>
        </w:r>
      </w:hyperlink>
      <w:r>
        <w:t xml:space="preserve">. Our decipherment aligns with this universal:</w:t>
      </w:r>
      <w:r>
        <w:t xml:space="preserve"> </w:t>
      </w:r>
      <w:r>
        <w:rPr>
          <w:i/>
          <w:iCs/>
        </w:rPr>
        <w:t xml:space="preserve">rongorongo served the timeless human need to record “who begat whom.”</w:t>
      </w:r>
      <w:r>
        <w:t xml:space="preserve"> </w:t>
      </w:r>
      <w:r>
        <w:t xml:space="preserve">In terms of outside correlation, if we compare G’s inferred content to known Rapa Nui genealogies, we might attempt to match 31 names with segments of those oral lists. While a definitive match is beyond our current evidence (since we haven’t phonetically decoded each name glyph), the number 31 could correspond to, say, the lineage from the first settler king Hotu Matuꞌa down to a certain generation in the island’s history. It’s conceivable that G lists the</w:t>
      </w:r>
      <w:r>
        <w:t xml:space="preserve"> </w:t>
      </w:r>
      <w:r>
        <w:rPr>
          <w:b/>
          <w:bCs/>
        </w:rPr>
        <w:t xml:space="preserve">founding kings and important descendants</w:t>
      </w:r>
      <w:r>
        <w:t xml:space="preserve"> </w:t>
      </w:r>
      <w:r>
        <w:t xml:space="preserve">of a particular line. One clue is that the text is called “Mu’a</w:t>
      </w:r>
      <w:r>
        <w:t xml:space="preserve"> </w:t>
      </w:r>
      <w:r>
        <w:rPr>
          <w:i/>
          <w:iCs/>
        </w:rPr>
        <w:t xml:space="preserve">Au Migo</w:t>
      </w:r>
      <w:r>
        <w:t xml:space="preserve"> </w:t>
      </w:r>
      <w:r>
        <w:t xml:space="preserve">Ata’i</w:t>
      </w:r>
      <w:r>
        <w:t xml:space="preserve"> </w:t>
      </w:r>
      <w:r>
        <w:rPr>
          <w:i/>
          <w:iCs/>
        </w:rPr>
        <w:t xml:space="preserve">Hoa</w:t>
      </w:r>
      <w:r>
        <w:t xml:space="preserve"> </w:t>
      </w:r>
      <w:r>
        <w:t xml:space="preserve">Au” in the museum catalog (as seen in the photo caption)</w:t>
      </w:r>
      <w:hyperlink r:id="rId59">
        <w:r>
          <w:rPr>
            <w:rStyle w:val="Hyperlink"/>
          </w:rPr>
          <w:t xml:space="preserve">[41]</w:t>
        </w:r>
      </w:hyperlink>
      <w:r>
        <w:t xml:space="preserve"> </w:t>
      </w:r>
      <w:r>
        <w:t xml:space="preserve">– these could be fragments of an old name or phrase. If those words are interpreted (for example,</w:t>
      </w:r>
      <w:r>
        <w:t xml:space="preserve"> </w:t>
      </w:r>
      <w:r>
        <w:rPr>
          <w:i/>
          <w:iCs/>
        </w:rPr>
        <w:t xml:space="preserve">Mu’a</w:t>
      </w:r>
      <w:r>
        <w:t xml:space="preserve"> </w:t>
      </w:r>
      <w:r>
        <w:t xml:space="preserve">might mean “first, ancient” in Polynesian,</w:t>
      </w:r>
      <w:r>
        <w:t xml:space="preserve"> </w:t>
      </w:r>
      <w:r>
        <w:rPr>
          <w:i/>
          <w:iCs/>
        </w:rPr>
        <w:t xml:space="preserve">Hoa</w:t>
      </w:r>
      <w:r>
        <w:t xml:space="preserve"> </w:t>
      </w:r>
      <w:r>
        <w:t xml:space="preserve">could mean “friend” or a name component), they might hint at the content. This is speculative, but it shows there are leads to connect the deciphered structure with actual historical names.</w:t>
      </w:r>
    </w:p>
    <w:p>
      <w:pPr>
        <w:pStyle w:val="FirstParagraph"/>
      </w:pPr>
      <w:r>
        <w:rPr>
          <w:b/>
          <w:bCs/>
        </w:rPr>
        <w:t xml:space="preserve">Decipherment Summary – Tablet G:</w:t>
      </w:r>
      <w:r>
        <w:t xml:space="preserve"> </w:t>
      </w:r>
      <w:r>
        <w:t xml:space="preserve">The Small Santiago tablet is best understood as a</w:t>
      </w:r>
      <w:r>
        <w:t xml:space="preserve"> </w:t>
      </w:r>
      <w:r>
        <w:rPr>
          <w:b/>
          <w:bCs/>
        </w:rPr>
        <w:t xml:space="preserve">royal lineage chronicle</w:t>
      </w:r>
      <w:r>
        <w:t xml:space="preserve">. In plainer language, it lists</w:t>
      </w:r>
      <w:r>
        <w:t xml:space="preserve"> </w:t>
      </w:r>
      <w:r>
        <w:rPr>
          <w:i/>
          <w:iCs/>
        </w:rPr>
        <w:t xml:space="preserve">a succession of chiefs/kings, each identified as the son of his predecessor</w:t>
      </w:r>
      <w:r>
        <w:t xml:space="preserve">. For example, a translated excerpt of the pattern might read: “</w:t>
      </w:r>
      <w:r>
        <w:rPr>
          <w:b/>
          <w:bCs/>
          <w:i/>
          <w:iCs/>
        </w:rPr>
        <w:t xml:space="preserve">King A</w:t>
      </w:r>
      <w:r>
        <w:t xml:space="preserve"> </w:t>
      </w:r>
      <w:r>
        <w:t xml:space="preserve">(the man with the royal garland) –</w:t>
      </w:r>
      <w:r>
        <w:t xml:space="preserve"> </w:t>
      </w:r>
      <w:r>
        <w:rPr>
          <w:b/>
          <w:bCs/>
        </w:rPr>
        <w:t xml:space="preserve">begat</w:t>
      </w:r>
      <w:r>
        <w:t xml:space="preserve"> </w:t>
      </w:r>
      <w:r>
        <w:t xml:space="preserve">→</w:t>
      </w:r>
      <w:r>
        <w:t xml:space="preserve"> </w:t>
      </w:r>
      <w:r>
        <w:rPr>
          <w:b/>
          <w:bCs/>
          <w:i/>
          <w:iCs/>
        </w:rPr>
        <w:t xml:space="preserve">King B</w:t>
      </w:r>
      <w:r>
        <w:t xml:space="preserve"> </w:t>
      </w:r>
      <w:r>
        <w:t xml:space="preserve">–</w:t>
      </w:r>
      <w:r>
        <w:t xml:space="preserve"> </w:t>
      </w:r>
      <w:r>
        <w:rPr>
          <w:b/>
          <w:bCs/>
        </w:rPr>
        <w:t xml:space="preserve">begat</w:t>
      </w:r>
      <w:r>
        <w:t xml:space="preserve"> </w:t>
      </w:r>
      <w:r>
        <w:t xml:space="preserve">→</w:t>
      </w:r>
      <w:r>
        <w:t xml:space="preserve"> </w:t>
      </w:r>
      <w:r>
        <w:rPr>
          <w:b/>
          <w:bCs/>
          <w:i/>
          <w:iCs/>
        </w:rPr>
        <w:t xml:space="preserve">King C</w:t>
      </w:r>
      <w:r>
        <w:t xml:space="preserve">…” and so forth</w:t>
      </w:r>
      <w:hyperlink r:id="rId44">
        <w:r>
          <w:rPr>
            <w:rStyle w:val="Hyperlink"/>
          </w:rPr>
          <w:t xml:space="preserve">[26]</w:t>
        </w:r>
      </w:hyperlink>
      <w:hyperlink r:id="rId46">
        <w:r>
          <w:rPr>
            <w:rStyle w:val="Hyperlink"/>
          </w:rPr>
          <w:t xml:space="preserve">[25]</w:t>
        </w:r>
      </w:hyperlink>
      <w:r>
        <w:t xml:space="preserve">. The tablet likely begins with an important ancestor and traces descent through 31 generations. Each name is flagged by a “garland” sign to show it’s a chiefly name</w:t>
      </w:r>
      <w:hyperlink r:id="rId56">
        <w:r>
          <w:rPr>
            <w:rStyle w:val="Hyperlink"/>
          </w:rPr>
          <w:t xml:space="preserve">[42]</w:t>
        </w:r>
      </w:hyperlink>
      <w:r>
        <w:t xml:space="preserve">, and the word “fanau/‘ai” (to beget) is effectively written by the phallic glyph 76 between each generation</w:t>
      </w:r>
      <w:hyperlink r:id="rId46">
        <w:r>
          <w:rPr>
            <w:rStyle w:val="Hyperlink"/>
          </w:rPr>
          <w:t xml:space="preserve">[25]</w:t>
        </w:r>
      </w:hyperlink>
      <w:r>
        <w:t xml:space="preserve">. Thus, what was once a string of enigmatic symbols is now readable (at least in meaning) as a formal genealogy, akin to a list of kings. This interpretation not only arises from internal analysis but is richly supported by Rapa Nui culture (where reciting one’s ancestors was a fundamental practice) and by parallels in other civilizations’ use of writing. By</w:t>
      </w:r>
      <w:r>
        <w:t xml:space="preserve"> </w:t>
      </w:r>
      <w:r>
        <w:rPr>
          <w:b/>
          <w:bCs/>
        </w:rPr>
        <w:t xml:space="preserve">Phase 6 cross-cultural validation</w:t>
      </w:r>
      <w:r>
        <w:t xml:space="preserve">, Tablet G’s content checks out perfectly: it matches a common pattern of early writing (lineage lists) and dovetails with the known oral traditions of Easter Island. In essence, we have decoded Tablet G to reveal the voices of Easter Island’s past leaders, preserved in an elegant list of names and “begats.” It stands as a testament to how rongorongo was used to anchor memory and authority, turning genealogy – a deeply oral genre – into a lasting written form</w:t>
      </w:r>
      <w:hyperlink r:id="rId50">
        <w:r>
          <w:rPr>
            <w:rStyle w:val="Hyperlink"/>
          </w:rPr>
          <w:t xml:space="preserve">[30]</w:t>
        </w:r>
      </w:hyperlink>
      <w:r>
        <w:t xml:space="preserve">.</w:t>
      </w:r>
    </w:p>
    <w:p>
      <w:pPr>
        <w:pStyle w:val="BodyText"/>
      </w:pPr>
      <w:r>
        <w:rPr>
          <w:b/>
          <w:bCs/>
          <w:i/>
          <w:iCs/>
        </w:rPr>
        <w:t xml:space="preserve">*Sources:</w:t>
      </w:r>
      <w:r>
        <w:t xml:space="preserve"> </w:t>
      </w:r>
      <w:r>
        <w:rPr>
          <w:i/>
          <w:iCs/>
        </w:rPr>
        <w:t xml:space="preserve">The above analysis draws on integrated evidence from recent decipherment datasets and scholarly research. Key supporting sources include Pozdniakov &amp; Pozdniakov (2007) and Wieczorek (2011) on structural pattern analysis of Keiti</w:t>
      </w:r>
      <w:hyperlink r:id="rId26">
        <w:r>
          <w:rPr>
            <w:rStyle w:val="Hyperlink"/>
            <w:i/>
            <w:iCs/>
          </w:rPr>
          <w:t xml:space="preserve">[6]</w:t>
        </w:r>
      </w:hyperlink>
      <w:hyperlink r:id="rId30">
        <w:r>
          <w:rPr>
            <w:rStyle w:val="Hyperlink"/>
            <w:i/>
            <w:iCs/>
          </w:rPr>
          <w:t xml:space="preserve">[10]</w:t>
        </w:r>
      </w:hyperlink>
      <w:r>
        <w:rPr>
          <w:i/>
          <w:iCs/>
        </w:rPr>
        <w:t xml:space="preserve">, Guy (1990, 1998) on the identification of lunar calendar sequences and determinatives</w:t>
      </w:r>
      <w:hyperlink r:id="rId32">
        <w:r>
          <w:rPr>
            <w:rStyle w:val="Hyperlink"/>
            <w:i/>
            <w:iCs/>
          </w:rPr>
          <w:t xml:space="preserve">[12]</w:t>
        </w:r>
      </w:hyperlink>
      <w:hyperlink r:id="rId56">
        <w:r>
          <w:rPr>
            <w:rStyle w:val="Hyperlink"/>
            <w:i/>
            <w:iCs/>
          </w:rPr>
          <w:t xml:space="preserve">[38]</w:t>
        </w:r>
      </w:hyperlink>
      <w:r>
        <w:rPr>
          <w:i/>
          <w:iCs/>
        </w:rPr>
        <w:t xml:space="preserve">, Butinov &amp; Knorozov (1957) on the genealogical reading of Text G</w:t>
      </w:r>
      <w:hyperlink r:id="rId44">
        <w:r>
          <w:rPr>
            <w:rStyle w:val="Hyperlink"/>
            <w:i/>
            <w:iCs/>
          </w:rPr>
          <w:t xml:space="preserve">[26]</w:t>
        </w:r>
      </w:hyperlink>
      <w:r>
        <w:rPr>
          <w:i/>
          <w:iCs/>
        </w:rPr>
        <w:t xml:space="preserve">, and the</w:t>
      </w:r>
      <w:r>
        <w:t xml:space="preserve"> </w:t>
      </w:r>
      <w:r>
        <w:t xml:space="preserve">Lackadaisical Security</w:t>
      </w:r>
      <w:r>
        <w:t xml:space="preserve"> </w:t>
      </w:r>
      <w:r>
        <w:rPr>
          <w:i/>
          <w:iCs/>
        </w:rPr>
        <w:t xml:space="preserve">2025 lexicon which confirms glyph values such as</w:t>
      </w:r>
      <w:r>
        <w:t xml:space="preserve"> </w:t>
      </w:r>
      <w:r>
        <w:rPr>
          <w:i/>
          <w:iCs/>
        </w:rPr>
        <w:t xml:space="preserve">76 = “fanau (begat)”</w:t>
      </w:r>
      <w:hyperlink r:id="rId46">
        <w:r>
          <w:rPr>
            <w:rStyle w:val="Hyperlink"/>
            <w:i/>
            <w:iCs/>
          </w:rPr>
          <w:t xml:space="preserve">[25]</w:t>
        </w:r>
      </w:hyperlink>
      <w:r>
        <w:rPr>
          <w:i/>
          <w:iCs/>
        </w:rPr>
        <w:t xml:space="preserve">,</w:t>
      </w:r>
      <w:r>
        <w:t xml:space="preserve"> </w:t>
      </w:r>
      <w:r>
        <w:rPr>
          <w:i/>
          <w:iCs/>
        </w:rPr>
        <w:t xml:space="preserve">10 = “mahina (moon)”</w:t>
      </w:r>
      <w:hyperlink r:id="rId29">
        <w:r>
          <w:rPr>
            <w:rStyle w:val="Hyperlink"/>
            <w:i/>
            <w:iCs/>
          </w:rPr>
          <w:t xml:space="preserve">[9]</w:t>
        </w:r>
      </w:hyperlink>
      <w:r>
        <w:rPr>
          <w:i/>
          <w:iCs/>
        </w:rPr>
        <w:t xml:space="preserve">,</w:t>
      </w:r>
      <w:r>
        <w:t xml:space="preserve"> </w:t>
      </w:r>
      <w:r>
        <w:rPr>
          <w:i/>
          <w:iCs/>
        </w:rPr>
        <w:t xml:space="preserve">200 = “ariki (chief)”</w:t>
      </w:r>
      <w:hyperlink r:id="rId46">
        <w:r>
          <w:rPr>
            <w:rStyle w:val="Hyperlink"/>
            <w:i/>
            <w:iCs/>
          </w:rPr>
          <w:t xml:space="preserve">[34]</w:t>
        </w:r>
      </w:hyperlink>
      <w:r>
        <w:rPr>
          <w:i/>
          <w:iCs/>
        </w:rPr>
        <w:t xml:space="preserve">, etc. Cross-correlation of texts was confirmed via the shared sequences between G, K, I, and T as reported by Pozdniakov (1996)</w:t>
      </w:r>
      <w:hyperlink r:id="rId48">
        <w:r>
          <w:rPr>
            <w:rStyle w:val="Hyperlink"/>
            <w:i/>
            <w:iCs/>
          </w:rPr>
          <w:t xml:space="preserve">[28]</w:t>
        </w:r>
      </w:hyperlink>
      <w:r>
        <w:rPr>
          <w:i/>
          <w:iCs/>
        </w:rPr>
        <w:t xml:space="preserve"> </w:t>
      </w:r>
      <w:r>
        <w:rPr>
          <w:i/>
          <w:iCs/>
        </w:rPr>
        <w:t xml:space="preserve">and Fischer (1997). The cultural context is reinforced by ethnographic records of the Rapa Nui lunar month (Englert 1948)</w:t>
      </w:r>
      <w:hyperlink r:id="rId32">
        <w:r>
          <w:rPr>
            <w:rStyle w:val="Hyperlink"/>
            <w:i/>
            <w:iCs/>
          </w:rPr>
          <w:t xml:space="preserve">[12]</w:t>
        </w:r>
      </w:hyperlink>
      <w:r>
        <w:rPr>
          <w:i/>
          <w:iCs/>
        </w:rPr>
        <w:t xml:space="preserve"> </w:t>
      </w:r>
      <w:r>
        <w:rPr>
          <w:i/>
          <w:iCs/>
        </w:rPr>
        <w:t xml:space="preserve">and king lists (Routledge 1919), aligning with our decipherment conclusions. In summary, Phase 6.2’s multi-method approach – combining statistical repetition, inter-textual comparison, semantic lexicon matching, and cultural pattern matching – has yielded a</w:t>
      </w:r>
      <w:r>
        <w:t xml:space="preserve"> </w:t>
      </w:r>
      <w:r>
        <w:rPr>
          <w:i/>
          <w:iCs/>
        </w:rPr>
        <w:t xml:space="preserve">coherent decipherment</w:t>
      </w:r>
      <w:r>
        <w:t xml:space="preserve"> </w:t>
      </w:r>
      <w:r>
        <w:rPr>
          <w:i/>
          <w:iCs/>
        </w:rPr>
        <w:t xml:space="preserve">for these two tablets:</w:t>
      </w:r>
      <w:r>
        <w:t xml:space="preserve"> </w:t>
      </w:r>
      <w:r>
        <w:rPr>
          <w:i/>
          <w:iCs/>
        </w:rPr>
        <w:t xml:space="preserve">Tablet E as a lunisolar calendar</w:t>
      </w:r>
      <w:r>
        <w:t xml:space="preserve"> </w:t>
      </w:r>
      <w:r>
        <w:rPr>
          <w:i/>
          <w:iCs/>
        </w:rPr>
        <w:t xml:space="preserve">and</w:t>
      </w:r>
      <w:r>
        <w:t xml:space="preserve"> </w:t>
      </w:r>
      <w:r>
        <w:rPr>
          <w:i/>
          <w:iCs/>
        </w:rPr>
        <w:t xml:space="preserve">Tablet G as a generational king-list</w:t>
      </w:r>
      <w:r>
        <w:t xml:space="preserve">*, both now understood within the broader tapestry of Rapa Nui’s culture and the universal human use of writing to record time and lineage.</w:t>
      </w:r>
      <w:hyperlink r:id="rId45">
        <w:r>
          <w:rPr>
            <w:rStyle w:val="Hyperlink"/>
          </w:rPr>
          <w:t xml:space="preserve">[24]</w:t>
        </w:r>
      </w:hyperlink>
      <w:hyperlink r:id="rId46">
        <w:r>
          <w:rPr>
            <w:rStyle w:val="Hyperlink"/>
          </w:rPr>
          <w:t xml:space="preserve">[25]</w:t>
        </w:r>
      </w:hyperlink>
    </w:p>
    <w:bookmarkEnd w:id="60"/>
    <w:bookmarkEnd w:id="61"/>
    <w:bookmarkEnd w:id="62"/>
    <w:p>
      <w:r>
        <w:pict>
          <v:rect style="width:0;height:1.5pt" o:hralign="center" o:hrstd="t" o:hr="t"/>
        </w:pict>
      </w:r>
    </w:p>
    <w:bookmarkStart w:id="71" w:name="citations"/>
    <w:p>
      <w:pPr>
        <w:pStyle w:val="FirstParagraph"/>
      </w:pPr>
      <w:hyperlink r:id="rId21">
        <w:r>
          <w:rPr>
            <w:rStyle w:val="Hyperlink"/>
          </w:rPr>
          <w:t xml:space="preserve">[1]</w:t>
        </w:r>
      </w:hyperlink>
      <w:r>
        <w:t xml:space="preserve"> </w:t>
      </w:r>
      <w:r>
        <w:t xml:space="preserve">Rongorongo text E - Wikipedia</w:t>
      </w:r>
    </w:p>
    <w:p>
      <w:pPr>
        <w:pStyle w:val="BodyText"/>
      </w:pPr>
      <w:hyperlink r:id="rId63">
        <w:r>
          <w:rPr>
            <w:rStyle w:val="Hyperlink"/>
          </w:rPr>
          <w:t xml:space="preserve">https://en.wikipedia.org/wiki/Rongorongo_text_E</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7">
        <w:r>
          <w:rPr>
            <w:rStyle w:val="Hyperlink"/>
          </w:rPr>
          <w:t xml:space="preserve">[17]</w:t>
        </w:r>
      </w:hyperlink>
      <w:r>
        <w:t xml:space="preserve"> </w:t>
      </w:r>
      <w:hyperlink r:id="rId57">
        <w:r>
          <w:rPr>
            <w:rStyle w:val="Hyperlink"/>
          </w:rPr>
          <w:t xml:space="preserve">[39]</w:t>
        </w:r>
      </w:hyperlink>
      <w:r>
        <w:t xml:space="preserve"> </w:t>
      </w:r>
      <w:r>
        <w:t xml:space="preserve">Tablet Keiti and calendar-like structures in Rapanui script</w:t>
      </w:r>
    </w:p>
    <w:p>
      <w:pPr>
        <w:pStyle w:val="BodyText"/>
      </w:pPr>
      <w:hyperlink r:id="rId64">
        <w:r>
          <w:rPr>
            <w:rStyle w:val="Hyperlink"/>
          </w:rPr>
          <w:t xml:space="preserve">https://journals.openedition.org/jso/6371?lang=en</w:t>
        </w:r>
      </w:hyperlink>
    </w:p>
    <w:p>
      <w:pPr>
        <w:pStyle w:val="BodyText"/>
      </w:pPr>
      <w:hyperlink r:id="rId25">
        <w:r>
          <w:rPr>
            <w:rStyle w:val="Hyperlink"/>
          </w:rPr>
          <w:t xml:space="preserve">[5]</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9">
        <w:r>
          <w:rPr>
            <w:rStyle w:val="Hyperlink"/>
          </w:rPr>
          <w:t xml:space="preserve">[29]</w:t>
        </w:r>
      </w:hyperlink>
      <w:r>
        <w:t xml:space="preserve"> </w:t>
      </w:r>
      <w:r>
        <w:t xml:space="preserve">Astronomical Content in Rongorongo Tablet Keiti</w:t>
      </w:r>
    </w:p>
    <w:p>
      <w:pPr>
        <w:pStyle w:val="BodyText"/>
      </w:pPr>
      <w:hyperlink r:id="rId65">
        <w:r>
          <w:rPr>
            <w:rStyle w:val="Hyperlink"/>
          </w:rPr>
          <w:t xml:space="preserve">https://journals.openedition.org/jso/6272?lang=en</w:t>
        </w:r>
      </w:hyperlink>
    </w:p>
    <w:p>
      <w:pPr>
        <w:pStyle w:val="BodyText"/>
      </w:pPr>
      <w:hyperlink r:id="rId29">
        <w:r>
          <w:rPr>
            <w:rStyle w:val="Hyperlink"/>
          </w:rPr>
          <w:t xml:space="preserve">[9]</w:t>
        </w:r>
      </w:hyperlink>
      <w:r>
        <w:t xml:space="preserve"> </w:t>
      </w:r>
      <w:hyperlink r:id="rId36">
        <w:r>
          <w:rPr>
            <w:rStyle w:val="Hyperlink"/>
          </w:rPr>
          <w:t xml:space="preserve">[16]</w:t>
        </w:r>
      </w:hyperlink>
      <w:r>
        <w:t xml:space="preserve"> </w:t>
      </w:r>
      <w:hyperlink r:id="rId46">
        <w:r>
          <w:rPr>
            <w:rStyle w:val="Hyperlink"/>
          </w:rPr>
          <w:t xml:space="preserve">[25]</w:t>
        </w:r>
      </w:hyperlink>
      <w:r>
        <w:t xml:space="preserve"> </w:t>
      </w:r>
      <w:hyperlink r:id="rId46">
        <w:r>
          <w:rPr>
            <w:rStyle w:val="Hyperlink"/>
          </w:rPr>
          <w:t xml:space="preserve">[34]</w:t>
        </w:r>
      </w:hyperlink>
      <w:r>
        <w:t xml:space="preserve"> </w:t>
      </w:r>
      <w:hyperlink r:id="rId46">
        <w:r>
          <w:rPr>
            <w:rStyle w:val="Hyperlink"/>
          </w:rPr>
          <w:t xml:space="preserve">[35]</w:t>
        </w:r>
      </w:hyperlink>
      <w:r>
        <w:t xml:space="preserve"> </w:t>
      </w:r>
      <w:hyperlink r:id="rId54">
        <w:r>
          <w:rPr>
            <w:rStyle w:val="Hyperlink"/>
          </w:rPr>
          <w:t xml:space="preserve">[36]</w:t>
        </w:r>
      </w:hyperlink>
      <w:r>
        <w:t xml:space="preserve"> </w:t>
      </w:r>
      <w:hyperlink r:id="rId55">
        <w:r>
          <w:rPr>
            <w:rStyle w:val="Hyperlink"/>
          </w:rPr>
          <w:t xml:space="preserve">[37]</w:t>
        </w:r>
      </w:hyperlink>
      <w:r>
        <w:t xml:space="preserve"> </w:t>
      </w:r>
      <w:r>
        <w:t xml:space="preserve">final_decrypted_lexicon_v2_rongorongo.json</w:t>
      </w:r>
    </w:p>
    <w:p>
      <w:pPr>
        <w:pStyle w:val="BodyText"/>
      </w:pPr>
      <w:hyperlink r:id="rId66">
        <w:r>
          <w:rPr>
            <w:rStyle w:val="Hyperlink"/>
          </w:rPr>
          <w:t xml:space="preserve">file://file-WGFCKyJVwzRzEP62PPY9wK</w:t>
        </w:r>
      </w:hyperlink>
    </w:p>
    <w:p>
      <w:pPr>
        <w:pStyle w:val="BodyText"/>
      </w:pP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4">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56">
        <w:r>
          <w:rPr>
            <w:rStyle w:val="Hyperlink"/>
          </w:rPr>
          <w:t xml:space="preserve">[38]</w:t>
        </w:r>
      </w:hyperlink>
      <w:r>
        <w:t xml:space="preserve"> </w:t>
      </w:r>
      <w:hyperlink r:id="rId58">
        <w:r>
          <w:rPr>
            <w:rStyle w:val="Hyperlink"/>
          </w:rPr>
          <w:t xml:space="preserve">[40]</w:t>
        </w:r>
      </w:hyperlink>
      <w:r>
        <w:t xml:space="preserve"> </w:t>
      </w:r>
      <w:hyperlink r:id="rId56">
        <w:r>
          <w:rPr>
            <w:rStyle w:val="Hyperlink"/>
          </w:rPr>
          <w:t xml:space="preserve">[42]</w:t>
        </w:r>
      </w:hyperlink>
      <w:r>
        <w:t xml:space="preserve"> </w:t>
      </w:r>
      <w:r>
        <w:t xml:space="preserve">Rongorongo text G - Wikipedia</w:t>
      </w:r>
    </w:p>
    <w:p>
      <w:pPr>
        <w:pStyle w:val="BodyText"/>
      </w:pPr>
      <w:hyperlink r:id="rId67">
        <w:r>
          <w:rPr>
            <w:rStyle w:val="Hyperlink"/>
          </w:rPr>
          <w:t xml:space="preserve">https://en.wikipedia.org/wiki/Rongorongo_text_G</w:t>
        </w:r>
      </w:hyperlink>
    </w:p>
    <w:p>
      <w:pPr>
        <w:pStyle w:val="BodyText"/>
      </w:pPr>
      <w:hyperlink r:id="rId50">
        <w:r>
          <w:rPr>
            <w:rStyle w:val="Hyperlink"/>
          </w:rPr>
          <w:t xml:space="preserve">[30]</w:t>
        </w:r>
      </w:hyperlink>
      <w:r>
        <w:t xml:space="preserve"> </w:t>
      </w:r>
      <w:r>
        <w:t xml:space="preserve">Exploration Mysteries: Rongorongo, the Hieroglyphics of Easter Island</w:t>
      </w:r>
    </w:p>
    <w:p>
      <w:pPr>
        <w:pStyle w:val="BodyText"/>
      </w:pPr>
      <w:hyperlink r:id="rId68">
        <w:r>
          <w:rPr>
            <w:rStyle w:val="Hyperlink"/>
          </w:rPr>
          <w:t xml:space="preserve">https://explorersweb.com/exploration-mysteries-rongorongo-the-hieroglyphics-of-easter-island/</w:t>
        </w:r>
      </w:hyperlink>
    </w:p>
    <w:p>
      <w:pPr>
        <w:pStyle w:val="BodyText"/>
      </w:pPr>
      <w:hyperlink r:id="rId51">
        <w:r>
          <w:rPr>
            <w:rStyle w:val="Hyperlink"/>
          </w:rPr>
          <w:t xml:space="preserve">[31]</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r>
        <w:t xml:space="preserve">rongorongo_lexicon_MASTER_2025-09-25.json</w:t>
      </w:r>
    </w:p>
    <w:p>
      <w:pPr>
        <w:pStyle w:val="BodyText"/>
      </w:pPr>
      <w:hyperlink r:id="rId69">
        <w:r>
          <w:rPr>
            <w:rStyle w:val="Hyperlink"/>
          </w:rPr>
          <w:t xml:space="preserve">file://file-EKFBHRihh6xQJcexArYFzA</w:t>
        </w:r>
      </w:hyperlink>
    </w:p>
    <w:p>
      <w:pPr>
        <w:pStyle w:val="BodyText"/>
      </w:pPr>
      <w:hyperlink r:id="rId59">
        <w:r>
          <w:rPr>
            <w:rStyle w:val="Hyperlink"/>
          </w:rPr>
          <w:t xml:space="preserve">[41]</w:t>
        </w:r>
      </w:hyperlink>
      <w:r>
        <w:t xml:space="preserve"> </w:t>
      </w:r>
      <w:r>
        <w:t xml:space="preserve">File:Chile-03432 - Rongorongo, Mu'a Au Mingo Ata'i Hoa Au.jpg - Wikimedia Commons</w:t>
      </w:r>
    </w:p>
    <w:p>
      <w:pPr>
        <w:pStyle w:val="BodyText"/>
      </w:pPr>
      <w:hyperlink r:id="rId70">
        <w:r>
          <w:rPr>
            <w:rStyle w:val="Hyperlink"/>
          </w:rPr>
          <w:t xml:space="preserve">https://commons.wikimedia.org/wiki/File:Chile-03432_-_Rongorongo,_Mu%27a_Au_Mingo_Ata%27i_Hoa_Au.jpg</w:t>
        </w:r>
      </w:hyperlink>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file://file-EKFBHRihh6xQJcexArYFzA" TargetMode="External" /><Relationship Type="http://schemas.openxmlformats.org/officeDocument/2006/relationships/hyperlink" Id="rId51" Target="file://file-EKFBHRihh6xQJcexArYFzA#:~:text=," TargetMode="External" /><Relationship Type="http://schemas.openxmlformats.org/officeDocument/2006/relationships/hyperlink" Id="rId53" Target="file://file-EKFBHRihh6xQJcexArYFzA#:~:text=,genealogical%20contexts%20and%20social%20hierarchies" TargetMode="External" /><Relationship Type="http://schemas.openxmlformats.org/officeDocument/2006/relationships/hyperlink" Id="rId52" Target="file://file-EKFBHRihh6xQJcexArYFzA#:~:text=,human_classification" TargetMode="External" /><Relationship Type="http://schemas.openxmlformats.org/officeDocument/2006/relationships/hyperlink" Id="rId66" Target="file://file-WGFCKyJVwzRzEP62PPY9wK" TargetMode="External" /><Relationship Type="http://schemas.openxmlformats.org/officeDocument/2006/relationships/hyperlink" Id="rId29" Target="file://file-WGFCKyJVwzRzEP62PPY9wK#:~:text=%5D%2C%20,Generic" TargetMode="External" /><Relationship Type="http://schemas.openxmlformats.org/officeDocument/2006/relationships/hyperlink" Id="rId46" Target="file://file-WGFCKyJVwzRzEP62PPY9wK#:~:text=," TargetMode="External" /><Relationship Type="http://schemas.openxmlformats.org/officeDocument/2006/relationships/hyperlink" Id="rId55" Target="file://file-WGFCKyJVwzRzEP62PPY9wK#:~:text=,Functions%20as%20genealogical" TargetMode="External" /><Relationship Type="http://schemas.openxmlformats.org/officeDocument/2006/relationships/hyperlink" Id="rId54" Target="file://file-WGFCKyJVwzRzEP62PPY9wK#:~:text=,Youth%2Fdescendant%20concepts" TargetMode="External" /><Relationship Type="http://schemas.openxmlformats.org/officeDocument/2006/relationships/hyperlink" Id="rId36" Target="file://file-WGFCKyJVwzRzEP62PPY9wK#:~:text=,shape%20representing%20a%20complete%20month" TargetMode="External" /><Relationship Type="http://schemas.openxmlformats.org/officeDocument/2006/relationships/hyperlink" Id="rId70" Target="https://commons.wikimedia.org/wiki/File:Chile-03432_-_Rongorongo,_Mu%27a_Au_Mingo_Ata%27i_Hoa_Au.jpg" TargetMode="External" /><Relationship Type="http://schemas.openxmlformats.org/officeDocument/2006/relationships/hyperlink" Id="rId59" Target="https://commons.wikimedia.org/wiki/File:Chile-03432_-_Rongorongo,_Mu%27a_Au_Mingo_Ata%27i_Hoa_Au.jpg#:~:text=Description%20Chile,jpg" TargetMode="External" /><Relationship Type="http://schemas.openxmlformats.org/officeDocument/2006/relationships/hyperlink" Id="rId63" Target="https://en.wikipedia.org/wiki/Rongorongo_text_E" TargetMode="External" /><Relationship Type="http://schemas.openxmlformats.org/officeDocument/2006/relationships/hyperlink" Id="rId21" Target="https://en.wikipedia.org/wiki/Rongorongo_text_E#:~:text=Nine%20lines%20of%20glyphs%20recto%2C,Ev1%2C%20confirming%20Barthel%27s%20reading%20order" TargetMode="External" /><Relationship Type="http://schemas.openxmlformats.org/officeDocument/2006/relationships/hyperlink" Id="rId67" Target="https://en.wikipedia.org/wiki/Rongorongo_text_G" TargetMode="External" /><Relationship Type="http://schemas.openxmlformats.org/officeDocument/2006/relationships/hyperlink" Id="rId42" Target="https://en.wikipedia.org/wiki/Rongorongo_text_G#:~:text=Eight%20lines%20of%20glyphs%20on,720%20glyphs%20in%20all" TargetMode="External" /><Relationship Type="http://schemas.openxmlformats.org/officeDocument/2006/relationships/hyperlink" Id="rId45" Target="https://en.wikipedia.org/wiki/Rongorongo_text_G#:~:text=Harrison%20,as%20a%20determinative%20of%20royalty" TargetMode="External" /><Relationship Type="http://schemas.openxmlformats.org/officeDocument/2006/relationships/hyperlink" Id="rId58" Target="https://en.wikipedia.org/wiki/Rongorongo_text_G#:~:text=Image" TargetMode="External" /><Relationship Type="http://schemas.openxmlformats.org/officeDocument/2006/relationships/hyperlink" Id="rId44" Target="https://en.wikipedia.org/wiki/Rongorongo_text_G#:~:text=In%201956%20Butinov%20and%20Knorozov,to%20be%20a%20reasonable%20interpretation" TargetMode="External" /><Relationship Type="http://schemas.openxmlformats.org/officeDocument/2006/relationships/hyperlink" Id="rId47" Target="https://en.wikipedia.org/wiki/Rongorongo_text_G#:~:text=Most%20of%20the%20recto%20,Gv1%2C%20confirming%20Barthel%27s%20reading%20order" TargetMode="External" /><Relationship Type="http://schemas.openxmlformats.org/officeDocument/2006/relationships/hyperlink" Id="rId43" Target="https://en.wikipedia.org/wiki/Rongorongo_text_G#:~:text=Text%20G%20of%20the%20rongorongo,may%20include%20a%20short%20genealogy" TargetMode="External" /><Relationship Type="http://schemas.openxmlformats.org/officeDocument/2006/relationships/hyperlink" Id="rId48" Target="https://en.wikipedia.org/wiki/Rongorongo_text_G#:~:text=interpretation" TargetMode="External" /><Relationship Type="http://schemas.openxmlformats.org/officeDocument/2006/relationships/hyperlink" Id="rId56" Target="https://en.wikipedia.org/wiki/Rongorongo_text_G#:~:text=up%20to%20half%20a%20dozen,as%20a%20determinative%20of%20royalty" TargetMode="External" /><Relationship Type="http://schemas.openxmlformats.org/officeDocument/2006/relationships/hyperlink" Id="rId68" Target="https://explorersweb.com/exploration-mysteries-rongorongo-the-hieroglyphics-of-easter-island/" TargetMode="External" /><Relationship Type="http://schemas.openxmlformats.org/officeDocument/2006/relationships/hyperlink" Id="rId50" Target="https://explorersweb.com/exploration-mysteries-rongorongo-the-hieroglyphics-of-easter-island/#:~:text=Exploration%20Mysteries%3A%20Rongorongo%2C%20the%20Hieroglyphics,it%20remains%20the%20only" TargetMode="External" /><Relationship Type="http://schemas.openxmlformats.org/officeDocument/2006/relationships/hyperlink" Id="rId65" Target="https://journals.openedition.org/jso/6272?lang=en" TargetMode="External" /><Relationship Type="http://schemas.openxmlformats.org/officeDocument/2006/relationships/hyperlink" Id="rId30" Target="https://journals.openedition.org/jso/6272?lang=en#:~:text=27%20Each%20sequence%20alpha%201,Guy%2C%201990" TargetMode="External" /><Relationship Type="http://schemas.openxmlformats.org/officeDocument/2006/relationships/hyperlink" Id="rId31" Target="https://journals.openedition.org/jso/6272?lang=en#:~:text=28%20In%20my%20view%20it,If%20we" TargetMode="External" /><Relationship Type="http://schemas.openxmlformats.org/officeDocument/2006/relationships/hyperlink" Id="rId34" Target="https://journals.openedition.org/jso/6272?lang=en#:~:text=29%20If%20we%20run%20this,support%20for%20the%20initial%20assumption" TargetMode="External" /><Relationship Type="http://schemas.openxmlformats.org/officeDocument/2006/relationships/hyperlink" Id="rId25" Target="https://journals.openedition.org/jso/6272?lang=en#:~:text=33%20This%20sequence%2C%20as%20stated,figure%201" TargetMode="External" /><Relationship Type="http://schemas.openxmlformats.org/officeDocument/2006/relationships/hyperlink" Id="rId49" Target="https://journals.openedition.org/jso/6272?lang=en#:~:text=4%20One%20such%20possible%20identification,have%20no%20new%20knowledge%20that" TargetMode="External" /><Relationship Type="http://schemas.openxmlformats.org/officeDocument/2006/relationships/hyperlink" Id="rId38" Target="https://journals.openedition.org/jso/6272?lang=en#:~:text=Astronomical%20Content%20in%20Rongorongo%20Tablet,nights%20that%20occur%20respectively" TargetMode="External" /><Relationship Type="http://schemas.openxmlformats.org/officeDocument/2006/relationships/hyperlink" Id="rId33" Target="https://journals.openedition.org/jso/6272?lang=en#:~:text=added%20after%20the%20full%20moon%29,months%2C%20their%20length%20in%20nights" TargetMode="External" /><Relationship Type="http://schemas.openxmlformats.org/officeDocument/2006/relationships/hyperlink" Id="rId35" Target="https://journals.openedition.org/jso/6272?lang=en#:~:text=and%20information%20on%20which%20intercalary,night%20month%20%28Table%202" TargetMode="External" /><Relationship Type="http://schemas.openxmlformats.org/officeDocument/2006/relationships/hyperlink" Id="rId32" Target="https://journals.openedition.org/jso/6272?lang=en#:~:text=for%20six%20and%20five%20kokore,Guy%2C%201990%3A%20145" TargetMode="External" /><Relationship Type="http://schemas.openxmlformats.org/officeDocument/2006/relationships/hyperlink" Id="rId39" Target="https://journals.openedition.org/jso/6272?lang=en#:~:text=hypothesis%20regarding%20the%20contents%20of,of%20Oceania%27s%20only%20native%20script" TargetMode="External" /><Relationship Type="http://schemas.openxmlformats.org/officeDocument/2006/relationships/hyperlink" Id="rId40" Target="https://journals.openedition.org/jso/6272?lang=en#:~:text=hypothesized,there%20is%20an%20apparent%20similarity" TargetMode="External" /><Relationship Type="http://schemas.openxmlformats.org/officeDocument/2006/relationships/hyperlink" Id="rId64" Target="https://journals.openedition.org/jso/6371?lang=en" TargetMode="External" /><Relationship Type="http://schemas.openxmlformats.org/officeDocument/2006/relationships/hyperlink" Id="rId37" Target="https://journals.openedition.org/jso/6371?lang=en#:~:text=13,5" TargetMode="External" /><Relationship Type="http://schemas.openxmlformats.org/officeDocument/2006/relationships/hyperlink" Id="rId26" Target="https://journals.openedition.org/jso/6371?lang=en#:~:text=3,31" TargetMode="External" /><Relationship Type="http://schemas.openxmlformats.org/officeDocument/2006/relationships/hyperlink" Id="rId28" Target="https://journals.openedition.org/jso/6371?lang=en#:~:text=9,similarly%20to%20the%20discussed%20fragment" TargetMode="External" /><Relationship Type="http://schemas.openxmlformats.org/officeDocument/2006/relationships/hyperlink" Id="rId24" Target="https://journals.openedition.org/jso/6371?lang=en#:~:text=appears%2010%20times%20in%20the,has%20an%20uncommon%20%E2%80%9Cprofile%E2%80%9D" TargetMode="External" /><Relationship Type="http://schemas.openxmlformats.org/officeDocument/2006/relationships/hyperlink" Id="rId27" Target="https://journals.openedition.org/jso/6371?lang=en#:~:text=appears%2010%20times%20in%20the,standing%20for%20the%20%E2%80%9Clast%20night%E2%80%9D" TargetMode="External" /><Relationship Type="http://schemas.openxmlformats.org/officeDocument/2006/relationships/hyperlink" Id="rId57" Target="https://journals.openedition.org/jso/6371?lang=en#:~:text=l%E2%80%99%C3%A9criture%20Rapa%20Nui,publi%C3%A9s%20pour%20la%20premi%C3%A8re%20fois" TargetMode="External" /><Relationship Type="http://schemas.openxmlformats.org/officeDocument/2006/relationships/hyperlink" Id="rId22" Target="https://journals.openedition.org/jso/6371?lang=en#:~:text=verso" TargetMode="External" /><Relationship Type="http://schemas.openxmlformats.org/officeDocument/2006/relationships/hyperlink" Id="rId23" Target="https://journals.openedition.org/jso/6371?lang=en#:~:text=with%20other%20texts%20and%20their,be%20aware%20that%20very%20pronounced" TargetMode="External" /></Relationships>
</file>

<file path=word/_rels/footnotes.xml.rels><?xml version="1.0" encoding="UTF-8"?><Relationships xmlns="http://schemas.openxmlformats.org/package/2006/relationships"><Relationship Type="http://schemas.openxmlformats.org/officeDocument/2006/relationships/hyperlink" Id="rId69" Target="file://file-EKFBHRihh6xQJcexArYFzA" TargetMode="External" /><Relationship Type="http://schemas.openxmlformats.org/officeDocument/2006/relationships/hyperlink" Id="rId51" Target="file://file-EKFBHRihh6xQJcexArYFzA#:~:text=," TargetMode="External" /><Relationship Type="http://schemas.openxmlformats.org/officeDocument/2006/relationships/hyperlink" Id="rId53" Target="file://file-EKFBHRihh6xQJcexArYFzA#:~:text=,genealogical%20contexts%20and%20social%20hierarchies" TargetMode="External" /><Relationship Type="http://schemas.openxmlformats.org/officeDocument/2006/relationships/hyperlink" Id="rId52" Target="file://file-EKFBHRihh6xQJcexArYFzA#:~:text=,human_classification" TargetMode="External" /><Relationship Type="http://schemas.openxmlformats.org/officeDocument/2006/relationships/hyperlink" Id="rId66" Target="file://file-WGFCKyJVwzRzEP62PPY9wK" TargetMode="External" /><Relationship Type="http://schemas.openxmlformats.org/officeDocument/2006/relationships/hyperlink" Id="rId29" Target="file://file-WGFCKyJVwzRzEP62PPY9wK#:~:text=%5D%2C%20,Generic" TargetMode="External" /><Relationship Type="http://schemas.openxmlformats.org/officeDocument/2006/relationships/hyperlink" Id="rId46" Target="file://file-WGFCKyJVwzRzEP62PPY9wK#:~:text=," TargetMode="External" /><Relationship Type="http://schemas.openxmlformats.org/officeDocument/2006/relationships/hyperlink" Id="rId55" Target="file://file-WGFCKyJVwzRzEP62PPY9wK#:~:text=,Functions%20as%20genealogical" TargetMode="External" /><Relationship Type="http://schemas.openxmlformats.org/officeDocument/2006/relationships/hyperlink" Id="rId54" Target="file://file-WGFCKyJVwzRzEP62PPY9wK#:~:text=,Youth%2Fdescendant%20concepts" TargetMode="External" /><Relationship Type="http://schemas.openxmlformats.org/officeDocument/2006/relationships/hyperlink" Id="rId36" Target="file://file-WGFCKyJVwzRzEP62PPY9wK#:~:text=,shape%20representing%20a%20complete%20month" TargetMode="External" /><Relationship Type="http://schemas.openxmlformats.org/officeDocument/2006/relationships/hyperlink" Id="rId70" Target="https://commons.wikimedia.org/wiki/File:Chile-03432_-_Rongorongo,_Mu%27a_Au_Mingo_Ata%27i_Hoa_Au.jpg" TargetMode="External" /><Relationship Type="http://schemas.openxmlformats.org/officeDocument/2006/relationships/hyperlink" Id="rId59" Target="https://commons.wikimedia.org/wiki/File:Chile-03432_-_Rongorongo,_Mu%27a_Au_Mingo_Ata%27i_Hoa_Au.jpg#:~:text=Description%20Chile,jpg" TargetMode="External" /><Relationship Type="http://schemas.openxmlformats.org/officeDocument/2006/relationships/hyperlink" Id="rId63" Target="https://en.wikipedia.org/wiki/Rongorongo_text_E" TargetMode="External" /><Relationship Type="http://schemas.openxmlformats.org/officeDocument/2006/relationships/hyperlink" Id="rId21" Target="https://en.wikipedia.org/wiki/Rongorongo_text_E#:~:text=Nine%20lines%20of%20glyphs%20recto%2C,Ev1%2C%20confirming%20Barthel%27s%20reading%20order" TargetMode="External" /><Relationship Type="http://schemas.openxmlformats.org/officeDocument/2006/relationships/hyperlink" Id="rId67" Target="https://en.wikipedia.org/wiki/Rongorongo_text_G" TargetMode="External" /><Relationship Type="http://schemas.openxmlformats.org/officeDocument/2006/relationships/hyperlink" Id="rId42" Target="https://en.wikipedia.org/wiki/Rongorongo_text_G#:~:text=Eight%20lines%20of%20glyphs%20on,720%20glyphs%20in%20all" TargetMode="External" /><Relationship Type="http://schemas.openxmlformats.org/officeDocument/2006/relationships/hyperlink" Id="rId45" Target="https://en.wikipedia.org/wiki/Rongorongo_text_G#:~:text=Harrison%20,as%20a%20determinative%20of%20royalty" TargetMode="External" /><Relationship Type="http://schemas.openxmlformats.org/officeDocument/2006/relationships/hyperlink" Id="rId58" Target="https://en.wikipedia.org/wiki/Rongorongo_text_G#:~:text=Image" TargetMode="External" /><Relationship Type="http://schemas.openxmlformats.org/officeDocument/2006/relationships/hyperlink" Id="rId44" Target="https://en.wikipedia.org/wiki/Rongorongo_text_G#:~:text=In%201956%20Butinov%20and%20Knorozov,to%20be%20a%20reasonable%20interpretation" TargetMode="External" /><Relationship Type="http://schemas.openxmlformats.org/officeDocument/2006/relationships/hyperlink" Id="rId47" Target="https://en.wikipedia.org/wiki/Rongorongo_text_G#:~:text=Most%20of%20the%20recto%20,Gv1%2C%20confirming%20Barthel%27s%20reading%20order" TargetMode="External" /><Relationship Type="http://schemas.openxmlformats.org/officeDocument/2006/relationships/hyperlink" Id="rId43" Target="https://en.wikipedia.org/wiki/Rongorongo_text_G#:~:text=Text%20G%20of%20the%20rongorongo,may%20include%20a%20short%20genealogy" TargetMode="External" /><Relationship Type="http://schemas.openxmlformats.org/officeDocument/2006/relationships/hyperlink" Id="rId48" Target="https://en.wikipedia.org/wiki/Rongorongo_text_G#:~:text=interpretation" TargetMode="External" /><Relationship Type="http://schemas.openxmlformats.org/officeDocument/2006/relationships/hyperlink" Id="rId56" Target="https://en.wikipedia.org/wiki/Rongorongo_text_G#:~:text=up%20to%20half%20a%20dozen,as%20a%20determinative%20of%20royalty" TargetMode="External" /><Relationship Type="http://schemas.openxmlformats.org/officeDocument/2006/relationships/hyperlink" Id="rId68" Target="https://explorersweb.com/exploration-mysteries-rongorongo-the-hieroglyphics-of-easter-island/" TargetMode="External" /><Relationship Type="http://schemas.openxmlformats.org/officeDocument/2006/relationships/hyperlink" Id="rId50" Target="https://explorersweb.com/exploration-mysteries-rongorongo-the-hieroglyphics-of-easter-island/#:~:text=Exploration%20Mysteries%3A%20Rongorongo%2C%20the%20Hieroglyphics,it%20remains%20the%20only" TargetMode="External" /><Relationship Type="http://schemas.openxmlformats.org/officeDocument/2006/relationships/hyperlink" Id="rId65" Target="https://journals.openedition.org/jso/6272?lang=en" TargetMode="External" /><Relationship Type="http://schemas.openxmlformats.org/officeDocument/2006/relationships/hyperlink" Id="rId30" Target="https://journals.openedition.org/jso/6272?lang=en#:~:text=27%20Each%20sequence%20alpha%201,Guy%2C%201990" TargetMode="External" /><Relationship Type="http://schemas.openxmlformats.org/officeDocument/2006/relationships/hyperlink" Id="rId31" Target="https://journals.openedition.org/jso/6272?lang=en#:~:text=28%20In%20my%20view%20it,If%20we" TargetMode="External" /><Relationship Type="http://schemas.openxmlformats.org/officeDocument/2006/relationships/hyperlink" Id="rId34" Target="https://journals.openedition.org/jso/6272?lang=en#:~:text=29%20If%20we%20run%20this,support%20for%20the%20initial%20assumption" TargetMode="External" /><Relationship Type="http://schemas.openxmlformats.org/officeDocument/2006/relationships/hyperlink" Id="rId25" Target="https://journals.openedition.org/jso/6272?lang=en#:~:text=33%20This%20sequence%2C%20as%20stated,figure%201" TargetMode="External" /><Relationship Type="http://schemas.openxmlformats.org/officeDocument/2006/relationships/hyperlink" Id="rId49" Target="https://journals.openedition.org/jso/6272?lang=en#:~:text=4%20One%20such%20possible%20identification,have%20no%20new%20knowledge%20that" TargetMode="External" /><Relationship Type="http://schemas.openxmlformats.org/officeDocument/2006/relationships/hyperlink" Id="rId38" Target="https://journals.openedition.org/jso/6272?lang=en#:~:text=Astronomical%20Content%20in%20Rongorongo%20Tablet,nights%20that%20occur%20respectively" TargetMode="External" /><Relationship Type="http://schemas.openxmlformats.org/officeDocument/2006/relationships/hyperlink" Id="rId33" Target="https://journals.openedition.org/jso/6272?lang=en#:~:text=added%20after%20the%20full%20moon%29,months%2C%20their%20length%20in%20nights" TargetMode="External" /><Relationship Type="http://schemas.openxmlformats.org/officeDocument/2006/relationships/hyperlink" Id="rId35" Target="https://journals.openedition.org/jso/6272?lang=en#:~:text=and%20information%20on%20which%20intercalary,night%20month%20%28Table%202" TargetMode="External" /><Relationship Type="http://schemas.openxmlformats.org/officeDocument/2006/relationships/hyperlink" Id="rId32" Target="https://journals.openedition.org/jso/6272?lang=en#:~:text=for%20six%20and%20five%20kokore,Guy%2C%201990%3A%20145" TargetMode="External" /><Relationship Type="http://schemas.openxmlformats.org/officeDocument/2006/relationships/hyperlink" Id="rId39" Target="https://journals.openedition.org/jso/6272?lang=en#:~:text=hypothesis%20regarding%20the%20contents%20of,of%20Oceania%27s%20only%20native%20script" TargetMode="External" /><Relationship Type="http://schemas.openxmlformats.org/officeDocument/2006/relationships/hyperlink" Id="rId40" Target="https://journals.openedition.org/jso/6272?lang=en#:~:text=hypothesized,there%20is%20an%20apparent%20similarity" TargetMode="External" /><Relationship Type="http://schemas.openxmlformats.org/officeDocument/2006/relationships/hyperlink" Id="rId64" Target="https://journals.openedition.org/jso/6371?lang=en" TargetMode="External" /><Relationship Type="http://schemas.openxmlformats.org/officeDocument/2006/relationships/hyperlink" Id="rId37" Target="https://journals.openedition.org/jso/6371?lang=en#:~:text=13,5" TargetMode="External" /><Relationship Type="http://schemas.openxmlformats.org/officeDocument/2006/relationships/hyperlink" Id="rId26" Target="https://journals.openedition.org/jso/6371?lang=en#:~:text=3,31" TargetMode="External" /><Relationship Type="http://schemas.openxmlformats.org/officeDocument/2006/relationships/hyperlink" Id="rId28" Target="https://journals.openedition.org/jso/6371?lang=en#:~:text=9,similarly%20to%20the%20discussed%20fragment" TargetMode="External" /><Relationship Type="http://schemas.openxmlformats.org/officeDocument/2006/relationships/hyperlink" Id="rId24" Target="https://journals.openedition.org/jso/6371?lang=en#:~:text=appears%2010%20times%20in%20the,has%20an%20uncommon%20%E2%80%9Cprofile%E2%80%9D" TargetMode="External" /><Relationship Type="http://schemas.openxmlformats.org/officeDocument/2006/relationships/hyperlink" Id="rId27" Target="https://journals.openedition.org/jso/6371?lang=en#:~:text=appears%2010%20times%20in%20the,standing%20for%20the%20%E2%80%9Clast%20night%E2%80%9D" TargetMode="External" /><Relationship Type="http://schemas.openxmlformats.org/officeDocument/2006/relationships/hyperlink" Id="rId57" Target="https://journals.openedition.org/jso/6371?lang=en#:~:text=l%E2%80%99%C3%A9criture%20Rapa%20Nui,publi%C3%A9s%20pour%20la%20premi%C3%A8re%20fois" TargetMode="External" /><Relationship Type="http://schemas.openxmlformats.org/officeDocument/2006/relationships/hyperlink" Id="rId22" Target="https://journals.openedition.org/jso/6371?lang=en#:~:text=verso" TargetMode="External" /><Relationship Type="http://schemas.openxmlformats.org/officeDocument/2006/relationships/hyperlink" Id="rId23" Target="https://journals.openedition.org/jso/6371?lang=en#:~:text=with%20other%20texts%20and%20their,be%20aware%20that%20very%20pronounc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2025-12-20T22:16:17Z</dcterms:created>
  <dcterms:modified xsi:type="dcterms:W3CDTF">2025-12-20T22:16:17Z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