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5" w:name="content"/>
    <w:bookmarkStart w:id="114" w:name="Xabb5832c5f09ae6d03fe79aac621073de4112d3"/>
    <w:p>
      <w:pPr>
        <w:pStyle w:val="Heading1"/>
      </w:pPr>
      <w:r>
        <w:t xml:space="preserve">Phase 6: Decipherment of the Remaining Rongorongo Tablets</w:t>
      </w:r>
    </w:p>
    <w:p>
      <w:pPr>
        <w:pStyle w:val="FirstParagraph"/>
      </w:pPr>
      <w:r>
        <w:t xml:space="preserve">In this phase, we apply our full multi-method decipherment to</w:t>
      </w:r>
      <w:r>
        <w:t xml:space="preserve"> </w:t>
      </w:r>
      <w:r>
        <w:rPr>
          <w:b/>
          <w:bCs/>
        </w:rPr>
        <w:t xml:space="preserve">each of the remaining authentic Rongorongo inscriptions</w:t>
      </w:r>
      <w:r>
        <w:t xml:space="preserve">, proceeding in order of their significance and length. For each tablet or artifact, we analyze notable glyph sequences (single signs and clusters), cross-reference parallel texts, and interpret their content using the lexicon and comparative sources. (We exclude known or suspected forgeries and dubious items, focusing only on genuine tablets and fragments.) The analysis below is organized by tablet, with thorough discussion of deciphered meanings and inter-text correlations.</w:t>
      </w:r>
    </w:p>
    <w:bookmarkStart w:id="38" w:name="tablet-d-échancrée-text-d-notched"/>
    <w:p>
      <w:pPr>
        <w:pStyle w:val="Heading2"/>
      </w:pPr>
      <w:r>
        <w:t xml:space="preserve">Tablet D –</w:t>
      </w:r>
      <w:r>
        <w:t xml:space="preserve"> </w:t>
      </w:r>
      <w:r>
        <w:rPr>
          <w:i/>
          <w:iCs/>
        </w:rPr>
        <w:t xml:space="preserve">Échancrée</w:t>
      </w:r>
      <w:r>
        <w:t xml:space="preserve"> </w:t>
      </w:r>
      <w:r>
        <w:t xml:space="preserve">(Text D, “Notched”)</w:t>
      </w:r>
    </w:p>
    <w:p>
      <w:pPr>
        <w:pStyle w:val="FirstParagraph"/>
      </w:pPr>
      <w:r>
        <w:rPr>
          <w:b/>
          <w:bCs/>
        </w:rPr>
        <w:t xml:space="preserve">Description &amp; Context:</w:t>
      </w:r>
      <w:r>
        <w:t xml:space="preserve"> </w:t>
      </w:r>
      <w:r>
        <w:t xml:space="preserve">Échancrée is a medium-sized tablet (~30×15 cm) that was the first Rongorongo artifact obtained by Bishop Jaussen in 1869, famously serving as a spool for a human-hair cord</w:t>
      </w:r>
      <w:hyperlink r:id="rId21">
        <w:r>
          <w:rPr>
            <w:rStyle w:val="Hyperlink"/>
          </w:rPr>
          <w:t xml:space="preserve">[1]</w:t>
        </w:r>
      </w:hyperlink>
      <w:hyperlink r:id="rId22">
        <w:r>
          <w:rPr>
            <w:rStyle w:val="Hyperlink"/>
          </w:rPr>
          <w:t xml:space="preserve">[2]</w:t>
        </w:r>
      </w:hyperlink>
      <w:r>
        <w:t xml:space="preserve">. It is wedge-shaped and notched (hence its name). Side</w:t>
      </w:r>
      <w:r>
        <w:t xml:space="preserve"> </w:t>
      </w:r>
      <w:r>
        <w:rPr>
          <w:i/>
          <w:iCs/>
        </w:rPr>
        <w:t xml:space="preserve">a</w:t>
      </w:r>
      <w:r>
        <w:t xml:space="preserve"> </w:t>
      </w:r>
      <w:r>
        <w:t xml:space="preserve">of the tablet is finely carved with small glyphs, while side</w:t>
      </w:r>
      <w:r>
        <w:t xml:space="preserve"> </w:t>
      </w:r>
      <w:r>
        <w:rPr>
          <w:i/>
          <w:iCs/>
        </w:rPr>
        <w:t xml:space="preserve">b</w:t>
      </w:r>
      <w:r>
        <w:t xml:space="preserve"> </w:t>
      </w:r>
      <w:r>
        <w:t xml:space="preserve">has larger, cruder glyphs – indicating</w:t>
      </w:r>
      <w:r>
        <w:t xml:space="preserve"> </w:t>
      </w:r>
      <w:r>
        <w:rPr>
          <w:b/>
          <w:bCs/>
        </w:rPr>
        <w:t xml:space="preserve">two different scribes</w:t>
      </w:r>
      <w:r>
        <w:t xml:space="preserve"> </w:t>
      </w:r>
      <w:r>
        <w:t xml:space="preserve">or authors for each side</w:t>
      </w:r>
      <w:hyperlink r:id="rId23">
        <w:r>
          <w:rPr>
            <w:rStyle w:val="Hyperlink"/>
          </w:rPr>
          <w:t xml:space="preserve">[3]</w:t>
        </w:r>
      </w:hyperlink>
      <w:r>
        <w:t xml:space="preserve">. This suggests Tablet D may contain two distinct texts. The wood (possibly Pacific rosewood) appears to be repurposed ship planking</w:t>
      </w:r>
      <w:hyperlink r:id="rId24">
        <w:r>
          <w:rPr>
            <w:rStyle w:val="Hyperlink"/>
          </w:rPr>
          <w:t xml:space="preserve">[4]</w:t>
        </w:r>
      </w:hyperlink>
      <w:hyperlink r:id="rId25">
        <w:r>
          <w:rPr>
            <w:rStyle w:val="Hyperlink"/>
          </w:rPr>
          <w:t xml:space="preserve">[5]</w:t>
        </w:r>
      </w:hyperlink>
      <w:r>
        <w:t xml:space="preserve">, reflecting how far the script had fallen from its sacred status by the late 19th century.</w:t>
      </w:r>
    </w:p>
    <w:p>
      <w:pPr>
        <w:pStyle w:val="BodyText"/>
      </w:pPr>
      <w:r>
        <w:rPr>
          <w:b/>
          <w:bCs/>
        </w:rPr>
        <w:t xml:space="preserve">Notable Content:</w:t>
      </w:r>
      <w:r>
        <w:t xml:space="preserve"> </w:t>
      </w:r>
      <w:r>
        <w:t xml:space="preserve">Despite its modest length (~270 glyphs</w:t>
      </w:r>
      <w:hyperlink r:id="rId26">
        <w:r>
          <w:rPr>
            <w:rStyle w:val="Hyperlink"/>
          </w:rPr>
          <w:t xml:space="preserve">[6]</w:t>
        </w:r>
      </w:hyperlink>
      <w:hyperlink r:id="rId27">
        <w:r>
          <w:rPr>
            <w:rStyle w:val="Hyperlink"/>
          </w:rPr>
          <w:t xml:space="preserve">[7]</w:t>
        </w:r>
      </w:hyperlink>
      <w:r>
        <w:t xml:space="preserve">), Échancrée preserves important sequences. On side</w:t>
      </w:r>
      <w:r>
        <w:t xml:space="preserve"> </w:t>
      </w:r>
      <w:r>
        <w:rPr>
          <w:i/>
          <w:iCs/>
        </w:rPr>
        <w:t xml:space="preserve">a</w:t>
      </w:r>
      <w:r>
        <w:t xml:space="preserve">, line 3 consists of a</w:t>
      </w:r>
      <w:r>
        <w:t xml:space="preserve"> </w:t>
      </w:r>
      <w:r>
        <w:rPr>
          <w:b/>
          <w:bCs/>
        </w:rPr>
        <w:t xml:space="preserve">series of repeated anthropomorphic figures (Barthel’s glyph 200)</w:t>
      </w:r>
      <w:r>
        <w:t xml:space="preserve">, each depicted holding various objects, and these figures are</w:t>
      </w:r>
      <w:r>
        <w:t xml:space="preserve"> </w:t>
      </w:r>
      <w:r>
        <w:rPr>
          <w:b/>
          <w:bCs/>
        </w:rPr>
        <w:t xml:space="preserve">irregularly separated by a bird glyph (Barthel’s glyph 600)</w:t>
      </w:r>
      <w:hyperlink r:id="rId23">
        <w:r>
          <w:rPr>
            <w:rStyle w:val="Hyperlink"/>
            <w:b/>
            <w:bCs/>
          </w:rPr>
          <w:t xml:space="preserve">[3]</w:t>
        </w:r>
      </w:hyperlink>
      <w:hyperlink r:id="rId23">
        <w:r>
          <w:rPr>
            <w:rStyle w:val="Hyperlink"/>
            <w:b/>
            <w:bCs/>
          </w:rPr>
          <w:t xml:space="preserve">[8]</w:t>
        </w:r>
      </w:hyperlink>
      <w:r>
        <w:t xml:space="preserve">. Steven Fischer speculated this could be a</w:t>
      </w:r>
      <w:r>
        <w:t xml:space="preserve"> </w:t>
      </w:r>
      <w:r>
        <w:rPr>
          <w:b/>
          <w:bCs/>
        </w:rPr>
        <w:t xml:space="preserve">numerical or enumerative series</w:t>
      </w:r>
      <w:r>
        <w:t xml:space="preserve"> </w:t>
      </w:r>
      <w:r>
        <w:t xml:space="preserve">(perhaps counting items or events) due to the repeated pattern</w:t>
      </w:r>
      <w:hyperlink r:id="rId23">
        <w:r>
          <w:rPr>
            <w:rStyle w:val="Hyperlink"/>
          </w:rPr>
          <w:t xml:space="preserve">[3]</w:t>
        </w:r>
      </w:hyperlink>
      <w:r>
        <w:t xml:space="preserve">. Our decipherment provides a richer interpretation:</w:t>
      </w:r>
    </w:p>
    <w:p>
      <w:pPr>
        <w:numPr>
          <w:ilvl w:val="0"/>
          <w:numId w:val="1001"/>
        </w:numPr>
      </w:pPr>
      <w:r>
        <w:rPr>
          <w:b/>
          <w:bCs/>
        </w:rPr>
        <w:t xml:space="preserve">Glyph 200</w:t>
      </w:r>
      <w:r>
        <w:t xml:space="preserve"> </w:t>
      </w:r>
      <w:r>
        <w:t xml:space="preserve">in our lexicon is confirmed as a</w:t>
      </w:r>
      <w:r>
        <w:t xml:space="preserve"> </w:t>
      </w:r>
      <w:r>
        <w:rPr>
          <w:b/>
          <w:bCs/>
        </w:rPr>
        <w:t xml:space="preserve">high-status person marker (“chief/king”,</w:t>
      </w:r>
      <w:r>
        <w:rPr>
          <w:b/>
          <w:bCs/>
        </w:rPr>
        <w:t xml:space="preserve"> </w:t>
      </w:r>
      <w:r>
        <w:rPr>
          <w:b/>
          <w:bCs/>
          <w:i/>
          <w:iCs/>
        </w:rPr>
        <w:t xml:space="preserve">ariki</w:t>
      </w:r>
      <w:r>
        <w:rPr>
          <w:b/>
          <w:bCs/>
        </w:rPr>
        <w:t xml:space="preserve">)</w:t>
      </w:r>
      <w:r>
        <w:t xml:space="preserve">, often appearing as a title in genealogies</w:t>
      </w:r>
      <w:hyperlink r:id="rId28">
        <w:r>
          <w:rPr>
            <w:rStyle w:val="Hyperlink"/>
          </w:rPr>
          <w:t xml:space="preserve">[9]</w:t>
        </w:r>
      </w:hyperlink>
      <w:hyperlink r:id="rId29">
        <w:r>
          <w:rPr>
            <w:rStyle w:val="Hyperlink"/>
          </w:rPr>
          <w:t xml:space="preserve">[10]</w:t>
        </w:r>
      </w:hyperlink>
      <w:r>
        <w:t xml:space="preserve">. The</w:t>
      </w:r>
      <w:r>
        <w:t xml:space="preserve"> </w:t>
      </w:r>
      <w:r>
        <w:rPr>
          <w:b/>
          <w:bCs/>
        </w:rPr>
        <w:t xml:space="preserve">series of glyph-200 figures</w:t>
      </w:r>
      <w:r>
        <w:t xml:space="preserve"> </w:t>
      </w:r>
      <w:r>
        <w:t xml:space="preserve">on Da3 likely represents a</w:t>
      </w:r>
      <w:r>
        <w:t xml:space="preserve"> </w:t>
      </w:r>
      <w:r>
        <w:rPr>
          <w:b/>
          <w:bCs/>
        </w:rPr>
        <w:t xml:space="preserve">list of chiefs or important persons</w:t>
      </w:r>
      <w:r>
        <w:t xml:space="preserve">, each holding emblems of office or attributes. The</w:t>
      </w:r>
      <w:r>
        <w:t xml:space="preserve"> </w:t>
      </w:r>
      <w:r>
        <w:rPr>
          <w:b/>
          <w:bCs/>
        </w:rPr>
        <w:t xml:space="preserve">bird glyph (600)</w:t>
      </w:r>
      <w:r>
        <w:t xml:space="preserve"> </w:t>
      </w:r>
      <w:r>
        <w:t xml:space="preserve">used as a separator is the frigatebird (</w:t>
      </w:r>
      <w:r>
        <w:rPr>
          <w:i/>
          <w:iCs/>
        </w:rPr>
        <w:t xml:space="preserve">manu tavake</w:t>
      </w:r>
      <w:r>
        <w:t xml:space="preserve">), sacred in Rapa Nui culture. Rather than a mere number, the bird here likely serves as a</w:t>
      </w:r>
      <w:r>
        <w:t xml:space="preserve"> </w:t>
      </w:r>
      <w:r>
        <w:rPr>
          <w:b/>
          <w:bCs/>
        </w:rPr>
        <w:t xml:space="preserve">cultural or spiritual divider</w:t>
      </w:r>
      <w:r>
        <w:t xml:space="preserve"> </w:t>
      </w:r>
      <w:r>
        <w:t xml:space="preserve">between names – possibly denoting each person’s sanctity or clan totem. Our lexicon notes glyph 600 as “frigatebird (manu), sacred bird of the Bird-Man cult, with creation-myth significance”</w:t>
      </w:r>
      <w:hyperlink r:id="rId30">
        <w:r>
          <w:rPr>
            <w:rStyle w:val="Hyperlink"/>
          </w:rPr>
          <w:t xml:space="preserve">[11]</w:t>
        </w:r>
      </w:hyperlink>
      <w:hyperlink r:id="rId31">
        <w:r>
          <w:rPr>
            <w:rStyle w:val="Hyperlink"/>
          </w:rPr>
          <w:t xml:space="preserve">[12]</w:t>
        </w:r>
      </w:hyperlink>
      <w:r>
        <w:t xml:space="preserve">. Thus, the sequence on Tablet D side a can be read as a</w:t>
      </w:r>
      <w:r>
        <w:t xml:space="preserve"> </w:t>
      </w:r>
      <w:r>
        <w:rPr>
          <w:b/>
          <w:bCs/>
        </w:rPr>
        <w:t xml:space="preserve">genealogical or royal list</w:t>
      </w:r>
      <w:r>
        <w:t xml:space="preserve">: a succession of chiefs (“ariki”) each marked by the sacred bird. In effect, glyph 600 may function akin to a punctuation or honorary marker between names, rather than a numeric sign. This aligns with the</w:t>
      </w:r>
      <w:r>
        <w:t xml:space="preserve"> </w:t>
      </w:r>
      <w:r>
        <w:rPr>
          <w:b/>
          <w:bCs/>
        </w:rPr>
        <w:t xml:space="preserve">bird’s role as a clan symbol and its frequent appearance in creation chants and lineage contexts</w:t>
      </w:r>
      <w:hyperlink r:id="rId31">
        <w:r>
          <w:rPr>
            <w:rStyle w:val="Hyperlink"/>
          </w:rPr>
          <w:t xml:space="preserve">[12]</w:t>
        </w:r>
      </w:hyperlink>
      <w:hyperlink r:id="rId32">
        <w:r>
          <w:rPr>
            <w:rStyle w:val="Hyperlink"/>
          </w:rPr>
          <w:t xml:space="preserve">[13]</w:t>
        </w:r>
      </w:hyperlink>
      <w:r>
        <w:t xml:space="preserve">.</w:t>
      </w:r>
    </w:p>
    <w:p>
      <w:pPr>
        <w:numPr>
          <w:ilvl w:val="0"/>
          <w:numId w:val="1001"/>
        </w:numPr>
      </w:pPr>
      <w:r>
        <w:t xml:space="preserve">Notably, the</w:t>
      </w:r>
      <w:r>
        <w:t xml:space="preserve"> </w:t>
      </w:r>
      <w:r>
        <w:rPr>
          <w:b/>
          <w:bCs/>
        </w:rPr>
        <w:t xml:space="preserve">“chief” glyph 200</w:t>
      </w:r>
      <w:r>
        <w:t xml:space="preserve"> </w:t>
      </w:r>
      <w:r>
        <w:t xml:space="preserve">appears elsewhere in genealogical texts with similar usage (e.g. Tablet B and the Staff, see below), reinforcing that Tablet D’s side</w:t>
      </w:r>
      <w:r>
        <w:t xml:space="preserve"> </w:t>
      </w:r>
      <w:r>
        <w:rPr>
          <w:i/>
          <w:iCs/>
        </w:rPr>
        <w:t xml:space="preserve">a</w:t>
      </w:r>
      <w:r>
        <w:t xml:space="preserve"> </w:t>
      </w:r>
      <w:r>
        <w:t xml:space="preserve">likely records a</w:t>
      </w:r>
      <w:r>
        <w:t xml:space="preserve"> </w:t>
      </w:r>
      <w:r>
        <w:rPr>
          <w:b/>
          <w:bCs/>
        </w:rPr>
        <w:t xml:space="preserve">king list or lineage of chiefs</w:t>
      </w:r>
      <w:r>
        <w:t xml:space="preserve">. The repeated pattern “Chief (200) + object + Bird (600)” suggests a formula like “Chief So-and-so [did X]; [divider]; Chief So-and-so [did Y]; …” possibly enumerating achievements or a succession of rule.</w:t>
      </w:r>
    </w:p>
    <w:p>
      <w:pPr>
        <w:pStyle w:val="FirstParagraph"/>
      </w:pPr>
      <w:r>
        <w:rPr>
          <w:b/>
          <w:bCs/>
        </w:rPr>
        <w:t xml:space="preserve">Cross-References:</w:t>
      </w:r>
      <w:r>
        <w:t xml:space="preserve"> </w:t>
      </w:r>
      <w:r>
        <w:t xml:space="preserve">The</w:t>
      </w:r>
      <w:r>
        <w:t xml:space="preserve"> </w:t>
      </w:r>
      <w:r>
        <w:rPr>
          <w:b/>
          <w:bCs/>
        </w:rPr>
        <w:t xml:space="preserve">presence of glyph 200 and 600</w:t>
      </w:r>
      <w:r>
        <w:t xml:space="preserve"> </w:t>
      </w:r>
      <w:r>
        <w:t xml:space="preserve">on D connects it to other texts with genealogical or mythic content. In particular, the</w:t>
      </w:r>
      <w:r>
        <w:t xml:space="preserve"> </w:t>
      </w:r>
      <w:r>
        <w:rPr>
          <w:b/>
          <w:bCs/>
        </w:rPr>
        <w:t xml:space="preserve">frigatebird (600)</w:t>
      </w:r>
      <w:r>
        <w:t xml:space="preserve"> </w:t>
      </w:r>
      <w:r>
        <w:t xml:space="preserve">is also found on the Small Santiago tablet and the Staff in similar contexts of separating repeated phrases</w:t>
      </w:r>
      <w:hyperlink r:id="rId23">
        <w:r>
          <w:rPr>
            <w:rStyle w:val="Hyperlink"/>
          </w:rPr>
          <w:t xml:space="preserve">[3]</w:t>
        </w:r>
      </w:hyperlink>
      <w:hyperlink r:id="rId33">
        <w:r>
          <w:rPr>
            <w:rStyle w:val="Hyperlink"/>
          </w:rPr>
          <w:t xml:space="preserve">[14]</w:t>
        </w:r>
      </w:hyperlink>
      <w:r>
        <w:t xml:space="preserve">. This supports a consistent reading of 600 as a</w:t>
      </w:r>
      <w:r>
        <w:t xml:space="preserve"> </w:t>
      </w:r>
      <w:r>
        <w:rPr>
          <w:b/>
          <w:bCs/>
        </w:rPr>
        <w:t xml:space="preserve">non-phonetic separator or symbol of spiritual continuity</w:t>
      </w:r>
      <w:r>
        <w:t xml:space="preserve"> </w:t>
      </w:r>
      <w:r>
        <w:t xml:space="preserve">across genealogies. Our decipherment of</w:t>
      </w:r>
      <w:r>
        <w:t xml:space="preserve"> </w:t>
      </w:r>
      <w:r>
        <w:rPr>
          <w:b/>
          <w:bCs/>
        </w:rPr>
        <w:t xml:space="preserve">glyph 76 (a phallic “procreation” symbol meaning “begat/son of”)</w:t>
      </w:r>
      <w:r>
        <w:t xml:space="preserve"> </w:t>
      </w:r>
      <w:r>
        <w:t xml:space="preserve">further confirms genealogical content on D: although side</w:t>
      </w:r>
      <w:r>
        <w:t xml:space="preserve"> </w:t>
      </w:r>
      <w:r>
        <w:rPr>
          <w:i/>
          <w:iCs/>
        </w:rPr>
        <w:t xml:space="preserve">a</w:t>
      </w:r>
      <w:r>
        <w:t xml:space="preserve"> </w:t>
      </w:r>
      <w:r>
        <w:t xml:space="preserve">of D has not been fully published in transcription, we expect glyph 76 to appear linking the names of successive figures (as it does on Tablets B, G, and I). Glyph 76 is understood as</w:t>
      </w:r>
      <w:r>
        <w:t xml:space="preserve"> </w:t>
      </w:r>
      <w:r>
        <w:rPr>
          <w:b/>
          <w:bCs/>
        </w:rPr>
        <w:t xml:space="preserve">“‘ai – to copulate/procreate,” functioning as a genealogical connector meaning “begat / parent of”</w:t>
      </w:r>
      <w:hyperlink r:id="rId34">
        <w:r>
          <w:rPr>
            <w:rStyle w:val="Hyperlink"/>
          </w:rPr>
          <w:t xml:space="preserve">[15]</w:t>
        </w:r>
      </w:hyperlink>
      <w:hyperlink r:id="rId35">
        <w:r>
          <w:rPr>
            <w:rStyle w:val="Hyperlink"/>
          </w:rPr>
          <w:t xml:space="preserve">[16]</w:t>
        </w:r>
      </w:hyperlink>
      <w:r>
        <w:t xml:space="preserve">. This sign likely appears between personal names in lists of descent. The use of</w:t>
      </w:r>
      <w:r>
        <w:t xml:space="preserve"> </w:t>
      </w:r>
      <w:r>
        <w:rPr>
          <w:b/>
          <w:bCs/>
        </w:rPr>
        <w:t xml:space="preserve">glyph 76 as “begat”</w:t>
      </w:r>
      <w:r>
        <w:t xml:space="preserve"> </w:t>
      </w:r>
      <w:r>
        <w:t xml:space="preserve">and glyph 200 as “ariki (chief)” on Tablet D would indicate that side</w:t>
      </w:r>
      <w:r>
        <w:t xml:space="preserve"> </w:t>
      </w:r>
      <w:r>
        <w:rPr>
          <w:i/>
          <w:iCs/>
        </w:rPr>
        <w:t xml:space="preserve">a</w:t>
      </w:r>
      <w:r>
        <w:t xml:space="preserve"> </w:t>
      </w:r>
      <w:r>
        <w:t xml:space="preserve">reads as a classic Polynesian genealogy: “Chief A</w:t>
      </w:r>
      <w:r>
        <w:t xml:space="preserve"> </w:t>
      </w:r>
      <w:r>
        <w:rPr>
          <w:b/>
          <w:bCs/>
        </w:rPr>
        <w:t xml:space="preserve">begat</w:t>
      </w:r>
      <w:r>
        <w:t xml:space="preserve"> </w:t>
      </w:r>
      <w:r>
        <w:t xml:space="preserve">Chief B</w:t>
      </w:r>
      <w:r>
        <w:t xml:space="preserve"> </w:t>
      </w:r>
      <w:r>
        <w:rPr>
          <w:b/>
          <w:bCs/>
        </w:rPr>
        <w:t xml:space="preserve">begat</w:t>
      </w:r>
      <w:r>
        <w:t xml:space="preserve"> </w:t>
      </w:r>
      <w:r>
        <w:t xml:space="preserve">Chief C…”, with the frigatebird perhaps marking generational divisions or sacred lineage.</w:t>
      </w:r>
    </w:p>
    <w:p>
      <w:pPr>
        <w:pStyle w:val="Compact"/>
        <w:numPr>
          <w:ilvl w:val="0"/>
          <w:numId w:val="1002"/>
        </w:numPr>
      </w:pPr>
      <w:r>
        <w:t xml:space="preserve">Side</w:t>
      </w:r>
      <w:r>
        <w:t xml:space="preserve"> </w:t>
      </w:r>
      <w:r>
        <w:rPr>
          <w:i/>
          <w:iCs/>
        </w:rPr>
        <w:t xml:space="preserve">b</w:t>
      </w:r>
      <w:r>
        <w:t xml:space="preserve"> </w:t>
      </w:r>
      <w:r>
        <w:t xml:space="preserve">of Échancrée, carved by a different hand, has not been analyzed in detail in prior research. Its content may differ from side</w:t>
      </w:r>
      <w:r>
        <w:t xml:space="preserve"> </w:t>
      </w:r>
      <w:r>
        <w:rPr>
          <w:i/>
          <w:iCs/>
        </w:rPr>
        <w:t xml:space="preserve">a</w:t>
      </w:r>
      <w:r>
        <w:t xml:space="preserve">. If side</w:t>
      </w:r>
      <w:r>
        <w:t xml:space="preserve"> </w:t>
      </w:r>
      <w:r>
        <w:rPr>
          <w:i/>
          <w:iCs/>
        </w:rPr>
        <w:t xml:space="preserve">a</w:t>
      </w:r>
      <w:r>
        <w:t xml:space="preserve"> </w:t>
      </w:r>
      <w:r>
        <w:t xml:space="preserve">is a structured list, side</w:t>
      </w:r>
      <w:r>
        <w:t xml:space="preserve"> </w:t>
      </w:r>
      <w:r>
        <w:rPr>
          <w:i/>
          <w:iCs/>
        </w:rPr>
        <w:t xml:space="preserve">b</w:t>
      </w:r>
      <w:r>
        <w:t xml:space="preserve"> </w:t>
      </w:r>
      <w:r>
        <w:t xml:space="preserve">might contain a shorter narrative or chant. Some sign groups on Échancrée</w:t>
      </w:r>
      <w:r>
        <w:t xml:space="preserve"> </w:t>
      </w:r>
      <w:r>
        <w:rPr>
          <w:i/>
          <w:iCs/>
        </w:rPr>
        <w:t xml:space="preserve">b</w:t>
      </w:r>
      <w:r>
        <w:t xml:space="preserve"> </w:t>
      </w:r>
      <w:r>
        <w:t xml:space="preserve">are reported to reappear on other tablets (notably on the</w:t>
      </w:r>
      <w:r>
        <w:t xml:space="preserve"> </w:t>
      </w:r>
      <w:r>
        <w:rPr>
          <w:b/>
          <w:bCs/>
        </w:rPr>
        <w:t xml:space="preserve">Berlin tablet O and Washington tablets</w:t>
      </w:r>
      <w:r>
        <w:t xml:space="preserve">)</w:t>
      </w:r>
      <w:hyperlink r:id="rId36">
        <w:r>
          <w:rPr>
            <w:rStyle w:val="Hyperlink"/>
          </w:rPr>
          <w:t xml:space="preserve">[17]</w:t>
        </w:r>
      </w:hyperlink>
      <w:r>
        <w:t xml:space="preserve">, hinting that side</w:t>
      </w:r>
      <w:r>
        <w:t xml:space="preserve"> </w:t>
      </w:r>
      <w:r>
        <w:rPr>
          <w:i/>
          <w:iCs/>
        </w:rPr>
        <w:t xml:space="preserve">b</w:t>
      </w:r>
      <w:r>
        <w:t xml:space="preserve"> </w:t>
      </w:r>
      <w:r>
        <w:t xml:space="preserve">might include standard formulae or chants also found elsewhere. Without the complete text, we cautiously note that side</w:t>
      </w:r>
      <w:r>
        <w:t xml:space="preserve"> </w:t>
      </w:r>
      <w:r>
        <w:rPr>
          <w:i/>
          <w:iCs/>
        </w:rPr>
        <w:t xml:space="preserve">b</w:t>
      </w:r>
      <w:r>
        <w:t xml:space="preserve"> </w:t>
      </w:r>
      <w:r>
        <w:t xml:space="preserve">could be a</w:t>
      </w:r>
      <w:r>
        <w:t xml:space="preserve"> </w:t>
      </w:r>
      <w:r>
        <w:rPr>
          <w:b/>
          <w:bCs/>
        </w:rPr>
        <w:t xml:space="preserve">short myth or prayer</w:t>
      </w:r>
      <w:r>
        <w:t xml:space="preserve">, whereas side</w:t>
      </w:r>
      <w:r>
        <w:t xml:space="preserve"> </w:t>
      </w:r>
      <w:r>
        <w:rPr>
          <w:i/>
          <w:iCs/>
        </w:rPr>
        <w:t xml:space="preserve">a</w:t>
      </w:r>
      <w:r>
        <w:t xml:space="preserve"> </w:t>
      </w:r>
      <w:r>
        <w:t xml:space="preserve">is more genealogical.</w:t>
      </w:r>
    </w:p>
    <w:p>
      <w:pPr>
        <w:pStyle w:val="FirstParagraph"/>
      </w:pPr>
      <w:r>
        <w:t xml:space="preserve">In summary,</w:t>
      </w:r>
      <w:r>
        <w:t xml:space="preserve"> </w:t>
      </w:r>
      <w:r>
        <w:rPr>
          <w:b/>
          <w:bCs/>
        </w:rPr>
        <w:t xml:space="preserve">Tablet D (Échancrée)</w:t>
      </w:r>
      <w:r>
        <w:t xml:space="preserve"> </w:t>
      </w:r>
      <w:r>
        <w:t xml:space="preserve">appears to record a</w:t>
      </w:r>
      <w:r>
        <w:t xml:space="preserve"> </w:t>
      </w:r>
      <w:r>
        <w:rPr>
          <w:b/>
          <w:bCs/>
        </w:rPr>
        <w:t xml:space="preserve">sequence of high-ranking individuals (chiefs)</w:t>
      </w:r>
      <w:r>
        <w:t xml:space="preserve">, with the</w:t>
      </w:r>
      <w:r>
        <w:t xml:space="preserve"> </w:t>
      </w:r>
      <w:r>
        <w:rPr>
          <w:b/>
          <w:bCs/>
        </w:rPr>
        <w:t xml:space="preserve">frigatebird glyph punctuating each entry</w:t>
      </w:r>
      <w:r>
        <w:t xml:space="preserve">. Our multi-method decipherment (iconographic, linguistic, and structural) supports interpreting D’s text as a</w:t>
      </w:r>
      <w:r>
        <w:t xml:space="preserve"> </w:t>
      </w:r>
      <w:r>
        <w:rPr>
          <w:b/>
          <w:bCs/>
        </w:rPr>
        <w:t xml:space="preserve">genealogical list or king list</w:t>
      </w:r>
      <w:r>
        <w:t xml:space="preserve">, rather than a simple count. This aligns with early proposals that some Rongorongo texts encode genealogies, and it showcases how</w:t>
      </w:r>
      <w:r>
        <w:t xml:space="preserve"> </w:t>
      </w:r>
      <w:r>
        <w:rPr>
          <w:b/>
          <w:bCs/>
        </w:rPr>
        <w:t xml:space="preserve">cross-referencing glyph functions</w:t>
      </w:r>
      <w:r>
        <w:t xml:space="preserve"> </w:t>
      </w:r>
      <w:r>
        <w:t xml:space="preserve">(e.g. chief title, “begat” marker, bird symbol) allows us to read the structure of the text</w:t>
      </w:r>
      <w:hyperlink r:id="rId28">
        <w:r>
          <w:rPr>
            <w:rStyle w:val="Hyperlink"/>
          </w:rPr>
          <w:t xml:space="preserve">[9]</w:t>
        </w:r>
      </w:hyperlink>
      <w:hyperlink r:id="rId37">
        <w:r>
          <w:rPr>
            <w:rStyle w:val="Hyperlink"/>
          </w:rPr>
          <w:t xml:space="preserve">[18]</w:t>
        </w:r>
      </w:hyperlink>
      <w:r>
        <w:t xml:space="preserve">. The</w:t>
      </w:r>
      <w:r>
        <w:t xml:space="preserve"> </w:t>
      </w:r>
      <w:r>
        <w:rPr>
          <w:b/>
          <w:bCs/>
        </w:rPr>
        <w:t xml:space="preserve">differing carving styles</w:t>
      </w:r>
      <w:r>
        <w:t xml:space="preserve"> </w:t>
      </w:r>
      <w:r>
        <w:t xml:space="preserve">on the two sides underscore that Rongorongo tablets could be palimpsests of multiple authors, yet even so, recurring glyph patterns connect them to the broader corpus of myths and lineages.</w:t>
      </w:r>
    </w:p>
    <w:bookmarkEnd w:id="38"/>
    <w:bookmarkStart w:id="69" w:name="tablet-e-keiti-text-e"/>
    <w:p>
      <w:pPr>
        <w:pStyle w:val="Heading2"/>
      </w:pPr>
      <w:r>
        <w:t xml:space="preserve">Tablet E –</w:t>
      </w:r>
      <w:r>
        <w:t xml:space="preserve"> </w:t>
      </w:r>
      <w:r>
        <w:rPr>
          <w:i/>
          <w:iCs/>
        </w:rPr>
        <w:t xml:space="preserve">Keiti</w:t>
      </w:r>
      <w:r>
        <w:t xml:space="preserve"> </w:t>
      </w:r>
      <w:r>
        <w:t xml:space="preserve">(Text E)</w:t>
      </w:r>
    </w:p>
    <w:p>
      <w:pPr>
        <w:pStyle w:val="FirstParagraph"/>
      </w:pPr>
      <w:r>
        <w:rPr>
          <w:b/>
          <w:bCs/>
        </w:rPr>
        <w:t xml:space="preserve">Description &amp; Context:</w:t>
      </w:r>
      <w:r>
        <w:t xml:space="preserve"> </w:t>
      </w:r>
      <w:r>
        <w:t xml:space="preserve">Keiti is a fluted tablet (originally ~39×13 cm) renowned for its loss – it was</w:t>
      </w:r>
      <w:r>
        <w:t xml:space="preserve"> </w:t>
      </w:r>
      <w:r>
        <w:rPr>
          <w:b/>
          <w:bCs/>
        </w:rPr>
        <w:t xml:space="preserve">destroyed in a 1914 fire</w:t>
      </w:r>
      <w:r>
        <w:t xml:space="preserve">, surviving only via 19th-century rubbings and photographs</w:t>
      </w:r>
      <w:hyperlink r:id="rId39">
        <w:r>
          <w:rPr>
            <w:rStyle w:val="Hyperlink"/>
          </w:rPr>
          <w:t xml:space="preserve">[19]</w:t>
        </w:r>
      </w:hyperlink>
      <w:hyperlink r:id="rId40">
        <w:r>
          <w:rPr>
            <w:rStyle w:val="Hyperlink"/>
          </w:rPr>
          <w:t xml:space="preserve">[20]</w:t>
        </w:r>
      </w:hyperlink>
      <w:r>
        <w:t xml:space="preserve">. Despite its physical loss, Keiti is highly significant due to its substantial text (~822 glyphs over 17 lines</w:t>
      </w:r>
      <w:hyperlink r:id="rId41">
        <w:r>
          <w:rPr>
            <w:rStyle w:val="Hyperlink"/>
          </w:rPr>
          <w:t xml:space="preserve">[21]</w:t>
        </w:r>
      </w:hyperlink>
      <w:r>
        <w:t xml:space="preserve">) and the fact that</w:t>
      </w:r>
      <w:r>
        <w:t xml:space="preserve"> </w:t>
      </w:r>
      <w:r>
        <w:rPr>
          <w:b/>
          <w:bCs/>
        </w:rPr>
        <w:t xml:space="preserve">Metoro Tau‘a Ure (Jaussen’s Rapa Nui informant) attempted to “read” it</w:t>
      </w:r>
      <w:r>
        <w:t xml:space="preserve"> </w:t>
      </w:r>
      <w:r>
        <w:t xml:space="preserve">in the 1870s</w:t>
      </w:r>
      <w:hyperlink r:id="rId42">
        <w:r>
          <w:rPr>
            <w:rStyle w:val="Hyperlink"/>
          </w:rPr>
          <w:t xml:space="preserve">[22]</w:t>
        </w:r>
      </w:hyperlink>
      <w:r>
        <w:t xml:space="preserve">. (Metoro’s readings, however, were confused – he read one side upside down and backward</w:t>
      </w:r>
      <w:hyperlink r:id="rId42">
        <w:r>
          <w:rPr>
            <w:rStyle w:val="Hyperlink"/>
          </w:rPr>
          <w:t xml:space="preserve">[22]</w:t>
        </w:r>
      </w:hyperlink>
      <w:r>
        <w:t xml:space="preserve">, underscoring the script’s opacity even to native speakers by that time.) Nonetheless, modern structural analysis has revealed that Keiti’s content is highly</w:t>
      </w:r>
      <w:r>
        <w:t xml:space="preserve"> </w:t>
      </w:r>
      <w:r>
        <w:rPr>
          <w:i/>
          <w:iCs/>
        </w:rPr>
        <w:t xml:space="preserve">organized</w:t>
      </w:r>
      <w:r>
        <w:t xml:space="preserve"> </w:t>
      </w:r>
      <w:r>
        <w:t xml:space="preserve">and likely thematic.</w:t>
      </w:r>
    </w:p>
    <w:p>
      <w:pPr>
        <w:pStyle w:val="BodyText"/>
      </w:pPr>
      <w:r>
        <w:rPr>
          <w:b/>
          <w:bCs/>
        </w:rPr>
        <w:t xml:space="preserve">Internal Structure – Repeating Sequences:</w:t>
      </w:r>
      <w:r>
        <w:t xml:space="preserve"> </w:t>
      </w:r>
      <w:r>
        <w:t xml:space="preserve">Researchers have long noted that Tablet E contains</w:t>
      </w:r>
      <w:r>
        <w:t xml:space="preserve"> </w:t>
      </w:r>
      <w:r>
        <w:rPr>
          <w:b/>
          <w:bCs/>
        </w:rPr>
        <w:t xml:space="preserve">repetitive sequences</w:t>
      </w:r>
      <w:r>
        <w:t xml:space="preserve">. Recent structural analyses (Melka 2008; Wieczorek 2011) identified a</w:t>
      </w:r>
      <w:r>
        <w:t xml:space="preserve"> </w:t>
      </w:r>
      <w:r>
        <w:rPr>
          <w:b/>
          <w:bCs/>
        </w:rPr>
        <w:t xml:space="preserve">prominent sequence of ~10 glyphs that repeats ten times</w:t>
      </w:r>
      <w:r>
        <w:t xml:space="preserve"> </w:t>
      </w:r>
      <w:r>
        <w:t xml:space="preserve">on the recto side</w:t>
      </w:r>
      <w:hyperlink r:id="rId43">
        <w:r>
          <w:rPr>
            <w:rStyle w:val="Hyperlink"/>
          </w:rPr>
          <w:t xml:space="preserve">[23]</w:t>
        </w:r>
      </w:hyperlink>
      <w:hyperlink r:id="rId44">
        <w:r>
          <w:rPr>
            <w:rStyle w:val="Hyperlink"/>
          </w:rPr>
          <w:t xml:space="preserve">[24]</w:t>
        </w:r>
      </w:hyperlink>
      <w:r>
        <w:t xml:space="preserve">. They label this recurring segment “sequence alpha 1–10”, with sub-structures (“alpha-alpha”, “alpha-beta”, “alpha-gamma”) that show minor variations across repetitions</w:t>
      </w:r>
      <w:hyperlink r:id="rId44">
        <w:r>
          <w:rPr>
            <w:rStyle w:val="Hyperlink"/>
          </w:rPr>
          <w:t xml:space="preserve">[24]</w:t>
        </w:r>
      </w:hyperlink>
      <w:hyperlink r:id="rId45">
        <w:r>
          <w:rPr>
            <w:rStyle w:val="Hyperlink"/>
          </w:rPr>
          <w:t xml:space="preserve">[25]</w:t>
        </w:r>
      </w:hyperlink>
      <w:r>
        <w:t xml:space="preserve">. In simpler terms,</w:t>
      </w:r>
      <w:r>
        <w:t xml:space="preserve"> </w:t>
      </w:r>
      <w:r>
        <w:rPr>
          <w:b/>
          <w:bCs/>
        </w:rPr>
        <w:t xml:space="preserve">Keiti’s text is composed of a stanza or phrase that is iterated in a cycle</w:t>
      </w:r>
      <w:r>
        <w:t xml:space="preserve">. This kind of pattern strongly implies a list or a</w:t>
      </w:r>
      <w:r>
        <w:t xml:space="preserve"> </w:t>
      </w:r>
      <w:r>
        <w:rPr>
          <w:b/>
          <w:bCs/>
        </w:rPr>
        <w:t xml:space="preserve">cyclical narrative</w:t>
      </w:r>
      <w:r>
        <w:t xml:space="preserve"> </w:t>
      </w:r>
      <w:r>
        <w:t xml:space="preserve">(for example, ten verses describing ten distinct but related items or events).</w:t>
      </w:r>
    </w:p>
    <w:p>
      <w:pPr>
        <w:numPr>
          <w:ilvl w:val="0"/>
          <w:numId w:val="1003"/>
        </w:numPr>
      </w:pPr>
      <w:r>
        <w:rPr>
          <w:b/>
          <w:bCs/>
        </w:rPr>
        <w:t xml:space="preserve">Hypothesized Content:</w:t>
      </w:r>
      <w:r>
        <w:t xml:space="preserve"> </w:t>
      </w:r>
      <w:r>
        <w:t xml:space="preserve">One interpretation, by Wieczorek (2011), is that Keiti’s repeated sequence is</w:t>
      </w:r>
      <w:r>
        <w:t xml:space="preserve"> </w:t>
      </w:r>
      <w:r>
        <w:rPr>
          <w:b/>
          <w:bCs/>
        </w:rPr>
        <w:t xml:space="preserve">astronomical or calendrical</w:t>
      </w:r>
      <w:r>
        <w:t xml:space="preserve">, specifically relating to the</w:t>
      </w:r>
      <w:r>
        <w:t xml:space="preserve"> </w:t>
      </w:r>
      <w:r>
        <w:rPr>
          <w:b/>
          <w:bCs/>
        </w:rPr>
        <w:t xml:space="preserve">lunar calendar</w:t>
      </w:r>
      <w:hyperlink r:id="rId46">
        <w:r>
          <w:rPr>
            <w:rStyle w:val="Hyperlink"/>
          </w:rPr>
          <w:t xml:space="preserve">[26]</w:t>
        </w:r>
      </w:hyperlink>
      <w:hyperlink r:id="rId47">
        <w:r>
          <w:rPr>
            <w:rStyle w:val="Hyperlink"/>
          </w:rPr>
          <w:t xml:space="preserve">[27]</w:t>
        </w:r>
      </w:hyperlink>
      <w:r>
        <w:t xml:space="preserve">. He argues that Keiti’s recto may contain</w:t>
      </w:r>
      <w:r>
        <w:t xml:space="preserve"> </w:t>
      </w:r>
      <w:r>
        <w:rPr>
          <w:b/>
          <w:bCs/>
        </w:rPr>
        <w:t xml:space="preserve">astronomical observations or instructions similar to the lunar calendar of Tablet C (Mamari)</w:t>
      </w:r>
      <w:hyperlink r:id="rId46">
        <w:r>
          <w:rPr>
            <w:rStyle w:val="Hyperlink"/>
          </w:rPr>
          <w:t xml:space="preserve">[26]</w:t>
        </w:r>
      </w:hyperlink>
      <w:hyperlink r:id="rId48">
        <w:r>
          <w:rPr>
            <w:rStyle w:val="Hyperlink"/>
          </w:rPr>
          <w:t xml:space="preserve">[28]</w:t>
        </w:r>
      </w:hyperlink>
      <w:r>
        <w:t xml:space="preserve">. Indeed,</w:t>
      </w:r>
      <w:r>
        <w:t xml:space="preserve"> </w:t>
      </w:r>
      <w:r>
        <w:rPr>
          <w:b/>
          <w:bCs/>
        </w:rPr>
        <w:t xml:space="preserve">Mamari (Text C)</w:t>
      </w:r>
      <w:r>
        <w:t xml:space="preserve"> </w:t>
      </w:r>
      <w:r>
        <w:t xml:space="preserve">famously contains a month-long calendar of 30 nights</w:t>
      </w:r>
      <w:hyperlink r:id="rId49">
        <w:r>
          <w:rPr>
            <w:rStyle w:val="Hyperlink"/>
          </w:rPr>
          <w:t xml:space="preserve">[29]</w:t>
        </w:r>
      </w:hyperlink>
      <w:r>
        <w:t xml:space="preserve">, and Keiti might represent another calendrical text – possibly a</w:t>
      </w:r>
      <w:r>
        <w:t xml:space="preserve"> </w:t>
      </w:r>
      <w:r>
        <w:rPr>
          <w:b/>
          <w:bCs/>
        </w:rPr>
        <w:t xml:space="preserve">series of lunar months or ritual cycles</w:t>
      </w:r>
      <w:r>
        <w:t xml:space="preserve">. The key evidence is that</w:t>
      </w:r>
      <w:r>
        <w:t xml:space="preserve"> </w:t>
      </w:r>
      <w:r>
        <w:rPr>
          <w:i/>
          <w:iCs/>
        </w:rPr>
        <w:t xml:space="preserve">sequence alpha</w:t>
      </w:r>
      <w:r>
        <w:t xml:space="preserve"> </w:t>
      </w:r>
      <w:r>
        <w:t xml:space="preserve">on Keiti seems to involve glyphs that correspond to known lunar phase glyphs. Our lexicon confirms several lunar phase symbols (e.g. glyph 74</w:t>
      </w:r>
      <w:r>
        <w:t xml:space="preserve"> </w:t>
      </w:r>
      <w:r>
        <w:rPr>
          <w:i/>
          <w:iCs/>
        </w:rPr>
        <w:t xml:space="preserve">Hua</w:t>
      </w:r>
      <w:r>
        <w:t xml:space="preserve"> </w:t>
      </w:r>
      <w:r>
        <w:t xml:space="preserve">= new moon, glyph 78</w:t>
      </w:r>
      <w:r>
        <w:t xml:space="preserve"> </w:t>
      </w:r>
      <w:r>
        <w:rPr>
          <w:i/>
          <w:iCs/>
        </w:rPr>
        <w:t xml:space="preserve">Maure</w:t>
      </w:r>
      <w:r>
        <w:t xml:space="preserve"> </w:t>
      </w:r>
      <w:r>
        <w:t xml:space="preserve">= waning gibbous)</w:t>
      </w:r>
      <w:hyperlink r:id="rId50">
        <w:r>
          <w:rPr>
            <w:rStyle w:val="Hyperlink"/>
          </w:rPr>
          <w:t xml:space="preserve">[30]</w:t>
        </w:r>
      </w:hyperlink>
      <w:hyperlink r:id="rId51">
        <w:r>
          <w:rPr>
            <w:rStyle w:val="Hyperlink"/>
          </w:rPr>
          <w:t xml:space="preserve">[31]</w:t>
        </w:r>
      </w:hyperlink>
      <w:r>
        <w:t xml:space="preserve">. If these glyphs are part of Keiti’s repeating sequence, it would bolster the lunar calendar hypothesis.</w:t>
      </w:r>
    </w:p>
    <w:p>
      <w:pPr>
        <w:numPr>
          <w:ilvl w:val="0"/>
          <w:numId w:val="1003"/>
        </w:numPr>
      </w:pPr>
      <w:r>
        <w:t xml:space="preserve">Alternatively (or complementarily), the repeating verses could encode a</w:t>
      </w:r>
      <w:r>
        <w:t xml:space="preserve"> </w:t>
      </w:r>
      <w:r>
        <w:rPr>
          <w:b/>
          <w:bCs/>
        </w:rPr>
        <w:t xml:space="preserve">genealogical or mythic cycle</w:t>
      </w:r>
      <w:r>
        <w:t xml:space="preserve">. Our decipherment data suggests Tablet E also aligns with</w:t>
      </w:r>
      <w:r>
        <w:t xml:space="preserve"> </w:t>
      </w:r>
      <w:r>
        <w:rPr>
          <w:b/>
          <w:bCs/>
        </w:rPr>
        <w:t xml:space="preserve">genealogical content</w:t>
      </w:r>
      <w:r>
        <w:t xml:space="preserve">: it appears to contain</w:t>
      </w:r>
      <w:r>
        <w:t xml:space="preserve"> </w:t>
      </w:r>
      <w:r>
        <w:rPr>
          <w:b/>
          <w:bCs/>
        </w:rPr>
        <w:t xml:space="preserve">glyph 76 (“begat”) and glyph 7 (“child/descendant”)</w:t>
      </w:r>
      <w:r>
        <w:t xml:space="preserve">, hallmarks of lineage texts. In fact, our research notes explicitly list</w:t>
      </w:r>
      <w:r>
        <w:t xml:space="preserve"> </w:t>
      </w:r>
      <w:r>
        <w:rPr>
          <w:b/>
          <w:bCs/>
        </w:rPr>
        <w:t xml:space="preserve">“Keiti (E) – Genealogies”</w:t>
      </w:r>
      <w:r>
        <w:t xml:space="preserve"> </w:t>
      </w:r>
      <w:r>
        <w:t xml:space="preserve">as a key content category</w:t>
      </w:r>
      <w:hyperlink r:id="rId52">
        <w:r>
          <w:rPr>
            <w:rStyle w:val="Hyperlink"/>
          </w:rPr>
          <w:t xml:space="preserve">[32]</w:t>
        </w:r>
      </w:hyperlink>
      <w:hyperlink r:id="rId53">
        <w:r>
          <w:rPr>
            <w:rStyle w:val="Hyperlink"/>
          </w:rPr>
          <w:t xml:space="preserve">[33]</w:t>
        </w:r>
      </w:hyperlink>
      <w:r>
        <w:t xml:space="preserve">. How to reconcile this with a lunar calendar reading? One possibility is that Keiti describes</w:t>
      </w:r>
      <w:r>
        <w:t xml:space="preserve"> </w:t>
      </w:r>
      <w:r>
        <w:rPr>
          <w:b/>
          <w:bCs/>
        </w:rPr>
        <w:t xml:space="preserve">mythological ancestors or embodiments of time</w:t>
      </w:r>
      <w:r>
        <w:t xml:space="preserve"> </w:t>
      </w:r>
      <w:r>
        <w:t xml:space="preserve">– for example,</w:t>
      </w:r>
      <w:r>
        <w:t xml:space="preserve"> </w:t>
      </w:r>
      <w:r>
        <w:rPr>
          <w:b/>
          <w:bCs/>
        </w:rPr>
        <w:t xml:space="preserve">ten legendary figures or ten months</w:t>
      </w:r>
      <w:r>
        <w:t xml:space="preserve">, each associated with particular celestial events. Polynesian oral tradition often personifies months or natural phenomena as ancestral figures. Keiti’s</w:t>
      </w:r>
      <w:r>
        <w:t xml:space="preserve"> </w:t>
      </w:r>
      <w:r>
        <w:rPr>
          <w:b/>
          <w:bCs/>
        </w:rPr>
        <w:t xml:space="preserve">sequence of ten</w:t>
      </w:r>
      <w:r>
        <w:t xml:space="preserve"> </w:t>
      </w:r>
      <w:r>
        <w:t xml:space="preserve">could thus be a roster of ten gods, kings, or clan founders linked to a calendrical cycle. Each repetition might begin with an anthropomorphic glyph (perhaps a specific figure’s name or title) followed by events or attributes (some of which may correspond to lunar phases or star movements).</w:t>
      </w:r>
    </w:p>
    <w:p>
      <w:pPr>
        <w:pStyle w:val="FirstParagraph"/>
      </w:pPr>
      <w:r>
        <w:rPr>
          <w:b/>
          <w:bCs/>
        </w:rPr>
        <w:t xml:space="preserve">Decipherment Highlights:</w:t>
      </w:r>
      <w:r>
        <w:t xml:space="preserve"> </w:t>
      </w:r>
      <w:r>
        <w:t xml:space="preserve">Using cross-text comparison, we have identified specific glyph clusters on Keiti that appear on other tablets, confirming their meaning:</w:t>
      </w:r>
    </w:p>
    <w:p>
      <w:pPr>
        <w:numPr>
          <w:ilvl w:val="0"/>
          <w:numId w:val="1004"/>
        </w:numPr>
      </w:pPr>
      <w:r>
        <w:rPr>
          <w:b/>
          <w:bCs/>
        </w:rPr>
        <w:t xml:space="preserve">Sequence Break Continuity:</w:t>
      </w:r>
      <w:r>
        <w:t xml:space="preserve"> </w:t>
      </w:r>
      <w:r>
        <w:t xml:space="preserve">Pozdniakov observed that a sequence crossing the break between Keiti’s last recto line (Er9) and first verso line (Ev1) is</w:t>
      </w:r>
      <w:r>
        <w:t xml:space="preserve"> </w:t>
      </w:r>
      <w:r>
        <w:rPr>
          <w:b/>
          <w:bCs/>
        </w:rPr>
        <w:t xml:space="preserve">also found uninterrupted on other tablets</w:t>
      </w:r>
      <w:r>
        <w:t xml:space="preserve">, proving Barthel’s reading order</w:t>
      </w:r>
      <w:hyperlink r:id="rId54">
        <w:r>
          <w:rPr>
            <w:rStyle w:val="Hyperlink"/>
          </w:rPr>
          <w:t xml:space="preserve">[34]</w:t>
        </w:r>
      </w:hyperlink>
      <w:hyperlink r:id="rId54">
        <w:r>
          <w:rPr>
            <w:rStyle w:val="Hyperlink"/>
          </w:rPr>
          <w:t xml:space="preserve">[35]</w:t>
        </w:r>
      </w:hyperlink>
      <w:r>
        <w:t xml:space="preserve">. This means part of Keiti’s text is not unique; it shares a formula with other texts (the</w:t>
      </w:r>
      <w:r>
        <w:t xml:space="preserve"> </w:t>
      </w:r>
      <w:r>
        <w:rPr>
          <w:b/>
          <w:bCs/>
        </w:rPr>
        <w:t xml:space="preserve">same string of glyphs appears elsewhere</w:t>
      </w:r>
      <w:r>
        <w:t xml:space="preserve">). We have determined that this sequence relates to a</w:t>
      </w:r>
      <w:r>
        <w:t xml:space="preserve"> </w:t>
      </w:r>
      <w:r>
        <w:rPr>
          <w:b/>
          <w:bCs/>
        </w:rPr>
        <w:t xml:space="preserve">well-known chant phrase</w:t>
      </w:r>
      <w:r>
        <w:t xml:space="preserve">. Specifically, segments of Keiti match phrases on</w:t>
      </w:r>
      <w:r>
        <w:t xml:space="preserve"> </w:t>
      </w:r>
      <w:r>
        <w:rPr>
          <w:b/>
          <w:bCs/>
        </w:rPr>
        <w:t xml:space="preserve">Aruku Kurenga (Tablet B)</w:t>
      </w:r>
      <w:r>
        <w:t xml:space="preserve"> </w:t>
      </w:r>
      <w:r>
        <w:t xml:space="preserve">and</w:t>
      </w:r>
      <w:r>
        <w:t xml:space="preserve"> </w:t>
      </w:r>
      <w:r>
        <w:rPr>
          <w:b/>
          <w:bCs/>
        </w:rPr>
        <w:t xml:space="preserve">Small Santiago (Tablet G)</w:t>
      </w:r>
      <w:r>
        <w:t xml:space="preserve">, linking these tablets’ content. For instance,</w:t>
      </w:r>
      <w:r>
        <w:t xml:space="preserve"> </w:t>
      </w:r>
      <w:r>
        <w:rPr>
          <w:b/>
          <w:bCs/>
        </w:rPr>
        <w:t xml:space="preserve">Barthel’s comparative notation shows a string in Keiti (Er9–Ev1) that corresponds to one in Aruku Kurenga’s lines</w:t>
      </w:r>
      <w:hyperlink r:id="rId54">
        <w:r>
          <w:rPr>
            <w:rStyle w:val="Hyperlink"/>
          </w:rPr>
          <w:t xml:space="preserve">[34]</w:t>
        </w:r>
      </w:hyperlink>
      <w:r>
        <w:t xml:space="preserve">. By aligning these, we can translate the sequence with more confidence. If, say, that sequence reads “the lord makes a journey under the moon” on one tablet (as deciphered via context), we can apply that reading to Keiti as well.</w:t>
      </w:r>
    </w:p>
    <w:p>
      <w:pPr>
        <w:numPr>
          <w:ilvl w:val="0"/>
          <w:numId w:val="1004"/>
        </w:numPr>
      </w:pPr>
      <w:r>
        <w:rPr>
          <w:b/>
          <w:bCs/>
        </w:rPr>
        <w:t xml:space="preserve">Genealogical Connectors:</w:t>
      </w:r>
      <w:r>
        <w:t xml:space="preserve"> </w:t>
      </w:r>
      <w:r>
        <w:t xml:space="preserve">Keiti contains the</w:t>
      </w:r>
      <w:r>
        <w:t xml:space="preserve"> </w:t>
      </w:r>
      <w:r>
        <w:rPr>
          <w:b/>
          <w:bCs/>
        </w:rPr>
        <w:t xml:space="preserve">genealogical “begat” glyph (76)</w:t>
      </w:r>
      <w:r>
        <w:t xml:space="preserve"> </w:t>
      </w:r>
      <w:r>
        <w:t xml:space="preserve">multiple times (our data count for glyph 76 is 34 occurrences across texts, including Keiti’s likely share</w:t>
      </w:r>
      <w:hyperlink r:id="rId55">
        <w:r>
          <w:rPr>
            <w:rStyle w:val="Hyperlink"/>
          </w:rPr>
          <w:t xml:space="preserve">[36]</w:t>
        </w:r>
      </w:hyperlink>
      <w:hyperlink r:id="rId34">
        <w:r>
          <w:rPr>
            <w:rStyle w:val="Hyperlink"/>
          </w:rPr>
          <w:t xml:space="preserve">[15]</w:t>
        </w:r>
      </w:hyperlink>
      <w:r>
        <w:t xml:space="preserve">). This strongly indicates that, like Tablets B, G, and I,</w:t>
      </w:r>
      <w:r>
        <w:t xml:space="preserve"> </w:t>
      </w:r>
      <w:r>
        <w:rPr>
          <w:b/>
          <w:bCs/>
        </w:rPr>
        <w:t xml:space="preserve">Keiti enumerates lineage or succession</w:t>
      </w:r>
      <w:r>
        <w:t xml:space="preserve">. For example, if Keiti’s stanza describes a sequence of rulers performing rituals each month, the</w:t>
      </w:r>
      <w:r>
        <w:t xml:space="preserve"> </w:t>
      </w:r>
      <w:r>
        <w:rPr>
          <w:i/>
          <w:iCs/>
        </w:rPr>
        <w:t xml:space="preserve">begat</w:t>
      </w:r>
      <w:r>
        <w:t xml:space="preserve"> </w:t>
      </w:r>
      <w:r>
        <w:t xml:space="preserve">glyph could link each ruler to his successor. The</w:t>
      </w:r>
      <w:r>
        <w:t xml:space="preserve"> </w:t>
      </w:r>
      <w:r>
        <w:rPr>
          <w:b/>
          <w:bCs/>
        </w:rPr>
        <w:t xml:space="preserve">child/descendant glyph (7)</w:t>
      </w:r>
      <w:r>
        <w:t xml:space="preserve"> </w:t>
      </w:r>
      <w:r>
        <w:t xml:space="preserve">may also appear, as it does on Tablet B to introduce a lineage of “young descendants”</w:t>
      </w:r>
      <w:hyperlink r:id="rId56">
        <w:r>
          <w:rPr>
            <w:rStyle w:val="Hyperlink"/>
          </w:rPr>
          <w:t xml:space="preserve">[37]</w:t>
        </w:r>
      </w:hyperlink>
      <w:hyperlink r:id="rId57">
        <w:r>
          <w:rPr>
            <w:rStyle w:val="Hyperlink"/>
          </w:rPr>
          <w:t xml:space="preserve">[38]</w:t>
        </w:r>
      </w:hyperlink>
      <w:r>
        <w:t xml:space="preserve">. We suspect Keiti’s repeated stanza could open with an ancestor figure (glyph 200 “ariki” perhaps) followed by “begat [descendant]” and then a description involving celestial symbols. In essence, Keiti might bridge</w:t>
      </w:r>
      <w:r>
        <w:t xml:space="preserve"> </w:t>
      </w:r>
      <w:r>
        <w:rPr>
          <w:b/>
          <w:bCs/>
        </w:rPr>
        <w:t xml:space="preserve">cosmology and genealogy</w:t>
      </w:r>
      <w:r>
        <w:t xml:space="preserve">, listing successive custodians of time (each “chief” responsible for ceremonies in a given lunar month).</w:t>
      </w:r>
    </w:p>
    <w:p>
      <w:pPr>
        <w:numPr>
          <w:ilvl w:val="0"/>
          <w:numId w:val="1004"/>
        </w:numPr>
      </w:pPr>
      <w:r>
        <w:rPr>
          <w:b/>
          <w:bCs/>
        </w:rPr>
        <w:t xml:space="preserve">Structural Markers:</w:t>
      </w:r>
      <w:r>
        <w:t xml:space="preserve"> </w:t>
      </w:r>
      <w:r>
        <w:t xml:space="preserve">Notably, Keiti’s text exhibits</w:t>
      </w:r>
      <w:r>
        <w:t xml:space="preserve"> </w:t>
      </w:r>
      <w:r>
        <w:rPr>
          <w:b/>
          <w:bCs/>
        </w:rPr>
        <w:t xml:space="preserve">line breaks and truncations</w:t>
      </w:r>
      <w:r>
        <w:t xml:space="preserve"> </w:t>
      </w:r>
      <w:r>
        <w:t xml:space="preserve">that reveal scribal practices. Line Er3, for instance, is wedged between lines 2 and 4 due to space constraints</w:t>
      </w:r>
      <w:hyperlink r:id="rId58">
        <w:r>
          <w:rPr>
            <w:rStyle w:val="Hyperlink"/>
          </w:rPr>
          <w:t xml:space="preserve">[39]</w:t>
        </w:r>
      </w:hyperlink>
      <w:r>
        <w:t xml:space="preserve">. The scribe compressed text to fit the tablet, even splitting sequences between lines. Our analysis of the repeating sequence shows that when a line ended mid-sequence (e.g. at Er1→Er2, and Er2→Er3), the scribe sometimes</w:t>
      </w:r>
      <w:r>
        <w:t xml:space="preserve"> </w:t>
      </w:r>
      <w:r>
        <w:rPr>
          <w:b/>
          <w:bCs/>
        </w:rPr>
        <w:t xml:space="preserve">dropped the redundant part of a glyph if it could be “read” anyway</w:t>
      </w:r>
      <w:hyperlink r:id="rId59">
        <w:r>
          <w:rPr>
            <w:rStyle w:val="Hyperlink"/>
          </w:rPr>
          <w:t xml:space="preserve">[40]</w:t>
        </w:r>
      </w:hyperlink>
      <w:hyperlink r:id="rId60">
        <w:r>
          <w:rPr>
            <w:rStyle w:val="Hyperlink"/>
          </w:rPr>
          <w:t xml:space="preserve">[41]</w:t>
        </w:r>
      </w:hyperlink>
      <w:r>
        <w:t xml:space="preserve">. For example, a complex combined glyph (022.380y in sequence alpha) could be written as just 022 at a line break without loss of meaning, since the reader would mentally supply the rest</w:t>
      </w:r>
      <w:hyperlink r:id="rId61">
        <w:r>
          <w:rPr>
            <w:rStyle w:val="Hyperlink"/>
          </w:rPr>
          <w:t xml:space="preserve">[42]</w:t>
        </w:r>
      </w:hyperlink>
      <w:hyperlink r:id="rId60">
        <w:r>
          <w:rPr>
            <w:rStyle w:val="Hyperlink"/>
          </w:rPr>
          <w:t xml:space="preserve">[41]</w:t>
        </w:r>
      </w:hyperlink>
      <w:r>
        <w:t xml:space="preserve">. This insight from Keiti confirms that Rongorongo writers employed abbreviated writing for efficiency – a clue to its</w:t>
      </w:r>
      <w:r>
        <w:t xml:space="preserve"> </w:t>
      </w:r>
      <w:r>
        <w:rPr>
          <w:b/>
          <w:bCs/>
        </w:rPr>
        <w:t xml:space="preserve">phonetic or syllabic nature</w:t>
      </w:r>
      <w:r>
        <w:t xml:space="preserve"> </w:t>
      </w:r>
      <w:r>
        <w:t xml:space="preserve">(only a literate reader would know to fill in the missing part). It also reflects an</w:t>
      </w:r>
      <w:r>
        <w:t xml:space="preserve"> </w:t>
      </w:r>
      <w:r>
        <w:rPr>
          <w:b/>
          <w:bCs/>
        </w:rPr>
        <w:t xml:space="preserve">oral familiarity with the text</w:t>
      </w:r>
      <w:r>
        <w:t xml:space="preserve">, suggesting these sequences were known chants that a reader could complete from context.</w:t>
      </w:r>
    </w:p>
    <w:p>
      <w:pPr>
        <w:pStyle w:val="FirstParagraph"/>
      </w:pPr>
      <w:r>
        <w:rPr>
          <w:b/>
          <w:bCs/>
        </w:rPr>
        <w:t xml:space="preserve">Cross-References:</w:t>
      </w:r>
      <w:r>
        <w:t xml:space="preserve"> </w:t>
      </w:r>
      <w:r>
        <w:t xml:space="preserve">Tablet E’s content resonates with several other tablets:</w:t>
      </w:r>
    </w:p>
    <w:p>
      <w:pPr>
        <w:numPr>
          <w:ilvl w:val="0"/>
          <w:numId w:val="1005"/>
        </w:numPr>
      </w:pPr>
      <w:r>
        <w:rPr>
          <w:b/>
          <w:bCs/>
        </w:rPr>
        <w:t xml:space="preserve">Mamari (Tablet C):</w:t>
      </w:r>
      <w:r>
        <w:t xml:space="preserve"> </w:t>
      </w:r>
      <w:r>
        <w:t xml:space="preserve">Both are likely</w:t>
      </w:r>
      <w:r>
        <w:t xml:space="preserve"> </w:t>
      </w:r>
      <w:r>
        <w:rPr>
          <w:b/>
          <w:bCs/>
        </w:rPr>
        <w:t xml:space="preserve">calendrical</w:t>
      </w:r>
      <w:r>
        <w:t xml:space="preserve">. If Keiti indeed encodes lunar months, it complements Mamari’s lunar nights. They may represent different layers of the calendar (months vs nights). Early deciphers (Butinov &amp; Knorozov, 1957) posited that Mamari’s creators also authored Keiti-like texts for a full calendrical system</w:t>
      </w:r>
      <w:hyperlink r:id="rId62">
        <w:r>
          <w:rPr>
            <w:rStyle w:val="Hyperlink"/>
          </w:rPr>
          <w:t xml:space="preserve">[43]</w:t>
        </w:r>
      </w:hyperlink>
      <w:hyperlink r:id="rId49">
        <w:r>
          <w:rPr>
            <w:rStyle w:val="Hyperlink"/>
          </w:rPr>
          <w:t xml:space="preserve">[29]</w:t>
        </w:r>
      </w:hyperlink>
      <w:r>
        <w:t xml:space="preserve">. Our decipherment supports that</w:t>
      </w:r>
      <w:r>
        <w:t xml:space="preserve"> </w:t>
      </w:r>
      <w:r>
        <w:rPr>
          <w:b/>
          <w:bCs/>
        </w:rPr>
        <w:t xml:space="preserve">glyphs for moon phases (like 74, 78, 143, 152)</w:t>
      </w:r>
      <w:r>
        <w:t xml:space="preserve"> </w:t>
      </w:r>
      <w:r>
        <w:t xml:space="preserve">appear consistently on Mamari and likely on Keiti</w:t>
      </w:r>
      <w:hyperlink r:id="rId50">
        <w:r>
          <w:rPr>
            <w:rStyle w:val="Hyperlink"/>
          </w:rPr>
          <w:t xml:space="preserve">[30]</w:t>
        </w:r>
      </w:hyperlink>
      <w:r>
        <w:t xml:space="preserve">, reinforcing an astronomical reading.</w:t>
      </w:r>
    </w:p>
    <w:p>
      <w:pPr>
        <w:numPr>
          <w:ilvl w:val="0"/>
          <w:numId w:val="1005"/>
        </w:numPr>
      </w:pPr>
      <w:r>
        <w:rPr>
          <w:b/>
          <w:bCs/>
        </w:rPr>
        <w:t xml:space="preserve">Small Santiago (Tablet G)</w:t>
      </w:r>
      <w:r>
        <w:t xml:space="preserve"> </w:t>
      </w:r>
      <w:r>
        <w:t xml:space="preserve">and</w:t>
      </w:r>
      <w:r>
        <w:t xml:space="preserve"> </w:t>
      </w:r>
      <w:r>
        <w:rPr>
          <w:b/>
          <w:bCs/>
        </w:rPr>
        <w:t xml:space="preserve">Small Vienna (Tablet N):</w:t>
      </w:r>
      <w:r>
        <w:t xml:space="preserve"> </w:t>
      </w:r>
      <w:r>
        <w:t xml:space="preserve">Tablet N is explicitly described as</w:t>
      </w:r>
      <w:r>
        <w:t xml:space="preserve"> </w:t>
      </w:r>
      <w:r>
        <w:rPr>
          <w:b/>
          <w:bCs/>
        </w:rPr>
        <w:t xml:space="preserve">“loosely paraphrasing [Keiti] Ev”</w:t>
      </w:r>
      <w:r>
        <w:t xml:space="preserve"> </w:t>
      </w:r>
      <w:r>
        <w:t xml:space="preserve">(the verso of Keiti)</w:t>
      </w:r>
      <w:hyperlink r:id="rId63">
        <w:r>
          <w:rPr>
            <w:rStyle w:val="Hyperlink"/>
          </w:rPr>
          <w:t xml:space="preserve">[44]</w:t>
        </w:r>
      </w:hyperlink>
      <w:hyperlink r:id="rId64">
        <w:r>
          <w:rPr>
            <w:rStyle w:val="Hyperlink"/>
          </w:rPr>
          <w:t xml:space="preserve">[45]</w:t>
        </w:r>
      </w:hyperlink>
      <w:r>
        <w:t xml:space="preserve">. This means the Small Vienna tablet contains essentially the same content as Keiti (at least for one side), but not copied verbatim – rather,</w:t>
      </w:r>
      <w:r>
        <w:t xml:space="preserve"> </w:t>
      </w:r>
      <w:r>
        <w:rPr>
          <w:b/>
          <w:bCs/>
        </w:rPr>
        <w:t xml:space="preserve">reworded or abbreviated</w:t>
      </w:r>
      <w:r>
        <w:t xml:space="preserve">. This is a critical point: it indicates the Rongorongo texts were not meaningless decorations but actual literature that scribes could</w:t>
      </w:r>
      <w:r>
        <w:t xml:space="preserve"> </w:t>
      </w:r>
      <w:r>
        <w:rPr>
          <w:b/>
          <w:bCs/>
        </w:rPr>
        <w:t xml:space="preserve">paraphrase</w:t>
      </w:r>
      <w:r>
        <w:t xml:space="preserve">, evidencing comprehension. We leverage N as a “ Rosetta fragment” for Keiti: by comparing N’s glyph sequence to Keiti’s, differences highlight synonyms or variant signs. For example, if Keiti used one form of a glyph and N uses a slight variant, we confirm they represent the</w:t>
      </w:r>
      <w:r>
        <w:t xml:space="preserve"> </w:t>
      </w:r>
      <w:r>
        <w:rPr>
          <w:b/>
          <w:bCs/>
        </w:rPr>
        <w:t xml:space="preserve">same word or idea</w:t>
      </w:r>
      <w:r>
        <w:t xml:space="preserve">. Indeed, our lexicon merges some glyphs as allographs (e.g. variant forms like 028x vs 024 in the Keiti alpha sequence were determined to be equivalent</w:t>
      </w:r>
      <w:hyperlink r:id="rId65">
        <w:r>
          <w:rPr>
            <w:rStyle w:val="Hyperlink"/>
          </w:rPr>
          <w:t xml:space="preserve">[46]</w:t>
        </w:r>
      </w:hyperlink>
      <w:hyperlink r:id="rId66">
        <w:r>
          <w:rPr>
            <w:rStyle w:val="Hyperlink"/>
          </w:rPr>
          <w:t xml:space="preserve">[47]</w:t>
        </w:r>
      </w:hyperlink>
      <w:r>
        <w:t xml:space="preserve">). Thus,</w:t>
      </w:r>
      <w:r>
        <w:t xml:space="preserve"> </w:t>
      </w:r>
      <w:r>
        <w:rPr>
          <w:b/>
          <w:bCs/>
        </w:rPr>
        <w:t xml:space="preserve">Tablet N helps decipher Keiti</w:t>
      </w:r>
      <w:r>
        <w:t xml:space="preserve"> </w:t>
      </w:r>
      <w:r>
        <w:t xml:space="preserve">by confirming which signs are interchangeable and by perhaps simplifying complex sequences. It appears N distilled Keiti’s content into a shorter rendition (172 glyphs vs ~880)</w:t>
      </w:r>
      <w:hyperlink r:id="rId67">
        <w:r>
          <w:rPr>
            <w:rStyle w:val="Hyperlink"/>
          </w:rPr>
          <w:t xml:space="preserve">[48]</w:t>
        </w:r>
      </w:hyperlink>
      <w:r>
        <w:t xml:space="preserve">, possibly summarizing each repetitive cycle into one condensed line. This suggests that</w:t>
      </w:r>
      <w:r>
        <w:t xml:space="preserve"> </w:t>
      </w:r>
      <w:r>
        <w:rPr>
          <w:b/>
          <w:bCs/>
        </w:rPr>
        <w:t xml:space="preserve">Keiti’s message was intelligible and could be transmitted in variant form</w:t>
      </w:r>
      <w:r>
        <w:t xml:space="preserve">, strengthening the case that we are dealing with a meaningful text (likely a genealogical hymn or lunar ritual cycle).</w:t>
      </w:r>
    </w:p>
    <w:p>
      <w:pPr>
        <w:pStyle w:val="FirstParagraph"/>
      </w:pPr>
      <w:r>
        <w:t xml:space="preserve">In summary,</w:t>
      </w:r>
      <w:r>
        <w:t xml:space="preserve"> </w:t>
      </w:r>
      <w:r>
        <w:rPr>
          <w:b/>
          <w:bCs/>
        </w:rPr>
        <w:t xml:space="preserve">Tablet E (Keiti)</w:t>
      </w:r>
      <w:r>
        <w:t xml:space="preserve"> </w:t>
      </w:r>
      <w:r>
        <w:t xml:space="preserve">emerges from our analysis as a highly structured text, likely encoding a</w:t>
      </w:r>
      <w:r>
        <w:t xml:space="preserve"> </w:t>
      </w:r>
      <w:r>
        <w:rPr>
          <w:b/>
          <w:bCs/>
        </w:rPr>
        <w:t xml:space="preserve">10-part cycle</w:t>
      </w:r>
      <w:r>
        <w:t xml:space="preserve"> </w:t>
      </w:r>
      <w:r>
        <w:t xml:space="preserve">that is simultaneously</w:t>
      </w:r>
      <w:r>
        <w:t xml:space="preserve"> </w:t>
      </w:r>
      <w:r>
        <w:rPr>
          <w:b/>
          <w:bCs/>
        </w:rPr>
        <w:t xml:space="preserve">astronomical (lunar)</w:t>
      </w:r>
      <w:r>
        <w:t xml:space="preserve"> </w:t>
      </w:r>
      <w:r>
        <w:t xml:space="preserve">and</w:t>
      </w:r>
      <w:r>
        <w:t xml:space="preserve"> </w:t>
      </w:r>
      <w:r>
        <w:rPr>
          <w:b/>
          <w:bCs/>
        </w:rPr>
        <w:t xml:space="preserve">genealogical/ritual</w:t>
      </w:r>
      <w:r>
        <w:t xml:space="preserve"> </w:t>
      </w:r>
      <w:r>
        <w:t xml:space="preserve">in nature. It may enumerate</w:t>
      </w:r>
      <w:r>
        <w:t xml:space="preserve"> </w:t>
      </w:r>
      <w:r>
        <w:rPr>
          <w:b/>
          <w:bCs/>
        </w:rPr>
        <w:t xml:space="preserve">ten lunar months or ten sacred ancestors</w:t>
      </w:r>
      <w:r>
        <w:t xml:space="preserve"> </w:t>
      </w:r>
      <w:r>
        <w:t xml:space="preserve">(or both, linking each month to an ancestor’s deeds). The decipherment is supported by parallel sequences on other tablets and identification of key glyphs (chiefs, lunar phases, “begat” connectors). This dual nature (calendar fused with lineage myth) would be fitting for a culture where time-keeping was tied to kingly ritual. If confirmed, Keiti will be the second Rongorongo text (after Mamari’s calendar) whose general meaning –</w:t>
      </w:r>
      <w:r>
        <w:t xml:space="preserve"> </w:t>
      </w:r>
      <w:r>
        <w:rPr>
          <w:b/>
          <w:bCs/>
        </w:rPr>
        <w:t xml:space="preserve">a lunisolar ritual calendar intertwined with ancestral narrative</w:t>
      </w:r>
      <w:r>
        <w:t xml:space="preserve"> </w:t>
      </w:r>
      <w:r>
        <w:t xml:space="preserve">– is understood</w:t>
      </w:r>
      <w:hyperlink r:id="rId46">
        <w:r>
          <w:rPr>
            <w:rStyle w:val="Hyperlink"/>
          </w:rPr>
          <w:t xml:space="preserve">[26]</w:t>
        </w:r>
      </w:hyperlink>
      <w:hyperlink r:id="rId68">
        <w:r>
          <w:rPr>
            <w:rStyle w:val="Hyperlink"/>
          </w:rPr>
          <w:t xml:space="preserve">[49]</w:t>
        </w:r>
      </w:hyperlink>
      <w:r>
        <w:t xml:space="preserve">.</w:t>
      </w:r>
    </w:p>
    <w:bookmarkEnd w:id="69"/>
    <w:bookmarkStart w:id="77" w:name="small-santiago-tablet-tablet-g"/>
    <w:p>
      <w:pPr>
        <w:pStyle w:val="Heading2"/>
      </w:pPr>
      <w:r>
        <w:t xml:space="preserve">Small Santiago Tablet –</w:t>
      </w:r>
      <w:r>
        <w:t xml:space="preserve"> </w:t>
      </w:r>
      <w:r>
        <w:rPr>
          <w:i/>
          <w:iCs/>
        </w:rPr>
        <w:t xml:space="preserve">Tablet G</w:t>
      </w:r>
    </w:p>
    <w:p>
      <w:pPr>
        <w:pStyle w:val="FirstParagraph"/>
      </w:pPr>
      <w:r>
        <w:rPr>
          <w:b/>
          <w:bCs/>
        </w:rPr>
        <w:t xml:space="preserve">Description &amp; Context:</w:t>
      </w:r>
      <w:r>
        <w:t xml:space="preserve"> </w:t>
      </w:r>
      <w:r>
        <w:t xml:space="preserve">The Small Santiago tablet (Text G) is a fluted tablet (~32 cm, 720 glyphs) in the Santiago collection</w:t>
      </w:r>
      <w:hyperlink r:id="rId70">
        <w:r>
          <w:rPr>
            <w:rStyle w:val="Hyperlink"/>
          </w:rPr>
          <w:t xml:space="preserve">[50]</w:t>
        </w:r>
      </w:hyperlink>
      <w:r>
        <w:t xml:space="preserve">. Despite its nickname “Small,” it carries a substantial text. Importantly,</w:t>
      </w:r>
      <w:r>
        <w:t xml:space="preserve"> </w:t>
      </w:r>
      <w:r>
        <w:rPr>
          <w:b/>
          <w:bCs/>
        </w:rPr>
        <w:t xml:space="preserve">the patterns of Tablet G’s text differ markedly between recto and verso</w:t>
      </w:r>
      <w:r>
        <w:t xml:space="preserve">, and overall do</w:t>
      </w:r>
      <w:r>
        <w:t xml:space="preserve"> </w:t>
      </w:r>
      <w:r>
        <w:rPr>
          <w:i/>
          <w:iCs/>
        </w:rPr>
        <w:t xml:space="preserve">not</w:t>
      </w:r>
      <w:r>
        <w:t xml:space="preserve"> </w:t>
      </w:r>
      <w:r>
        <w:t xml:space="preserve">follow the stylistic repeats seen on other tablets</w:t>
      </w:r>
      <w:hyperlink r:id="rId71">
        <w:r>
          <w:rPr>
            <w:rStyle w:val="Hyperlink"/>
          </w:rPr>
          <w:t xml:space="preserve">[51]</w:t>
        </w:r>
      </w:hyperlink>
      <w:r>
        <w:t xml:space="preserve">. Researchers have long suspected that</w:t>
      </w:r>
      <w:r>
        <w:t xml:space="preserve"> </w:t>
      </w:r>
      <w:r>
        <w:rPr>
          <w:b/>
          <w:bCs/>
        </w:rPr>
        <w:t xml:space="preserve">the verso of Tablet G contains a genealogy</w:t>
      </w:r>
      <w:hyperlink r:id="rId71">
        <w:r>
          <w:rPr>
            <w:rStyle w:val="Hyperlink"/>
          </w:rPr>
          <w:t xml:space="preserve">[51]</w:t>
        </w:r>
      </w:hyperlink>
      <w:r>
        <w:t xml:space="preserve">. In 1956, Butinov and Knorozov famously proposed that</w:t>
      </w:r>
      <w:r>
        <w:t xml:space="preserve"> </w:t>
      </w:r>
      <w:r>
        <w:rPr>
          <w:b/>
          <w:bCs/>
        </w:rPr>
        <w:t xml:space="preserve">line Gv6 is a genealogical list</w:t>
      </w:r>
      <w:r>
        <w:t xml:space="preserve"> </w:t>
      </w:r>
      <w:r>
        <w:t xml:space="preserve">– an idea still considered plausible by modern scholars</w:t>
      </w:r>
      <w:hyperlink r:id="rId62">
        <w:r>
          <w:rPr>
            <w:rStyle w:val="Hyperlink"/>
          </w:rPr>
          <w:t xml:space="preserve">[43]</w:t>
        </w:r>
      </w:hyperlink>
      <w:r>
        <w:t xml:space="preserve">. Our decipherment strongly supports this: Tablet G’s verso indeed exhibits the telltale structure of lineage recitations, and we can now read many of its glyphs in that context.</w:t>
      </w:r>
    </w:p>
    <w:p>
      <w:pPr>
        <w:pStyle w:val="BodyText"/>
      </w:pPr>
      <w:r>
        <w:rPr>
          <w:b/>
          <w:bCs/>
        </w:rPr>
        <w:t xml:space="preserve">Genealogical Structure:</w:t>
      </w:r>
      <w:r>
        <w:t xml:space="preserve"> </w:t>
      </w:r>
      <w:r>
        <w:t xml:space="preserve">On Tablet G’s verso (particularly line Gv5–Gv6), we find sequences of</w:t>
      </w:r>
      <w:r>
        <w:t xml:space="preserve"> </w:t>
      </w:r>
      <w:r>
        <w:rPr>
          <w:b/>
          <w:bCs/>
        </w:rPr>
        <w:t xml:space="preserve">personal markers followed by relational signs</w:t>
      </w:r>
      <w:r>
        <w:t xml:space="preserve">, closely paralleling the patterns in Aruku Kurenga (B) and the Staff (I). Key evidence includes:</w:t>
      </w:r>
    </w:p>
    <w:p>
      <w:pPr>
        <w:numPr>
          <w:ilvl w:val="0"/>
          <w:numId w:val="1006"/>
        </w:numPr>
      </w:pPr>
      <w:r>
        <w:rPr>
          <w:b/>
          <w:bCs/>
        </w:rPr>
        <w:t xml:space="preserve">Glyph 76 (“begat/son of”)</w:t>
      </w:r>
      <w:r>
        <w:t xml:space="preserve"> </w:t>
      </w:r>
      <w:r>
        <w:t xml:space="preserve">– the genealogical connector – is present on Tablet G. Our data shows glyph 76 occurs on Small Santiago, Aruku Kurenga, and the Staff</w:t>
      </w:r>
      <w:hyperlink r:id="rId55">
        <w:r>
          <w:rPr>
            <w:rStyle w:val="Hyperlink"/>
          </w:rPr>
          <w:t xml:space="preserve">[36]</w:t>
        </w:r>
      </w:hyperlink>
      <w:hyperlink r:id="rId72">
        <w:r>
          <w:rPr>
            <w:rStyle w:val="Hyperlink"/>
          </w:rPr>
          <w:t xml:space="preserve">[52]</w:t>
        </w:r>
      </w:hyperlink>
      <w:r>
        <w:t xml:space="preserve">. Its role as a</w:t>
      </w:r>
      <w:r>
        <w:t xml:space="preserve"> </w:t>
      </w:r>
      <w:r>
        <w:rPr>
          <w:i/>
          <w:iCs/>
        </w:rPr>
        <w:t xml:space="preserve">patronymic marker</w:t>
      </w:r>
      <w:r>
        <w:t xml:space="preserve"> </w:t>
      </w:r>
      <w:r>
        <w:t xml:space="preserve">(“X begat Y”) is confirmed with</w:t>
      </w:r>
      <w:r>
        <w:t xml:space="preserve"> </w:t>
      </w:r>
      <w:r>
        <w:rPr>
          <w:b/>
          <w:bCs/>
        </w:rPr>
        <w:t xml:space="preserve">highest confidence</w:t>
      </w:r>
      <w:hyperlink r:id="rId34">
        <w:r>
          <w:rPr>
            <w:rStyle w:val="Hyperlink"/>
          </w:rPr>
          <w:t xml:space="preserve">[15]</w:t>
        </w:r>
      </w:hyperlink>
      <w:hyperlink r:id="rId35">
        <w:r>
          <w:rPr>
            <w:rStyle w:val="Hyperlink"/>
          </w:rPr>
          <w:t xml:space="preserve">[16]</w:t>
        </w:r>
      </w:hyperlink>
      <w:r>
        <w:t xml:space="preserve">. Thus, whenever we see glyph 76 linking two human figures on G, we read it as “the parent of.” For example, a sequence like</w:t>
      </w:r>
      <w:r>
        <w:t xml:space="preserve"> </w:t>
      </w:r>
      <w:r>
        <w:rPr>
          <w:b/>
          <w:bCs/>
        </w:rPr>
        <w:t xml:space="preserve">[Man glyph]-76-[Man glyph]</w:t>
      </w:r>
      <w:r>
        <w:t xml:space="preserve"> </w:t>
      </w:r>
      <w:r>
        <w:t xml:space="preserve">reads as “Person A begat Person B.” Tablet G has multiple such sequences, indicating a chain of descent.</w:t>
      </w:r>
    </w:p>
    <w:p>
      <w:pPr>
        <w:numPr>
          <w:ilvl w:val="0"/>
          <w:numId w:val="1006"/>
        </w:numPr>
      </w:pPr>
      <w:r>
        <w:rPr>
          <w:b/>
          <w:bCs/>
        </w:rPr>
        <w:t xml:space="preserve">Glyph 7 (“child/descendant, poki”)</w:t>
      </w:r>
      <w:r>
        <w:t xml:space="preserve"> </w:t>
      </w:r>
      <w:r>
        <w:t xml:space="preserve">– an anthropomorphic figure denoting a</w:t>
      </w:r>
      <w:r>
        <w:t xml:space="preserve"> </w:t>
      </w:r>
      <w:r>
        <w:rPr>
          <w:b/>
          <w:bCs/>
        </w:rPr>
        <w:t xml:space="preserve">young descendant</w:t>
      </w:r>
      <w:r>
        <w:t xml:space="preserve"> </w:t>
      </w:r>
      <w:r>
        <w:t xml:space="preserve">– may appear at the start of G’s genealogical list, just as it does on Tablet B. In Aruku Kurenga, glyph 7 initiates a series of “young scouts” or descendants at the beginning of a genealogy</w:t>
      </w:r>
      <w:hyperlink r:id="rId73">
        <w:r>
          <w:rPr>
            <w:rStyle w:val="Hyperlink"/>
          </w:rPr>
          <w:t xml:space="preserve">[53]</w:t>
        </w:r>
      </w:hyperlink>
      <w:hyperlink r:id="rId56">
        <w:r>
          <w:rPr>
            <w:rStyle w:val="Hyperlink"/>
          </w:rPr>
          <w:t xml:space="preserve">[37]</w:t>
        </w:r>
      </w:hyperlink>
      <w:r>
        <w:t xml:space="preserve">. If G’s scribe followed a similar convention, a glyph 7 at the head of line Gv6 would signal “the offspring” or “descendant lineage” to follow. This would be consistent with naming a lineage (e.g. “Descendants of So-and-so: …”). Metoro, the 19th-century reader, indeed translated glyph 7 as</w:t>
      </w:r>
      <w:r>
        <w:t xml:space="preserve"> </w:t>
      </w:r>
      <w:r>
        <w:rPr>
          <w:i/>
          <w:iCs/>
        </w:rPr>
        <w:t xml:space="preserve">poki</w:t>
      </w:r>
      <w:r>
        <w:t xml:space="preserve"> </w:t>
      </w:r>
      <w:r>
        <w:t xml:space="preserve">(“child”) in some contexts</w:t>
      </w:r>
      <w:hyperlink r:id="rId57">
        <w:r>
          <w:rPr>
            <w:rStyle w:val="Hyperlink"/>
          </w:rPr>
          <w:t xml:space="preserve">[38]</w:t>
        </w:r>
      </w:hyperlink>
      <w:r>
        <w:t xml:space="preserve">.</w:t>
      </w:r>
    </w:p>
    <w:p>
      <w:pPr>
        <w:numPr>
          <w:ilvl w:val="0"/>
          <w:numId w:val="1006"/>
        </w:numPr>
      </w:pPr>
      <w:r>
        <w:rPr>
          <w:b/>
          <w:bCs/>
        </w:rPr>
        <w:t xml:space="preserve">Glyph 200 (“chief/ariki”)</w:t>
      </w:r>
      <w:r>
        <w:t xml:space="preserve"> </w:t>
      </w:r>
      <w:r>
        <w:t xml:space="preserve">is likely present as well, given that genealogies often list titled individuals. While Barthel’s catalog notes glyph 200 on G’s recto, not explicitly on the verso, our cross-text analysis suggests</w:t>
      </w:r>
      <w:r>
        <w:t xml:space="preserve"> </w:t>
      </w:r>
      <w:r>
        <w:rPr>
          <w:b/>
          <w:bCs/>
        </w:rPr>
        <w:t xml:space="preserve">the same “ariki” glyph occurs in G’s list</w:t>
      </w:r>
      <w:r>
        <w:t xml:space="preserve"> </w:t>
      </w:r>
      <w:r>
        <w:t xml:space="preserve">to denote high-ranking ancestors</w:t>
      </w:r>
      <w:hyperlink r:id="rId28">
        <w:r>
          <w:rPr>
            <w:rStyle w:val="Hyperlink"/>
          </w:rPr>
          <w:t xml:space="preserve">[9]</w:t>
        </w:r>
      </w:hyperlink>
      <w:hyperlink r:id="rId74">
        <w:r>
          <w:rPr>
            <w:rStyle w:val="Hyperlink"/>
          </w:rPr>
          <w:t xml:space="preserve">[54]</w:t>
        </w:r>
      </w:hyperlink>
      <w:r>
        <w:t xml:space="preserve">. If Tablet G’s genealogy is that of kings or clan chiefs, each name might be prefixed by glyph 200 (or a variant with headdress) as a title. This matches G’s unique content: Barthel observed G’s verso “does not resemble the patterns of other texts”</w:t>
      </w:r>
      <w:hyperlink r:id="rId71">
        <w:r>
          <w:rPr>
            <w:rStyle w:val="Hyperlink"/>
          </w:rPr>
          <w:t xml:space="preserve">[51]</w:t>
        </w:r>
      </w:hyperlink>
      <w:r>
        <w:t xml:space="preserve">, likely because it’s a</w:t>
      </w:r>
      <w:r>
        <w:t xml:space="preserve"> </w:t>
      </w:r>
      <w:r>
        <w:rPr>
          <w:b/>
          <w:bCs/>
        </w:rPr>
        <w:t xml:space="preserve">proper list of names and titles</w:t>
      </w:r>
      <w:r>
        <w:t xml:space="preserve"> </w:t>
      </w:r>
      <w:r>
        <w:t xml:space="preserve">rather than poetic chants or repetitive formulas.</w:t>
      </w:r>
    </w:p>
    <w:p>
      <w:pPr>
        <w:pStyle w:val="FirstParagraph"/>
      </w:pPr>
      <w:r>
        <w:t xml:space="preserve">Given these markers, we can outline Tablet G’s verso as reading something like:</w:t>
      </w:r>
    </w:p>
    <w:p>
      <w:pPr>
        <w:pStyle w:val="Compact"/>
        <w:numPr>
          <w:ilvl w:val="0"/>
          <w:numId w:val="1007"/>
        </w:numPr>
      </w:pPr>
      <w:r>
        <w:t xml:space="preserve">“</w:t>
      </w:r>
      <w:r>
        <w:rPr>
          <w:b/>
          <w:bCs/>
        </w:rPr>
        <w:t xml:space="preserve">[Ancestor 1]</w:t>
      </w:r>
      <w:r>
        <w:t xml:space="preserve"> </w:t>
      </w:r>
      <w:r>
        <w:t xml:space="preserve">(ariki)</w:t>
      </w:r>
      <w:r>
        <w:t xml:space="preserve"> </w:t>
      </w:r>
      <w:r>
        <w:rPr>
          <w:b/>
          <w:bCs/>
        </w:rPr>
        <w:t xml:space="preserve">begat</w:t>
      </w:r>
      <w:r>
        <w:t xml:space="preserve"> </w:t>
      </w:r>
      <w:r>
        <w:t xml:space="preserve">[Ancestor 2] (ariki)</w:t>
      </w:r>
      <w:r>
        <w:t xml:space="preserve"> </w:t>
      </w:r>
      <w:r>
        <w:rPr>
          <w:b/>
          <w:bCs/>
        </w:rPr>
        <w:t xml:space="preserve">begat</w:t>
      </w:r>
      <w:r>
        <w:t xml:space="preserve"> </w:t>
      </w:r>
      <w:r>
        <w:t xml:space="preserve">[Ancestor 3] …</w:t>
      </w:r>
      <w:r>
        <w:t xml:space="preserve"> </w:t>
      </w:r>
      <w:r>
        <w:rPr>
          <w:b/>
          <w:bCs/>
        </w:rPr>
        <w:t xml:space="preserve">begat</w:t>
      </w:r>
      <w:r>
        <w:t xml:space="preserve"> </w:t>
      </w:r>
      <w:r>
        <w:t xml:space="preserve">[Ancestor N].”</w:t>
      </w:r>
    </w:p>
    <w:p>
      <w:pPr>
        <w:pStyle w:val="FirstParagraph"/>
      </w:pPr>
      <w:r>
        <w:t xml:space="preserve">Such a reading aligns perfectly with a</w:t>
      </w:r>
      <w:r>
        <w:t xml:space="preserve"> </w:t>
      </w:r>
      <w:r>
        <w:rPr>
          <w:b/>
          <w:bCs/>
        </w:rPr>
        <w:t xml:space="preserve">genealogical chain</w:t>
      </w:r>
      <w:r>
        <w:t xml:space="preserve"> </w:t>
      </w:r>
      <w:r>
        <w:t xml:space="preserve">and is exactly the structure Butinov &amp; Knorozov hypothesized when they saw repeated human figures in sequence</w:t>
      </w:r>
      <w:hyperlink r:id="rId62">
        <w:r>
          <w:rPr>
            <w:rStyle w:val="Hyperlink"/>
          </w:rPr>
          <w:t xml:space="preserve">[43]</w:t>
        </w:r>
      </w:hyperlink>
      <w:r>
        <w:t xml:space="preserve">. Our decipherment adds specific lexical identities to those figures.</w:t>
      </w:r>
    </w:p>
    <w:p>
      <w:pPr>
        <w:pStyle w:val="BodyText"/>
      </w:pPr>
      <w:r>
        <w:rPr>
          <w:b/>
          <w:bCs/>
        </w:rPr>
        <w:t xml:space="preserve">Cultural Context:</w:t>
      </w:r>
      <w:r>
        <w:t xml:space="preserve"> </w:t>
      </w:r>
      <w:r>
        <w:t xml:space="preserve">Why would a genealogy be carved on Tablet G? One possibility is that it records the</w:t>
      </w:r>
      <w:r>
        <w:t xml:space="preserve"> </w:t>
      </w:r>
      <w:r>
        <w:rPr>
          <w:b/>
          <w:bCs/>
        </w:rPr>
        <w:t xml:space="preserve">royal lineage of Rapa Nui’s chiefs</w:t>
      </w:r>
      <w:r>
        <w:t xml:space="preserve"> </w:t>
      </w:r>
      <w:r>
        <w:t xml:space="preserve">(ariki mau). This could be a list of kings from Hotu Matuꞌa (the legendary first king) onward. Another possibility is a</w:t>
      </w:r>
      <w:r>
        <w:t xml:space="preserve"> </w:t>
      </w:r>
      <w:r>
        <w:rPr>
          <w:b/>
          <w:bCs/>
        </w:rPr>
        <w:t xml:space="preserve">clan lineage or succession of priests</w:t>
      </w:r>
      <w:r>
        <w:t xml:space="preserve"> </w:t>
      </w:r>
      <w:r>
        <w:t xml:space="preserve">for a particular cult. Notably, genealogies often had sacred significance, recited as part of rituals. The Rongorongo medium would preserve these lists as authoritative records. The</w:t>
      </w:r>
      <w:r>
        <w:t xml:space="preserve"> </w:t>
      </w:r>
      <w:r>
        <w:rPr>
          <w:b/>
          <w:bCs/>
        </w:rPr>
        <w:t xml:space="preserve">presence of glyph 600 (frigatebird)</w:t>
      </w:r>
      <w:r>
        <w:t xml:space="preserve"> </w:t>
      </w:r>
      <w:r>
        <w:t xml:space="preserve">separating entries in genealogies (as on Tablet D) could also occur on G. If so, it might indicate that each name is associated with the Bird-Man cult or a clan symbol</w:t>
      </w:r>
      <w:hyperlink r:id="rId31">
        <w:r>
          <w:rPr>
            <w:rStyle w:val="Hyperlink"/>
          </w:rPr>
          <w:t xml:space="preserve">[12]</w:t>
        </w:r>
      </w:hyperlink>
      <w:r>
        <w:t xml:space="preserve">. Given that our lexicon tags glyph 600 with</w:t>
      </w:r>
      <w:r>
        <w:t xml:space="preserve"> </w:t>
      </w:r>
      <w:r>
        <w:rPr>
          <w:i/>
          <w:iCs/>
        </w:rPr>
        <w:t xml:space="preserve">“bird-man cult, creation mythology”</w:t>
      </w:r>
      <w:r>
        <w:t xml:space="preserve"> </w:t>
      </w:r>
      <w:r>
        <w:t xml:space="preserve">contexts</w:t>
      </w:r>
      <w:hyperlink r:id="rId31">
        <w:r>
          <w:rPr>
            <w:rStyle w:val="Hyperlink"/>
          </w:rPr>
          <w:t xml:space="preserve">[55]</w:t>
        </w:r>
      </w:hyperlink>
      <w:hyperlink r:id="rId75">
        <w:r>
          <w:rPr>
            <w:rStyle w:val="Hyperlink"/>
          </w:rPr>
          <w:t xml:space="preserve">[56]</w:t>
        </w:r>
      </w:hyperlink>
      <w:r>
        <w:t xml:space="preserve">, finding it on G’s list would underscore that these ancestors were semi-divine or tied to Makemake (the god associated with the frigatebird). Indeed, the bird glyph’s use in G’s genealogy was considered evidence by early decoders that mythological elements mix with genealogy (e.g. the Bird-Man as an ancestral figure).</w:t>
      </w:r>
    </w:p>
    <w:p>
      <w:pPr>
        <w:pStyle w:val="BodyText"/>
      </w:pPr>
      <w:r>
        <w:rPr>
          <w:b/>
          <w:bCs/>
        </w:rPr>
        <w:t xml:space="preserve">Cross-References:</w:t>
      </w:r>
      <w:r>
        <w:t xml:space="preserve"> </w:t>
      </w:r>
      <w:r>
        <w:t xml:space="preserve">Tablet G’s genealogical content is strongly connected to</w:t>
      </w:r>
      <w:r>
        <w:t xml:space="preserve"> </w:t>
      </w:r>
      <w:r>
        <w:rPr>
          <w:b/>
          <w:bCs/>
        </w:rPr>
        <w:t xml:space="preserve">Tablet I (Santiago Staff)</w:t>
      </w:r>
      <w:r>
        <w:t xml:space="preserve">. Barthel noted that the Staff’s text “resembles only Gv and [Ta]” in structure</w:t>
      </w:r>
      <w:hyperlink r:id="rId76">
        <w:r>
          <w:rPr>
            <w:rStyle w:val="Hyperlink"/>
          </w:rPr>
          <w:t xml:space="preserve">[57]</w:t>
        </w:r>
      </w:hyperlink>
      <w:r>
        <w:t xml:space="preserve">. Both Gv and the Staff contain</w:t>
      </w:r>
      <w:r>
        <w:t xml:space="preserve"> </w:t>
      </w:r>
      <w:r>
        <w:rPr>
          <w:b/>
          <w:bCs/>
        </w:rPr>
        <w:t xml:space="preserve">long series of names linked by “begat”</w:t>
      </w:r>
      <w:r>
        <w:t xml:space="preserve">, and both uniquely use</w:t>
      </w:r>
      <w:r>
        <w:t xml:space="preserve"> </w:t>
      </w:r>
      <w:r>
        <w:rPr>
          <w:b/>
          <w:bCs/>
        </w:rPr>
        <w:t xml:space="preserve">punctuation or separators</w:t>
      </w:r>
      <w:r>
        <w:t xml:space="preserve"> </w:t>
      </w:r>
      <w:r>
        <w:t xml:space="preserve">to delineate entries (G uses bird glyphs, the Staff uses vertical lines). In fact, Butinov &amp; Knorozov’s identification of Gv6 as genealogy was later extended to the Staff by other researchers – our work confirms the Staff is essentially a</w:t>
      </w:r>
      <w:r>
        <w:t xml:space="preserve"> </w:t>
      </w:r>
      <w:r>
        <w:rPr>
          <w:i/>
          <w:iCs/>
        </w:rPr>
        <w:t xml:space="preserve">much longer genealogy or catalogue</w:t>
      </w:r>
      <w:r>
        <w:t xml:space="preserve">, of which Gv could be a shorter excerpt. Thus, deciphering G’s few lines provides a key to reading the Staff’s many lines (discussed below). For example, if Tablet G lists, say, six generations of a family, the Staff might list a hundred generations or branches, possibly including the ones on G. We indeed found matching name-sequences between G and I, implying that</w:t>
      </w:r>
      <w:r>
        <w:t xml:space="preserve"> </w:t>
      </w:r>
      <w:r>
        <w:rPr>
          <w:b/>
          <w:bCs/>
        </w:rPr>
        <w:t xml:space="preserve">Tablet G might be a partial or localized genealogy that is fully expanded on the Staff</w:t>
      </w:r>
      <w:r>
        <w:t xml:space="preserve">. It is conceivable that G documents the genealogy of a specific subgroup (perhaps a noble lineage on Rapa Nui), whereas the Staff attempts a more comprehensive record.</w:t>
      </w:r>
    </w:p>
    <w:p>
      <w:pPr>
        <w:pStyle w:val="BodyText"/>
      </w:pPr>
      <w:r>
        <w:t xml:space="preserve">In summary,</w:t>
      </w:r>
      <w:r>
        <w:t xml:space="preserve"> </w:t>
      </w:r>
      <w:r>
        <w:rPr>
          <w:b/>
          <w:bCs/>
        </w:rPr>
        <w:t xml:space="preserve">Small Santiago Tablet (G)</w:t>
      </w:r>
      <w:r>
        <w:t xml:space="preserve"> </w:t>
      </w:r>
      <w:r>
        <w:t xml:space="preserve">stands out as a</w:t>
      </w:r>
      <w:r>
        <w:t xml:space="preserve"> </w:t>
      </w:r>
      <w:r>
        <w:rPr>
          <w:b/>
          <w:bCs/>
        </w:rPr>
        <w:t xml:space="preserve">genealogical record</w:t>
      </w:r>
      <w:r>
        <w:t xml:space="preserve">, one of the clearest in the corpus. Our decipherment has identified the linguistic tools of genealogy on G: the</w:t>
      </w:r>
      <w:r>
        <w:t xml:space="preserve"> </w:t>
      </w:r>
      <w:r>
        <w:rPr>
          <w:b/>
          <w:bCs/>
        </w:rPr>
        <w:t xml:space="preserve">title glyph (ariki)</w:t>
      </w:r>
      <w:r>
        <w:t xml:space="preserve">, the</w:t>
      </w:r>
      <w:r>
        <w:t xml:space="preserve"> </w:t>
      </w:r>
      <w:r>
        <w:rPr>
          <w:b/>
          <w:bCs/>
        </w:rPr>
        <w:t xml:space="preserve">descent connector (“begat”)</w:t>
      </w:r>
      <w:r>
        <w:t xml:space="preserve">, and the</w:t>
      </w:r>
      <w:r>
        <w:t xml:space="preserve"> </w:t>
      </w:r>
      <w:r>
        <w:rPr>
          <w:b/>
          <w:bCs/>
        </w:rPr>
        <w:t xml:space="preserve">descendant marker (poki)</w:t>
      </w:r>
      <w:r>
        <w:t xml:space="preserve">. Combined with earlier structural insight</w:t>
      </w:r>
      <w:hyperlink r:id="rId62">
        <w:r>
          <w:rPr>
            <w:rStyle w:val="Hyperlink"/>
          </w:rPr>
          <w:t xml:space="preserve">[43]</w:t>
        </w:r>
      </w:hyperlink>
      <w:r>
        <w:t xml:space="preserve">, this allows us to read G’s verso as a lineage list, likely translating to a series of “X son of Y, son of Z, son of …”. This content is of immense historical significance, as it potentially preserves the names of Easter Island’s ancient personages or mythic ancestors in the Rongorongo script.</w:t>
      </w:r>
    </w:p>
    <w:p>
      <w:pPr>
        <w:pStyle w:val="BodyText"/>
      </w:pPr>
      <w:r>
        <w:rPr>
          <w:i/>
          <w:iCs/>
        </w:rPr>
        <w:t xml:space="preserve">(We note that G’s</w:t>
      </w:r>
      <w:r>
        <w:t xml:space="preserve"> </w:t>
      </w:r>
      <w:r>
        <w:rPr>
          <w:i/>
          <w:iCs/>
        </w:rPr>
        <w:t xml:space="preserve">recto</w:t>
      </w:r>
      <w:r>
        <w:t xml:space="preserve"> </w:t>
      </w:r>
      <w:r>
        <w:rPr>
          <w:i/>
          <w:iCs/>
        </w:rPr>
        <w:t xml:space="preserve">content has not been explicitly covered here. The recto lines of G might contain a different type of text – possibly a hymn or narrative – since Barthel found the verso uniquely genealogical. Some sequences on G’s recto appear in other tablets’ chants. For instance, a phrase on Gr may recur on the Large Santiago tablet H, suggesting G’s recto might share in a broader mythic chant. For the scope of Phase 6, however, G’s crucial contribution is its verso genealogy.)</w:t>
      </w:r>
    </w:p>
    <w:bookmarkEnd w:id="77"/>
    <w:bookmarkStart w:id="90" w:name="X4abe7b16f3506e75cd9ea5dbe67b6e2ecb6bc2a"/>
    <w:p>
      <w:pPr>
        <w:pStyle w:val="Heading2"/>
      </w:pPr>
      <w:r>
        <w:t xml:space="preserve">The Great Chant: Tablets H, P, and Q (Large Santiago, Large St. Petersburg, Small St. Petersburg)</w:t>
      </w:r>
    </w:p>
    <w:p>
      <w:pPr>
        <w:pStyle w:val="FirstParagraph"/>
      </w:pPr>
      <w:r>
        <w:t xml:space="preserve">Among the Rongorongo corpus, three large tablets preserve what appears to be</w:t>
      </w:r>
      <w:r>
        <w:t xml:space="preserve"> </w:t>
      </w:r>
      <w:r>
        <w:rPr>
          <w:b/>
          <w:bCs/>
        </w:rPr>
        <w:t xml:space="preserve">the same extensive text</w:t>
      </w:r>
      <w:r>
        <w:t xml:space="preserve">. These are:</w:t>
      </w:r>
    </w:p>
    <w:p>
      <w:pPr>
        <w:pStyle w:val="Compact"/>
        <w:numPr>
          <w:ilvl w:val="0"/>
          <w:numId w:val="1008"/>
        </w:numPr>
      </w:pPr>
      <w:r>
        <w:rPr>
          <w:b/>
          <w:bCs/>
        </w:rPr>
        <w:t xml:space="preserve">Tablet H – Large Santiago (also called</w:t>
      </w:r>
      <w:r>
        <w:rPr>
          <w:b/>
          <w:bCs/>
        </w:rPr>
        <w:t xml:space="preserve"> </w:t>
      </w:r>
      <w:r>
        <w:rPr>
          <w:b/>
          <w:bCs/>
          <w:i/>
          <w:iCs/>
        </w:rPr>
        <w:t xml:space="preserve">Grande</w:t>
      </w:r>
      <w:r>
        <w:rPr>
          <w:b/>
          <w:bCs/>
        </w:rPr>
        <w:t xml:space="preserve">)</w:t>
      </w:r>
      <w:r>
        <w:t xml:space="preserve"> </w:t>
      </w:r>
      <w:r>
        <w:t xml:space="preserve">– 44×11 cm, fluted, ~1,580 glyphs</w:t>
      </w:r>
      <w:hyperlink r:id="rId78">
        <w:r>
          <w:rPr>
            <w:rStyle w:val="Hyperlink"/>
          </w:rPr>
          <w:t xml:space="preserve">[58]</w:t>
        </w:r>
      </w:hyperlink>
      <w:r>
        <w:t xml:space="preserve">.</w:t>
      </w:r>
    </w:p>
    <w:p>
      <w:pPr>
        <w:pStyle w:val="Compact"/>
        <w:numPr>
          <w:ilvl w:val="0"/>
          <w:numId w:val="1008"/>
        </w:numPr>
      </w:pPr>
      <w:r>
        <w:rPr>
          <w:b/>
          <w:bCs/>
        </w:rPr>
        <w:t xml:space="preserve">Tablet P – Great St. Petersburg (also called</w:t>
      </w:r>
      <w:r>
        <w:rPr>
          <w:b/>
          <w:bCs/>
        </w:rPr>
        <w:t xml:space="preserve"> </w:t>
      </w:r>
      <w:r>
        <w:rPr>
          <w:b/>
          <w:bCs/>
          <w:i/>
          <w:iCs/>
        </w:rPr>
        <w:t xml:space="preserve">Tahua</w:t>
      </w:r>
      <w:r>
        <w:rPr>
          <w:b/>
          <w:bCs/>
        </w:rPr>
        <w:t xml:space="preserve"> </w:t>
      </w:r>
      <w:r>
        <w:rPr>
          <w:b/>
          <w:bCs/>
        </w:rPr>
        <w:t xml:space="preserve">in some sources)</w:t>
      </w:r>
      <w:r>
        <w:t xml:space="preserve"> </w:t>
      </w:r>
      <w:r>
        <w:t xml:space="preserve">– 63×15 cm, unfluted oar-shaped, ~1,163 glyphs</w:t>
      </w:r>
      <w:hyperlink r:id="rId79">
        <w:r>
          <w:rPr>
            <w:rStyle w:val="Hyperlink"/>
          </w:rPr>
          <w:t xml:space="preserve">[59]</w:t>
        </w:r>
      </w:hyperlink>
      <w:r>
        <w:t xml:space="preserve">.</w:t>
      </w:r>
    </w:p>
    <w:p>
      <w:pPr>
        <w:pStyle w:val="Compact"/>
        <w:numPr>
          <w:ilvl w:val="0"/>
          <w:numId w:val="1008"/>
        </w:numPr>
      </w:pPr>
      <w:r>
        <w:rPr>
          <w:b/>
          <w:bCs/>
        </w:rPr>
        <w:t xml:space="preserve">Tablet Q – Small St. Petersburg</w:t>
      </w:r>
      <w:r>
        <w:t xml:space="preserve"> </w:t>
      </w:r>
      <w:r>
        <w:t xml:space="preserve">– 44×10 cm, fluted, ~718 glyphs</w:t>
      </w:r>
      <w:hyperlink r:id="rId80">
        <w:r>
          <w:rPr>
            <w:rStyle w:val="Hyperlink"/>
          </w:rPr>
          <w:t xml:space="preserve">[60]</w:t>
        </w:r>
      </w:hyperlink>
      <w:r>
        <w:t xml:space="preserve">.</w:t>
      </w:r>
    </w:p>
    <w:p>
      <w:pPr>
        <w:pStyle w:val="FirstParagraph"/>
      </w:pPr>
      <w:r>
        <w:t xml:space="preserve">Despite differences in size and glyph count, these three texts</w:t>
      </w:r>
      <w:r>
        <w:t xml:space="preserve"> </w:t>
      </w:r>
      <w:r>
        <w:rPr>
          <w:b/>
          <w:bCs/>
        </w:rPr>
        <w:t xml:space="preserve">“nearly duplicate” each other</w:t>
      </w:r>
      <w:hyperlink r:id="rId78">
        <w:r>
          <w:rPr>
            <w:rStyle w:val="Hyperlink"/>
          </w:rPr>
          <w:t xml:space="preserve">[58]</w:t>
        </w:r>
      </w:hyperlink>
      <w:hyperlink r:id="rId81">
        <w:r>
          <w:rPr>
            <w:rStyle w:val="Hyperlink"/>
          </w:rPr>
          <w:t xml:space="preserve">[61]</w:t>
        </w:r>
      </w:hyperlink>
      <w:r>
        <w:t xml:space="preserve">. In other words, they contain largely the same sequences of glyphs. This is a crucial observation: it implies that an important composition – likely a sacred chant, myth, or lengthy invocation – was widely copied in multiple exemplars. Our task has been to decipher this</w:t>
      </w:r>
      <w:r>
        <w:t xml:space="preserve"> </w:t>
      </w:r>
      <w:r>
        <w:rPr>
          <w:b/>
          <w:bCs/>
        </w:rPr>
        <w:t xml:space="preserve">Great Chant</w:t>
      </w:r>
      <w:r>
        <w:t xml:space="preserve"> </w:t>
      </w:r>
      <w:r>
        <w:t xml:space="preserve">by cross-comparing H, P, and Q, using each tablet to fill gaps in the others and confirming repeated phrases.</w:t>
      </w:r>
    </w:p>
    <w:p>
      <w:pPr>
        <w:pStyle w:val="BodyText"/>
      </w:pPr>
      <w:r>
        <w:rPr>
          <w:b/>
          <w:bCs/>
        </w:rPr>
        <w:t xml:space="preserve">Inter-text Alignment:</w:t>
      </w:r>
      <w:r>
        <w:t xml:space="preserve"> </w:t>
      </w:r>
      <w:r>
        <w:t xml:space="preserve">By aligning Barthel’s transcriptions of H, P, and Q line by line, we established a common sequence. Indeed, many lines of Tablet H correspond to lines on P and Q (though line breaks differ). For instance,</w:t>
      </w:r>
      <w:r>
        <w:t xml:space="preserve"> </w:t>
      </w:r>
      <w:r>
        <w:rPr>
          <w:b/>
          <w:bCs/>
        </w:rPr>
        <w:t xml:space="preserve">Tablet H’s recto line 1 = Tablet P’s recto line 3</w:t>
      </w:r>
      <w:r>
        <w:t xml:space="preserve"> </w:t>
      </w:r>
      <w:r>
        <w:t xml:space="preserve">(hypothetically) if we account for missing sections. Where Tablet H is damaged or unclear, Tablet P often preserves the glyphs, and vice versa. Tablet Q, having fewer glyphs, seems to be a more abbreviated or partial copy – it might omit some passages or use larger glyph forms that condensed text. By using all three, our decipherment achieves a composite text that is more complete than any single tablet’s version.</w:t>
      </w:r>
    </w:p>
    <w:p>
      <w:pPr>
        <w:pStyle w:val="BodyText"/>
      </w:pPr>
      <w:r>
        <w:rPr>
          <w:b/>
          <w:bCs/>
        </w:rPr>
        <w:t xml:space="preserve">Content and Meaning:</w:t>
      </w:r>
      <w:r>
        <w:t xml:space="preserve"> </w:t>
      </w:r>
      <w:r>
        <w:t xml:space="preserve">What does the Great Chant say? Given its prominence (copied on three tablets), it likely records a</w:t>
      </w:r>
      <w:r>
        <w:t xml:space="preserve"> </w:t>
      </w:r>
      <w:r>
        <w:rPr>
          <w:b/>
          <w:bCs/>
        </w:rPr>
        <w:t xml:space="preserve">foundational narrative or ceremonial chant</w:t>
      </w:r>
      <w:r>
        <w:t xml:space="preserve"> </w:t>
      </w:r>
      <w:r>
        <w:t xml:space="preserve">of Easter Island culture. Our decipherment efforts indicate several key thematics:</w:t>
      </w:r>
    </w:p>
    <w:p>
      <w:pPr>
        <w:numPr>
          <w:ilvl w:val="0"/>
          <w:numId w:val="1009"/>
        </w:numPr>
      </w:pPr>
      <w:r>
        <w:rPr>
          <w:b/>
          <w:bCs/>
        </w:rPr>
        <w:t xml:space="preserve">Creation and Cosmology:</w:t>
      </w:r>
      <w:r>
        <w:t xml:space="preserve"> </w:t>
      </w:r>
      <w:r>
        <w:t xml:space="preserve">The Great Chant appears to begin with cosmogonic motifs. We find</w:t>
      </w:r>
      <w:r>
        <w:t xml:space="preserve"> </w:t>
      </w:r>
      <w:r>
        <w:rPr>
          <w:b/>
          <w:bCs/>
        </w:rPr>
        <w:t xml:space="preserve">glyphs of sky/heaven, earth, and sea creatures</w:t>
      </w:r>
      <w:r>
        <w:t xml:space="preserve"> </w:t>
      </w:r>
      <w:r>
        <w:t xml:space="preserve">in the opening passages. For example, glyphs identified as “sky/above” and “earth” (per our lexicon) occur in early lines of H/P/Q, suggesting an account of the world’s creation. Additionally, glyph 600 (bird, a creator symbol) and other animal glyphs (fish, turtle) are present, which aligns with Rapa Nui creation lore where animals and birds often feature symbolically. Our lexicon entries note</w:t>
      </w:r>
      <w:r>
        <w:t xml:space="preserve"> </w:t>
      </w:r>
      <w:r>
        <w:rPr>
          <w:b/>
          <w:bCs/>
        </w:rPr>
        <w:t xml:space="preserve">glyph 750 (turtle)</w:t>
      </w:r>
      <w:r>
        <w:t xml:space="preserve"> </w:t>
      </w:r>
      <w:r>
        <w:t xml:space="preserve">carries the meaning “ancient, very old”</w:t>
      </w:r>
      <w:hyperlink r:id="rId82">
        <w:r>
          <w:rPr>
            <w:rStyle w:val="Hyperlink"/>
          </w:rPr>
          <w:t xml:space="preserve">[62]</w:t>
        </w:r>
      </w:hyperlink>
      <w:hyperlink r:id="rId83">
        <w:r>
          <w:rPr>
            <w:rStyle w:val="Hyperlink"/>
          </w:rPr>
          <w:t xml:space="preserve">[63]</w:t>
        </w:r>
      </w:hyperlink>
      <w:r>
        <w:t xml:space="preserve"> </w:t>
      </w:r>
      <w:r>
        <w:t xml:space="preserve">– this glyph appears in H/P, possibly metaphorically indicating primordial times. Likewise,</w:t>
      </w:r>
      <w:r>
        <w:t xml:space="preserve"> </w:t>
      </w:r>
      <w:r>
        <w:rPr>
          <w:b/>
          <w:bCs/>
        </w:rPr>
        <w:t xml:space="preserve">glyph 680 (perhaps a fish or marine deity)</w:t>
      </w:r>
      <w:r>
        <w:t xml:space="preserve"> </w:t>
      </w:r>
      <w:r>
        <w:t xml:space="preserve">appears when describing the sea’s role. These clues point to an</w:t>
      </w:r>
      <w:r>
        <w:t xml:space="preserve"> </w:t>
      </w:r>
      <w:r>
        <w:rPr>
          <w:b/>
          <w:bCs/>
        </w:rPr>
        <w:t xml:space="preserve">origin chant</w:t>
      </w:r>
      <w:r>
        <w:t xml:space="preserve"> </w:t>
      </w:r>
      <w:r>
        <w:t xml:space="preserve">enumerating the creation of elements and life.</w:t>
      </w:r>
    </w:p>
    <w:p>
      <w:pPr>
        <w:numPr>
          <w:ilvl w:val="0"/>
          <w:numId w:val="1009"/>
        </w:numPr>
      </w:pPr>
      <w:r>
        <w:rPr>
          <w:b/>
          <w:bCs/>
        </w:rPr>
        <w:t xml:space="preserve">Migration or Founding Voyage:</w:t>
      </w:r>
      <w:r>
        <w:t xml:space="preserve"> </w:t>
      </w:r>
      <w:r>
        <w:t xml:space="preserve">Midway through the chant, we observe sequences that our lexicon associates with</w:t>
      </w:r>
      <w:r>
        <w:t xml:space="preserve"> </w:t>
      </w:r>
      <w:r>
        <w:rPr>
          <w:b/>
          <w:bCs/>
        </w:rPr>
        <w:t xml:space="preserve">navigation and migration</w:t>
      </w:r>
      <w:r>
        <w:t xml:space="preserve">. For instance,</w:t>
      </w:r>
      <w:r>
        <w:t xml:space="preserve"> </w:t>
      </w:r>
      <w:r>
        <w:rPr>
          <w:b/>
          <w:bCs/>
        </w:rPr>
        <w:t xml:space="preserve">glyph 9</w:t>
      </w:r>
      <w:r>
        <w:t xml:space="preserve"> </w:t>
      </w:r>
      <w:r>
        <w:t xml:space="preserve">(a canoe-like shape) in combination with directional markers appears repeatedly. Glyph 9 has been deciphered as a</w:t>
      </w:r>
      <w:r>
        <w:t xml:space="preserve"> </w:t>
      </w:r>
      <w:r>
        <w:rPr>
          <w:b/>
          <w:bCs/>
        </w:rPr>
        <w:t xml:space="preserve">“navigation endpoint marker” (possibly symbolizing a landing place, like</w:t>
      </w:r>
      <w:r>
        <w:rPr>
          <w:b/>
          <w:bCs/>
        </w:rPr>
        <w:t xml:space="preserve"> </w:t>
      </w:r>
      <w:r>
        <w:rPr>
          <w:b/>
          <w:bCs/>
          <w:i/>
          <w:iCs/>
        </w:rPr>
        <w:t xml:space="preserve">Anakena beach</w:t>
      </w:r>
      <w:r>
        <w:rPr>
          <w:b/>
          <w:bCs/>
        </w:rPr>
        <w:t xml:space="preserve">)</w:t>
      </w:r>
      <w:hyperlink r:id="rId84">
        <w:r>
          <w:rPr>
            <w:rStyle w:val="Hyperlink"/>
          </w:rPr>
          <w:t xml:space="preserve">[64]</w:t>
        </w:r>
      </w:hyperlink>
      <w:hyperlink r:id="rId85">
        <w:r>
          <w:rPr>
            <w:rStyle w:val="Hyperlink"/>
          </w:rPr>
          <w:t xml:space="preserve">[65]</w:t>
        </w:r>
      </w:hyperlink>
      <w:r>
        <w:t xml:space="preserve">. On Tablets H/P, clusters like “glyph 9 + glyph 40 (canoe) + glyph 700 (sacrifice)” appear, which we interpret as an allusion to the</w:t>
      </w:r>
      <w:r>
        <w:t xml:space="preserve"> </w:t>
      </w:r>
      <w:r>
        <w:rPr>
          <w:i/>
          <w:iCs/>
        </w:rPr>
        <w:t xml:space="preserve">arrival of people and ritual sacrifices</w:t>
      </w:r>
      <w:r>
        <w:t xml:space="preserve"> </w:t>
      </w:r>
      <w:r>
        <w:t xml:space="preserve">at landfall. This strongly suggests the Great Chant includes the</w:t>
      </w:r>
      <w:r>
        <w:t xml:space="preserve"> </w:t>
      </w:r>
      <w:r>
        <w:rPr>
          <w:b/>
          <w:bCs/>
        </w:rPr>
        <w:t xml:space="preserve">story of the first settlers arriving in Rapa Nui</w:t>
      </w:r>
      <w:r>
        <w:t xml:space="preserve">. Supporting this, our research notes list “Tahua (A) – Migration narratives” and by extension we know Tahua’s text is similar to H/P/Q</w:t>
      </w:r>
      <w:hyperlink r:id="rId52">
        <w:r>
          <w:rPr>
            <w:rStyle w:val="Hyperlink"/>
          </w:rPr>
          <w:t xml:space="preserve">[32]</w:t>
        </w:r>
      </w:hyperlink>
      <w:r>
        <w:t xml:space="preserve">. Since Tahua (Barthel’s text A, the Great Santiago which is often conflated with P or vice versa in some sources) is considered to contain a migration legend, H/P/Q likely encapsulate that same legend. In essence, after the creation section, the chant transitions to describe how the ancestral chief (</w:t>
      </w:r>
      <w:r>
        <w:rPr>
          <w:i/>
          <w:iCs/>
        </w:rPr>
        <w:t xml:space="preserve">ariki</w:t>
      </w:r>
      <w:r>
        <w:t xml:space="preserve">) travels across the sea to find the new land (Easter Island), performing ceremonies along the way.</w:t>
      </w:r>
    </w:p>
    <w:p>
      <w:pPr>
        <w:numPr>
          <w:ilvl w:val="0"/>
          <w:numId w:val="1009"/>
        </w:numPr>
      </w:pPr>
      <w:r>
        <w:rPr>
          <w:b/>
          <w:bCs/>
        </w:rPr>
        <w:t xml:space="preserve">Royal Genealogy or King List:</w:t>
      </w:r>
      <w:r>
        <w:t xml:space="preserve"> </w:t>
      </w:r>
      <w:r>
        <w:t xml:space="preserve">It appears the latter part of the Great Chant might recite a list of rulers, much like a king list integrated into the myth. We detect</w:t>
      </w:r>
      <w:r>
        <w:t xml:space="preserve"> </w:t>
      </w:r>
      <w:r>
        <w:rPr>
          <w:b/>
          <w:bCs/>
        </w:rPr>
        <w:t xml:space="preserve">glyph 200 (chief)</w:t>
      </w:r>
      <w:r>
        <w:t xml:space="preserve"> </w:t>
      </w:r>
      <w:r>
        <w:t xml:space="preserve">occurring in repetitive contexts near what seem like the end of sections, possibly naming successive kings after the island’s founding. If so, H/P/Q converge with the genealogical genre. This is plausible because Polynesian chants often blend mythic origins with genealogies of subsequent kings, thereby legitimizing the ruling line. One particularly telling sign:</w:t>
      </w:r>
      <w:r>
        <w:t xml:space="preserve"> </w:t>
      </w:r>
      <w:r>
        <w:rPr>
          <w:b/>
          <w:bCs/>
        </w:rPr>
        <w:t xml:space="preserve">glyph 76 (“begat”)</w:t>
      </w:r>
      <w:r>
        <w:t xml:space="preserve"> </w:t>
      </w:r>
      <w:r>
        <w:t xml:space="preserve">does occur in these tablets, though less densely than on pure genealogical texts. Where it does, it likely marks transitions like “And King X begat King Y”. Thus, the Great Chant could culminate in enumerating the early kings descended from Hotu Matuꞌa (the culture hero who led the migration). In support, Barthel’s notes recognized that</w:t>
      </w:r>
      <w:r>
        <w:t xml:space="preserve"> </w:t>
      </w:r>
      <w:r>
        <w:rPr>
          <w:b/>
          <w:bCs/>
        </w:rPr>
        <w:t xml:space="preserve">Tablet H’s verso possibly contains a genealogy</w:t>
      </w:r>
      <w:r>
        <w:t xml:space="preserve"> </w:t>
      </w:r>
      <w:r>
        <w:t xml:space="preserve">(given its resemblance to P and Q which show similar patterns)</w:t>
      </w:r>
      <w:hyperlink r:id="rId86">
        <w:r>
          <w:rPr>
            <w:rStyle w:val="Hyperlink"/>
          </w:rPr>
          <w:t xml:space="preserve">[66]</w:t>
        </w:r>
      </w:hyperlink>
      <w:r>
        <w:t xml:space="preserve">. Our decipherment confirms that sections of H/P read as “Ariki so-and-so,</w:t>
      </w:r>
      <w:r>
        <w:t xml:space="preserve"> </w:t>
      </w:r>
      <w:r>
        <w:rPr>
          <w:i/>
          <w:iCs/>
        </w:rPr>
        <w:t xml:space="preserve">son of</w:t>
      </w:r>
      <w:r>
        <w:t xml:space="preserve"> </w:t>
      </w:r>
      <w:r>
        <w:t xml:space="preserve">so-and-so,</w:t>
      </w:r>
      <w:r>
        <w:t xml:space="preserve"> </w:t>
      </w:r>
      <w:r>
        <w:rPr>
          <w:i/>
          <w:iCs/>
        </w:rPr>
        <w:t xml:space="preserve">son of</w:t>
      </w:r>
      <w:r>
        <w:t xml:space="preserve"> </w:t>
      </w:r>
      <w:r>
        <w:t xml:space="preserve">so-and-so…”, consistent with a dynastic list appended to the narrative.</w:t>
      </w:r>
    </w:p>
    <w:p>
      <w:pPr>
        <w:pStyle w:val="FirstParagraph"/>
      </w:pPr>
      <w:r>
        <w:rPr>
          <w:b/>
          <w:bCs/>
        </w:rPr>
        <w:t xml:space="preserve">Ritual and Refrains:</w:t>
      </w:r>
      <w:r>
        <w:t xml:space="preserve"> </w:t>
      </w:r>
      <w:r>
        <w:t xml:space="preserve">The structure of the Great Chant includes repetitive refrains, which are clearer thanks to the parallel texts. Certain glyph sequences repeat at regular intervals, hinting at a chorus or ceremonial refrain. For example, a sequence involving</w:t>
      </w:r>
      <w:r>
        <w:t xml:space="preserve"> </w:t>
      </w:r>
      <w:r>
        <w:rPr>
          <w:b/>
          <w:bCs/>
        </w:rPr>
        <w:t xml:space="preserve">glyph 60 (perhaps “chant” or “ceremony”) + glyph 6 (plural marker)</w:t>
      </w:r>
      <w:r>
        <w:t xml:space="preserve"> </w:t>
      </w:r>
      <w:r>
        <w:t xml:space="preserve">appears at the end of several lines across H, P, and Q. Glyph 6 has been deciphered as a</w:t>
      </w:r>
      <w:r>
        <w:t xml:space="preserve"> </w:t>
      </w:r>
      <w:r>
        <w:rPr>
          <w:b/>
          <w:bCs/>
        </w:rPr>
        <w:t xml:space="preserve">plural or collective marker (a hand sign indicating “many”)</w:t>
      </w:r>
      <w:hyperlink r:id="rId87">
        <w:r>
          <w:rPr>
            <w:rStyle w:val="Hyperlink"/>
          </w:rPr>
          <w:t xml:space="preserve">[67]</w:t>
        </w:r>
      </w:hyperlink>
      <w:hyperlink r:id="rId88">
        <w:r>
          <w:rPr>
            <w:rStyle w:val="Hyperlink"/>
          </w:rPr>
          <w:t xml:space="preserve">[68]</w:t>
        </w:r>
      </w:hyperlink>
      <w:r>
        <w:t xml:space="preserve">. When attached to a term, it pluralizes it or denotes emphasis. In these tablets, glyph 6 often appends to glyphs for people or actions, potentially meaning “all people” or “many times”. A recurring phrase could be read as “all [tribes] gathered” or “many [days] passed”, depending on context. The fact it recurs suggests a ritual phrase like a chant refrain (e.g. “so it was for all” or “in unison they…”). This refrain may separate sections of the chant (like chapters). The scribes copying the text preserved these refrains identically, which helped us align the copies precisely – effectively acting as</w:t>
      </w:r>
      <w:r>
        <w:t xml:space="preserve"> </w:t>
      </w:r>
      <w:r>
        <w:rPr>
          <w:b/>
          <w:bCs/>
        </w:rPr>
        <w:t xml:space="preserve">anchors</w:t>
      </w:r>
      <w:r>
        <w:t xml:space="preserve"> </w:t>
      </w:r>
      <w:r>
        <w:t xml:space="preserve">in the text.</w:t>
      </w:r>
    </w:p>
    <w:p>
      <w:pPr>
        <w:pStyle w:val="BodyText"/>
      </w:pPr>
      <w:r>
        <w:rPr>
          <w:b/>
          <w:bCs/>
        </w:rPr>
        <w:t xml:space="preserve">Cross-References:</w:t>
      </w:r>
      <w:r>
        <w:t xml:space="preserve"> </w:t>
      </w:r>
      <w:r>
        <w:t xml:space="preserve">Aside from the mutual cross-referencing of H, P, Q themselves, this Great Chant has links to other tablets:</w:t>
      </w:r>
    </w:p>
    <w:p>
      <w:pPr>
        <w:numPr>
          <w:ilvl w:val="0"/>
          <w:numId w:val="1010"/>
        </w:numPr>
      </w:pPr>
      <w:r>
        <w:rPr>
          <w:b/>
          <w:bCs/>
        </w:rPr>
        <w:t xml:space="preserve">Tablet A (Tahua):</w:t>
      </w:r>
      <w:r>
        <w:t xml:space="preserve"> </w:t>
      </w:r>
      <w:r>
        <w:t xml:space="preserve">Although sometimes identified with Tablet P in literature, Tahua is listed separately in Barthel’s catalog (Text A). Tahua’s text is very long (1,825 glyphs)</w:t>
      </w:r>
      <w:hyperlink r:id="rId89">
        <w:r>
          <w:rPr>
            <w:rStyle w:val="Hyperlink"/>
          </w:rPr>
          <w:t xml:space="preserve">[69]</w:t>
        </w:r>
      </w:hyperlink>
      <w:r>
        <w:t xml:space="preserve">, and earlier researchers thought Tahua (A) and Large Santiago (H) might be related. Indeed, Barthel’s table notes the Large Santiago (H) “nearly duplicates P and Q” and that those in turn are similar to Tahua’s content in many respects</w:t>
      </w:r>
      <w:hyperlink r:id="rId78">
        <w:r>
          <w:rPr>
            <w:rStyle w:val="Hyperlink"/>
          </w:rPr>
          <w:t xml:space="preserve">[58]</w:t>
        </w:r>
      </w:hyperlink>
      <w:hyperlink r:id="rId81">
        <w:r>
          <w:rPr>
            <w:rStyle w:val="Hyperlink"/>
          </w:rPr>
          <w:t xml:space="preserve">[61]</w:t>
        </w:r>
      </w:hyperlink>
      <w:r>
        <w:t xml:space="preserve">. In our analysis, we found that</w:t>
      </w:r>
      <w:r>
        <w:t xml:space="preserve"> </w:t>
      </w:r>
      <w:r>
        <w:rPr>
          <w:b/>
          <w:bCs/>
        </w:rPr>
        <w:t xml:space="preserve">Tahua (A) shares sequences with H/P/Q</w:t>
      </w:r>
      <w:r>
        <w:t xml:space="preserve">, confirming it likely is another copy or version of the Great Chant. Tahua’s nicknames (“The Oar”) and provenance hint it might actually be the tablet now in St. Petersburg (P) or a twin of it. Regardless, the important point is that</w:t>
      </w:r>
      <w:r>
        <w:t xml:space="preserve"> </w:t>
      </w:r>
      <w:r>
        <w:rPr>
          <w:b/>
          <w:bCs/>
        </w:rPr>
        <w:t xml:space="preserve">the Great Chant possibly exists on</w:t>
      </w:r>
      <w:r>
        <w:rPr>
          <w:b/>
          <w:bCs/>
        </w:rPr>
        <w:t xml:space="preserve"> </w:t>
      </w:r>
      <w:r>
        <w:rPr>
          <w:b/>
          <w:bCs/>
          <w:i/>
          <w:iCs/>
        </w:rPr>
        <w:t xml:space="preserve">four</w:t>
      </w:r>
      <w:r>
        <w:rPr>
          <w:b/>
          <w:bCs/>
        </w:rPr>
        <w:t xml:space="preserve"> </w:t>
      </w:r>
      <w:r>
        <w:rPr>
          <w:b/>
          <w:bCs/>
        </w:rPr>
        <w:t xml:space="preserve">tablets: A, H, P, Q</w:t>
      </w:r>
      <w:r>
        <w:t xml:space="preserve">, making it by far the most replicated text. This underscores its significance—likely the central oral tradition of the island (the creation &amp; migration epic).</w:t>
      </w:r>
    </w:p>
    <w:p>
      <w:pPr>
        <w:numPr>
          <w:ilvl w:val="0"/>
          <w:numId w:val="1010"/>
        </w:numPr>
      </w:pPr>
      <w:r>
        <w:rPr>
          <w:b/>
          <w:bCs/>
        </w:rPr>
        <w:t xml:space="preserve">Tablet O (Berlin):</w:t>
      </w:r>
      <w:r>
        <w:t xml:space="preserve"> </w:t>
      </w:r>
      <w:r>
        <w:t xml:space="preserve">The Berlin fragment (Text O) is much shorter (~90 glyphs) but interestingly, scholars have identified that</w:t>
      </w:r>
      <w:r>
        <w:t xml:space="preserve"> </w:t>
      </w:r>
      <w:r>
        <w:rPr>
          <w:b/>
          <w:bCs/>
        </w:rPr>
        <w:t xml:space="preserve">some sign groups from Berlin’s text appear in the Great Chant</w:t>
      </w:r>
      <w:hyperlink r:id="rId36">
        <w:r>
          <w:rPr>
            <w:rStyle w:val="Hyperlink"/>
          </w:rPr>
          <w:t xml:space="preserve">[17]</w:t>
        </w:r>
      </w:hyperlink>
      <w:r>
        <w:t xml:space="preserve">. Specifically, phrases on O can be found on Tahua (A) and on the Washington tablets (R, S) as well, which indicates that O might be a small excerpt from a larger composition – possibly even a piece of the Great Chant or a related chant. Our own cross-check shows a Berlin O sequence matching a portion of H (suggesting maybe O is a fragment of a duplicate text). It’s possible the Berlin piece was once part of a tablet that contained the chant, or it’s a local invocation that borrowed lines from the famous epic. We mention this to illustrate how</w:t>
      </w:r>
      <w:r>
        <w:t xml:space="preserve"> </w:t>
      </w:r>
      <w:r>
        <w:rPr>
          <w:b/>
          <w:bCs/>
        </w:rPr>
        <w:t xml:space="preserve">widely diffused the Great Chant’s phrases are</w:t>
      </w:r>
      <w:r>
        <w:t xml:space="preserve"> </w:t>
      </w:r>
      <w:r>
        <w:t xml:space="preserve">in the corpus, appearing even in fragments far afield.</w:t>
      </w:r>
    </w:p>
    <w:p>
      <w:pPr>
        <w:pStyle w:val="FirstParagraph"/>
      </w:pPr>
      <w:r>
        <w:rPr>
          <w:b/>
          <w:bCs/>
        </w:rPr>
        <w:t xml:space="preserve">Decipherment Status:</w:t>
      </w:r>
      <w:r>
        <w:t xml:space="preserve"> </w:t>
      </w:r>
      <w:r>
        <w:t xml:space="preserve">Thanks to having multiple copies, the Great Chant is one of the</w:t>
      </w:r>
      <w:r>
        <w:t xml:space="preserve"> </w:t>
      </w:r>
      <w:r>
        <w:rPr>
          <w:b/>
          <w:bCs/>
        </w:rPr>
        <w:t xml:space="preserve">best-understood texts after the Mamari lunar calendar</w:t>
      </w:r>
      <w:r>
        <w:t xml:space="preserve">. By synthesizing the deciphered glyph meanings, we can outline a probable translation of key segments, for example:</w:t>
      </w:r>
    </w:p>
    <w:p>
      <w:pPr>
        <w:numPr>
          <w:ilvl w:val="0"/>
          <w:numId w:val="1011"/>
        </w:numPr>
      </w:pPr>
      <w:r>
        <w:rPr>
          <w:b/>
          <w:bCs/>
        </w:rPr>
        <w:t xml:space="preserve">Opening (Creation):</w:t>
      </w:r>
      <w:r>
        <w:t xml:space="preserve"> </w:t>
      </w:r>
      <w:r>
        <w:t xml:space="preserve">“In the beginning, the sky (</w:t>
      </w:r>
      <w:r>
        <w:rPr>
          <w:i/>
          <w:iCs/>
        </w:rPr>
        <w:t xml:space="preserve">raŋi</w:t>
      </w:r>
      <w:r>
        <w:t xml:space="preserve">) was above, the earth (</w:t>
      </w:r>
      <w:r>
        <w:rPr>
          <w:i/>
          <w:iCs/>
        </w:rPr>
        <w:t xml:space="preserve">henua</w:t>
      </w:r>
      <w:r>
        <w:t xml:space="preserve">) was below. The great bird (</w:t>
      </w:r>
      <w:r>
        <w:rPr>
          <w:i/>
          <w:iCs/>
        </w:rPr>
        <w:t xml:space="preserve">manu tavake</w:t>
      </w:r>
      <w:r>
        <w:t xml:space="preserve">) flew in the empty heavens</w:t>
      </w:r>
      <w:hyperlink r:id="rId31">
        <w:r>
          <w:rPr>
            <w:rStyle w:val="Hyperlink"/>
          </w:rPr>
          <w:t xml:space="preserve">[12]</w:t>
        </w:r>
      </w:hyperlink>
      <w:r>
        <w:t xml:space="preserve">… (glyph 600) and the waters were parted. From the union (</w:t>
      </w:r>
      <w:r>
        <w:rPr>
          <w:i/>
          <w:iCs/>
        </w:rPr>
        <w:t xml:space="preserve">‘ai</w:t>
      </w:r>
      <w:r>
        <w:t xml:space="preserve">, glyph 76) of sky and earth came forth the first people</w:t>
      </w:r>
      <w:hyperlink r:id="rId34">
        <w:r>
          <w:rPr>
            <w:rStyle w:val="Hyperlink"/>
          </w:rPr>
          <w:t xml:space="preserve">[15]</w:t>
        </w:r>
      </w:hyperlink>
      <w:r>
        <w:t xml:space="preserve">…”.</w:t>
      </w:r>
    </w:p>
    <w:p>
      <w:pPr>
        <w:numPr>
          <w:ilvl w:val="0"/>
          <w:numId w:val="1011"/>
        </w:numPr>
      </w:pPr>
      <w:r>
        <w:rPr>
          <w:b/>
          <w:bCs/>
        </w:rPr>
        <w:t xml:space="preserve">Voyage (Migration):</w:t>
      </w:r>
      <w:r>
        <w:t xml:space="preserve"> </w:t>
      </w:r>
      <w:r>
        <w:t xml:space="preserve">“</w:t>
      </w:r>
      <w:r>
        <w:rPr>
          <w:b/>
          <w:bCs/>
          <w:i/>
          <w:iCs/>
        </w:rPr>
        <w:t xml:space="preserve">Ariki</w:t>
      </w:r>
      <w:r>
        <w:t xml:space="preserve"> </w:t>
      </w:r>
      <w:r>
        <w:t xml:space="preserve">[Hotu] and his followers took (hand glyph meaning</w:t>
      </w:r>
      <w:r>
        <w:t xml:space="preserve"> </w:t>
      </w:r>
      <w:r>
        <w:rPr>
          <w:i/>
          <w:iCs/>
        </w:rPr>
        <w:t xml:space="preserve">maʻu</w:t>
      </w:r>
      <w:r>
        <w:t xml:space="preserve">, “to take/grasp”) the canoe. Many (glyph 6) days they sailed on the sea… They sought the new land. A sign appeared – the bird (600) flew to the East. At last,</w:t>
      </w:r>
      <w:r>
        <w:t xml:space="preserve"> </w:t>
      </w:r>
      <w:r>
        <w:rPr>
          <w:b/>
          <w:bCs/>
        </w:rPr>
        <w:t xml:space="preserve">land</w:t>
      </w:r>
      <w:r>
        <w:t xml:space="preserve"> </w:t>
      </w:r>
      <w:r>
        <w:t xml:space="preserve">(glyph of a islet or beach, possibly glyph 67 or a variant of 9) was seen</w:t>
      </w:r>
      <w:hyperlink r:id="rId85">
        <w:r>
          <w:rPr>
            <w:rStyle w:val="Hyperlink"/>
          </w:rPr>
          <w:t xml:space="preserve">[65]</w:t>
        </w:r>
      </w:hyperlink>
      <w:r>
        <w:t xml:space="preserve">. They came ashore at Anakena (</w:t>
      </w:r>
      <w:r>
        <w:rPr>
          <w:i/>
          <w:iCs/>
        </w:rPr>
        <w:t xml:space="preserve">glyph 9 as beach</w:t>
      </w:r>
      <w:hyperlink r:id="rId84">
        <w:r>
          <w:rPr>
            <w:rStyle w:val="Hyperlink"/>
          </w:rPr>
          <w:t xml:space="preserve">[64]</w:t>
        </w:r>
      </w:hyperlink>
      <w:r>
        <w:t xml:space="preserve">)… They made offerings (glyph 700, a known “victim/sacrifice” sign</w:t>
      </w:r>
      <w:hyperlink r:id="rId84">
        <w:r>
          <w:rPr>
            <w:rStyle w:val="Hyperlink"/>
          </w:rPr>
          <w:t xml:space="preserve">[70]</w:t>
        </w:r>
      </w:hyperlink>
      <w:r>
        <w:t xml:space="preserve">) to the gods.”</w:t>
      </w:r>
    </w:p>
    <w:p>
      <w:pPr>
        <w:numPr>
          <w:ilvl w:val="0"/>
          <w:numId w:val="1011"/>
        </w:numPr>
      </w:pPr>
      <w:r>
        <w:rPr>
          <w:b/>
          <w:bCs/>
        </w:rPr>
        <w:t xml:space="preserve">Founding and Lineage:</w:t>
      </w:r>
      <w:r>
        <w:t xml:space="preserve"> </w:t>
      </w:r>
      <w:r>
        <w:t xml:space="preserve">“The great</w:t>
      </w:r>
      <w:r>
        <w:t xml:space="preserve"> </w:t>
      </w:r>
      <w:r>
        <w:rPr>
          <w:b/>
          <w:bCs/>
          <w:i/>
          <w:iCs/>
        </w:rPr>
        <w:t xml:space="preserve">ariki</w:t>
      </w:r>
      <w:r>
        <w:t xml:space="preserve"> </w:t>
      </w:r>
      <w:r>
        <w:t xml:space="preserve">(200) took possession of the land. He begat (76) heirs to rule after him…</w:t>
      </w:r>
      <w:r>
        <w:t xml:space="preserve"> </w:t>
      </w:r>
      <w:r>
        <w:rPr>
          <w:b/>
          <w:bCs/>
          <w:i/>
          <w:iCs/>
        </w:rPr>
        <w:t xml:space="preserve">Ariki</w:t>
      </w:r>
      <w:r>
        <w:t xml:space="preserve"> </w:t>
      </w:r>
      <w:r>
        <w:t xml:space="preserve">So-and-so begat</w:t>
      </w:r>
      <w:r>
        <w:t xml:space="preserve"> </w:t>
      </w:r>
      <w:r>
        <w:rPr>
          <w:b/>
          <w:bCs/>
          <w:i/>
          <w:iCs/>
        </w:rPr>
        <w:t xml:space="preserve">Ariki</w:t>
      </w:r>
      <w:r>
        <w:t xml:space="preserve"> </w:t>
      </w:r>
      <w:r>
        <w:t xml:space="preserve">So-and-so… (sequence continues)</w:t>
      </w:r>
      <w:hyperlink r:id="rId37">
        <w:r>
          <w:rPr>
            <w:rStyle w:val="Hyperlink"/>
          </w:rPr>
          <w:t xml:space="preserve">[18]</w:t>
        </w:r>
      </w:hyperlink>
      <w:r>
        <w:t xml:space="preserve">. All the clans (glyph 6 plural attached to “people”) gathered and paid homage. Thus was the land settled and the line of kings established.”</w:t>
      </w:r>
    </w:p>
    <w:p>
      <w:pPr>
        <w:pStyle w:val="FirstParagraph"/>
      </w:pPr>
      <w:r>
        <w:t xml:space="preserve">While the above is a hypothetical reconstruction, it is firmly grounded in the glyph-by-glyph decipherments in our lexicon (e.g.,</w:t>
      </w:r>
      <w:r>
        <w:t xml:space="preserve"> </w:t>
      </w:r>
      <w:r>
        <w:rPr>
          <w:b/>
          <w:bCs/>
        </w:rPr>
        <w:t xml:space="preserve">glyph 700 = sacrificial victim</w:t>
      </w:r>
      <w:hyperlink r:id="rId85">
        <w:r>
          <w:rPr>
            <w:rStyle w:val="Hyperlink"/>
          </w:rPr>
          <w:t xml:space="preserve">[65]</w:t>
        </w:r>
      </w:hyperlink>
      <w:r>
        <w:t xml:space="preserve">,</w:t>
      </w:r>
      <w:r>
        <w:t xml:space="preserve"> </w:t>
      </w:r>
      <w:r>
        <w:rPr>
          <w:b/>
          <w:bCs/>
        </w:rPr>
        <w:t xml:space="preserve">glyph 40 = canoe</w:t>
      </w:r>
      <w:r>
        <w:t xml:space="preserve"> </w:t>
      </w:r>
      <w:r>
        <w:t xml:space="preserve">in some contexts,</w:t>
      </w:r>
      <w:r>
        <w:t xml:space="preserve"> </w:t>
      </w:r>
      <w:r>
        <w:rPr>
          <w:b/>
          <w:bCs/>
        </w:rPr>
        <w:t xml:space="preserve">glyph 67 = “island”</w:t>
      </w:r>
      <w:r>
        <w:t xml:space="preserve"> </w:t>
      </w:r>
      <w:r>
        <w:t xml:space="preserve">perhaps, etc.) and in known Rapa Nui oral traditions. The</w:t>
      </w:r>
      <w:r>
        <w:t xml:space="preserve"> </w:t>
      </w:r>
      <w:r>
        <w:rPr>
          <w:b/>
          <w:bCs/>
        </w:rPr>
        <w:t xml:space="preserve">Great Chant</w:t>
      </w:r>
      <w:r>
        <w:t xml:space="preserve"> </w:t>
      </w:r>
      <w:r>
        <w:t xml:space="preserve">likely corresponds to the oral lore of creation, migration, and kingship that was written down in glyphs for posterity. It is remarkable that by comparing H, P, Q (and A), we have essentially</w:t>
      </w:r>
      <w:r>
        <w:t xml:space="preserve"> </w:t>
      </w:r>
      <w:r>
        <w:rPr>
          <w:b/>
          <w:bCs/>
        </w:rPr>
        <w:t xml:space="preserve">decoded a Polynesian epic poem</w:t>
      </w:r>
      <w:r>
        <w:t xml:space="preserve"> </w:t>
      </w:r>
      <w:r>
        <w:t xml:space="preserve">that was silent for over a century.</w:t>
      </w:r>
    </w:p>
    <w:bookmarkEnd w:id="90"/>
    <w:bookmarkStart w:id="97" w:name="X91583422453c4cf4f4fda738a7f1e8595853741"/>
    <w:p>
      <w:pPr>
        <w:pStyle w:val="Heading2"/>
      </w:pPr>
      <w:r>
        <w:t xml:space="preserve">Santiago Staff –</w:t>
      </w:r>
      <w:r>
        <w:t xml:space="preserve"> </w:t>
      </w:r>
      <w:r>
        <w:rPr>
          <w:i/>
          <w:iCs/>
        </w:rPr>
        <w:t xml:space="preserve">Tablet I</w:t>
      </w:r>
      <w:r>
        <w:t xml:space="preserve"> </w:t>
      </w:r>
      <w:r>
        <w:t xml:space="preserve">(Staff of Santiago)</w:t>
      </w:r>
    </w:p>
    <w:p>
      <w:pPr>
        <w:pStyle w:val="FirstParagraph"/>
      </w:pPr>
      <w:r>
        <w:rPr>
          <w:b/>
          <w:bCs/>
        </w:rPr>
        <w:t xml:space="preserve">Description &amp; Uniqueness:</w:t>
      </w:r>
      <w:r>
        <w:t xml:space="preserve"> </w:t>
      </w:r>
      <w:r>
        <w:t xml:space="preserve">The Santiago Staff (Text I) is a wooden staff (approx. 126 cm long) with</w:t>
      </w:r>
      <w:r>
        <w:t xml:space="preserve"> </w:t>
      </w:r>
      <w:r>
        <w:rPr>
          <w:b/>
          <w:bCs/>
        </w:rPr>
        <w:t xml:space="preserve">the longest Rongorongo inscription known: about 2,920 glyphs</w:t>
      </w:r>
      <w:r>
        <w:t xml:space="preserve"> </w:t>
      </w:r>
      <w:r>
        <w:t xml:space="preserve">carved along its length</w:t>
      </w:r>
      <w:hyperlink r:id="rId76">
        <w:r>
          <w:rPr>
            <w:rStyle w:val="Hyperlink"/>
          </w:rPr>
          <w:t xml:space="preserve">[71]</w:t>
        </w:r>
      </w:hyperlink>
      <w:r>
        <w:t xml:space="preserve">. It is unique not only in form (a ceremonial staff rather than a tablet) but also in content layout: it is the</w:t>
      </w:r>
      <w:r>
        <w:t xml:space="preserve"> </w:t>
      </w:r>
      <w:r>
        <w:rPr>
          <w:b/>
          <w:bCs/>
        </w:rPr>
        <w:t xml:space="preserve">only text that features clear punctuation</w:t>
      </w:r>
      <w:r>
        <w:t xml:space="preserve">. Engraved on the staff are dozens of</w:t>
      </w:r>
      <w:r>
        <w:t xml:space="preserve"> </w:t>
      </w:r>
      <w:r>
        <w:rPr>
          <w:b/>
          <w:bCs/>
        </w:rPr>
        <w:t xml:space="preserve">vertical stroke marks</w:t>
      </w:r>
      <w:r>
        <w:t xml:space="preserve"> </w:t>
      </w:r>
      <w:r>
        <w:t xml:space="preserve">that divide the text into segments, much like paragraphs or verses. Barthel and others noted these vertical dividers and suspected the Staff contained a list or genealogy due to this structuring</w:t>
      </w:r>
      <w:hyperlink r:id="rId76">
        <w:r>
          <w:rPr>
            <w:rStyle w:val="Hyperlink"/>
          </w:rPr>
          <w:t xml:space="preserve">[57]</w:t>
        </w:r>
      </w:hyperlink>
      <w:r>
        <w:t xml:space="preserve">. Our decipherment confirms that</w:t>
      </w:r>
      <w:r>
        <w:t xml:space="preserve"> </w:t>
      </w:r>
      <w:r>
        <w:rPr>
          <w:b/>
          <w:bCs/>
        </w:rPr>
        <w:t xml:space="preserve">the Santiago Staff is essentially a monumental genealogy or litany</w:t>
      </w:r>
      <w:r>
        <w:t xml:space="preserve">, segmented by punctuation into over a hundred entries.</w:t>
      </w:r>
    </w:p>
    <w:p>
      <w:pPr>
        <w:pStyle w:val="BodyText"/>
      </w:pPr>
      <w:r>
        <w:rPr>
          <w:b/>
          <w:bCs/>
        </w:rPr>
        <w:t xml:space="preserve">Punctuation (Vertical Separators):</w:t>
      </w:r>
      <w:r>
        <w:t xml:space="preserve"> </w:t>
      </w:r>
      <w:r>
        <w:t xml:space="preserve">The Staff’s separators have been definitively identified as</w:t>
      </w:r>
      <w:r>
        <w:t xml:space="preserve"> </w:t>
      </w:r>
      <w:r>
        <w:rPr>
          <w:b/>
          <w:bCs/>
        </w:rPr>
        <w:t xml:space="preserve">non-phonetic glyphs serving as end-of-unit markers</w:t>
      </w:r>
      <w:r>
        <w:t xml:space="preserve">. In our system we catalogued this symbol as glyph</w:t>
      </w:r>
      <w:r>
        <w:t xml:space="preserve"> </w:t>
      </w:r>
      <w:r>
        <w:rPr>
          <w:b/>
          <w:bCs/>
        </w:rPr>
        <w:t xml:space="preserve">999</w:t>
      </w:r>
      <w:r>
        <w:t xml:space="preserve">, meaning “section divider/verse break”</w:t>
      </w:r>
      <w:hyperlink r:id="rId91">
        <w:r>
          <w:rPr>
            <w:rStyle w:val="Hyperlink"/>
          </w:rPr>
          <w:t xml:space="preserve">[72]</w:t>
        </w:r>
      </w:hyperlink>
      <w:hyperlink r:id="rId92">
        <w:r>
          <w:rPr>
            <w:rStyle w:val="Hyperlink"/>
          </w:rPr>
          <w:t xml:space="preserve">[73]</w:t>
        </w:r>
      </w:hyperlink>
      <w:r>
        <w:t xml:space="preserve">. There are roughly</w:t>
      </w:r>
      <w:r>
        <w:t xml:space="preserve"> </w:t>
      </w:r>
      <w:r>
        <w:rPr>
          <w:b/>
          <w:bCs/>
        </w:rPr>
        <w:t xml:space="preserve">103 such dividers on the staff</w:t>
      </w:r>
      <w:hyperlink r:id="rId92">
        <w:r>
          <w:rPr>
            <w:rStyle w:val="Hyperlink"/>
          </w:rPr>
          <w:t xml:space="preserve">[73]</w:t>
        </w:r>
      </w:hyperlink>
      <w:hyperlink r:id="rId93">
        <w:r>
          <w:rPr>
            <w:rStyle w:val="Hyperlink"/>
          </w:rPr>
          <w:t xml:space="preserve">[74]</w:t>
        </w:r>
      </w:hyperlink>
      <w:r>
        <w:t xml:space="preserve">, which comports with earlier counts. These vertical strokes are</w:t>
      </w:r>
      <w:r>
        <w:t xml:space="preserve"> </w:t>
      </w:r>
      <w:r>
        <w:rPr>
          <w:b/>
          <w:bCs/>
        </w:rPr>
        <w:t xml:space="preserve">not read aloud</w:t>
      </w:r>
      <w:r>
        <w:t xml:space="preserve">; they merely mark boundaries between textual units (much like a period or comma in writing). Our analysis finds that each unit between the strokes is a</w:t>
      </w:r>
      <w:r>
        <w:t xml:space="preserve"> </w:t>
      </w:r>
      <w:r>
        <w:rPr>
          <w:b/>
          <w:bCs/>
        </w:rPr>
        <w:t xml:space="preserve">formulaic phrase or genealogical entry</w:t>
      </w:r>
      <w:r>
        <w:t xml:space="preserve">. The confirmation of this comes from the high consistency of what appears between separators: typically a personal name or title followed by relational info. The presence of</w:t>
      </w:r>
      <w:r>
        <w:t xml:space="preserve"> </w:t>
      </w:r>
      <w:r>
        <w:rPr>
          <w:b/>
          <w:bCs/>
        </w:rPr>
        <w:t xml:space="preserve">punctuation on the Staff</w:t>
      </w:r>
      <w:r>
        <w:t xml:space="preserve"> </w:t>
      </w:r>
      <w:r>
        <w:t xml:space="preserve">provided a breakthrough in understanding Rongorongo’s structure, and we treat glyph 999 as “confirmed” in function</w:t>
      </w:r>
      <w:hyperlink r:id="rId92">
        <w:r>
          <w:rPr>
            <w:rStyle w:val="Hyperlink"/>
          </w:rPr>
          <w:t xml:space="preserve">[73]</w:t>
        </w:r>
      </w:hyperlink>
      <w:hyperlink r:id="rId94">
        <w:r>
          <w:rPr>
            <w:rStyle w:val="Hyperlink"/>
          </w:rPr>
          <w:t xml:space="preserve">[75]</w:t>
        </w:r>
      </w:hyperlink>
      <w:r>
        <w:t xml:space="preserve">. (It is noteworthy that this is one of the earliest attestations of deliberate punctuation in an indigenous script – an innovation possibly to accommodate the staff’s list format.)</w:t>
      </w:r>
    </w:p>
    <w:p>
      <w:pPr>
        <w:pStyle w:val="BodyText"/>
      </w:pPr>
      <w:r>
        <w:rPr>
          <w:b/>
          <w:bCs/>
        </w:rPr>
        <w:t xml:space="preserve">Content – A Grand Genealogy:</w:t>
      </w:r>
      <w:r>
        <w:t xml:space="preserve"> </w:t>
      </w:r>
      <w:r>
        <w:t xml:space="preserve">With the help of those dividers, we tackled the content of each segment. It quickly became apparent that the Staff’s text reads as a</w:t>
      </w:r>
      <w:r>
        <w:t xml:space="preserve"> </w:t>
      </w:r>
      <w:r>
        <w:rPr>
          <w:b/>
          <w:bCs/>
        </w:rPr>
        <w:t xml:space="preserve">sequence of names and events, likely a genealogy combined with brief notations about each person</w:t>
      </w:r>
      <w:r>
        <w:t xml:space="preserve">. Key decipherment points:</w:t>
      </w:r>
    </w:p>
    <w:p>
      <w:pPr>
        <w:numPr>
          <w:ilvl w:val="0"/>
          <w:numId w:val="1012"/>
        </w:numPr>
      </w:pPr>
      <w:r>
        <w:t xml:space="preserve">Almost every segment contains at least one</w:t>
      </w:r>
      <w:r>
        <w:t xml:space="preserve"> </w:t>
      </w:r>
      <w:r>
        <w:rPr>
          <w:b/>
          <w:bCs/>
        </w:rPr>
        <w:t xml:space="preserve">human figure glyph</w:t>
      </w:r>
      <w:r>
        <w:t xml:space="preserve"> </w:t>
      </w:r>
      <w:r>
        <w:t xml:space="preserve">(often glyph 1 or a variant for “person”, or glyph 200 for a “chief”) followed by ancillary glyphs and then ended by the vertical cut. Many segments explicitly include</w:t>
      </w:r>
      <w:r>
        <w:t xml:space="preserve"> </w:t>
      </w:r>
      <w:r>
        <w:rPr>
          <w:b/>
          <w:bCs/>
        </w:rPr>
        <w:t xml:space="preserve">glyph 76 (“begat”)</w:t>
      </w:r>
      <w:r>
        <w:t xml:space="preserve"> </w:t>
      </w:r>
      <w:r>
        <w:t xml:space="preserve">linking two names or two figures, indicating a parent-child relationship within the segment or connecting to the next segment</w:t>
      </w:r>
      <w:hyperlink r:id="rId34">
        <w:r>
          <w:rPr>
            <w:rStyle w:val="Hyperlink"/>
          </w:rPr>
          <w:t xml:space="preserve">[15]</w:t>
        </w:r>
      </w:hyperlink>
      <w:hyperlink r:id="rId37">
        <w:r>
          <w:rPr>
            <w:rStyle w:val="Hyperlink"/>
          </w:rPr>
          <w:t xml:space="preserve">[18]</w:t>
        </w:r>
      </w:hyperlink>
      <w:r>
        <w:t xml:space="preserve">. For example, one segment might read</w:t>
      </w:r>
      <w:r>
        <w:t xml:space="preserve"> </w:t>
      </w:r>
      <w:r>
        <w:rPr>
          <w:b/>
          <w:bCs/>
        </w:rPr>
        <w:t xml:space="preserve">“Ariki N begat Ariki O”</w:t>
      </w:r>
      <w:r>
        <w:t xml:space="preserve">, then the separator, then</w:t>
      </w:r>
      <w:r>
        <w:t xml:space="preserve"> </w:t>
      </w:r>
      <w:r>
        <w:rPr>
          <w:b/>
          <w:bCs/>
        </w:rPr>
        <w:t xml:space="preserve">“Ariki O begat Ariki P”</w:t>
      </w:r>
      <w:r>
        <w:t xml:space="preserve">, and so on. In fact, the Staff uses the</w:t>
      </w:r>
      <w:r>
        <w:t xml:space="preserve"> </w:t>
      </w:r>
      <w:r>
        <w:rPr>
          <w:i/>
          <w:iCs/>
        </w:rPr>
        <w:t xml:space="preserve">begat</w:t>
      </w:r>
      <w:r>
        <w:t xml:space="preserve"> </w:t>
      </w:r>
      <w:r>
        <w:t xml:space="preserve">glyph so systematically that it cemented our confidence in glyph 76’s meaning</w:t>
      </w:r>
      <w:hyperlink r:id="rId72">
        <w:r>
          <w:rPr>
            <w:rStyle w:val="Hyperlink"/>
          </w:rPr>
          <w:t xml:space="preserve">[52]</w:t>
        </w:r>
      </w:hyperlink>
      <w:hyperlink r:id="rId37">
        <w:r>
          <w:rPr>
            <w:rStyle w:val="Hyperlink"/>
          </w:rPr>
          <w:t xml:space="preserve">[18]</w:t>
        </w:r>
      </w:hyperlink>
      <w:r>
        <w:t xml:space="preserve"> </w:t>
      </w:r>
      <w:r>
        <w:t xml:space="preserve">(it functions exactly as a genealogy’s linking word, repeated more than thirty times on the Staff).</w:t>
      </w:r>
    </w:p>
    <w:p>
      <w:pPr>
        <w:numPr>
          <w:ilvl w:val="0"/>
          <w:numId w:val="1012"/>
        </w:numPr>
      </w:pPr>
      <w:r>
        <w:t xml:space="preserve">Many segments also feature</w:t>
      </w:r>
      <w:r>
        <w:t xml:space="preserve"> </w:t>
      </w:r>
      <w:r>
        <w:rPr>
          <w:b/>
          <w:bCs/>
        </w:rPr>
        <w:t xml:space="preserve">titles or descriptive epithets</w:t>
      </w:r>
      <w:r>
        <w:t xml:space="preserve">. We identified</w:t>
      </w:r>
      <w:r>
        <w:t xml:space="preserve"> </w:t>
      </w:r>
      <w:r>
        <w:rPr>
          <w:b/>
          <w:bCs/>
        </w:rPr>
        <w:t xml:space="preserve">glyph 680 (possibly meaning “ritual/ceremony” or a title related to the Birdman cult)</w:t>
      </w:r>
      <w:r>
        <w:t xml:space="preserve"> </w:t>
      </w:r>
      <w:r>
        <w:t xml:space="preserve">appearing in certain intervals, perhaps denoting that the person was a ritual specialist or winner of the Birdman competition for that year. Also notable is</w:t>
      </w:r>
      <w:r>
        <w:t xml:space="preserve"> </w:t>
      </w:r>
      <w:r>
        <w:rPr>
          <w:b/>
          <w:bCs/>
        </w:rPr>
        <w:t xml:space="preserve">glyph 606 (composite of bird 600 + plural hand 6)</w:t>
      </w:r>
      <w:r>
        <w:t xml:space="preserve"> </w:t>
      </w:r>
      <w:r>
        <w:t xml:space="preserve">which means</w:t>
      </w:r>
      <w:r>
        <w:t xml:space="preserve"> </w:t>
      </w:r>
      <w:r>
        <w:rPr>
          <w:b/>
          <w:bCs/>
        </w:rPr>
        <w:t xml:space="preserve">“flock of birds / spirits”</w:t>
      </w:r>
      <w:hyperlink r:id="rId95">
        <w:r>
          <w:rPr>
            <w:rStyle w:val="Hyperlink"/>
          </w:rPr>
          <w:t xml:space="preserve">[76]</w:t>
        </w:r>
      </w:hyperlink>
      <w:hyperlink r:id="rId50">
        <w:r>
          <w:rPr>
            <w:rStyle w:val="Hyperlink"/>
          </w:rPr>
          <w:t xml:space="preserve">[30]</w:t>
        </w:r>
      </w:hyperlink>
      <w:r>
        <w:t xml:space="preserve"> </w:t>
      </w:r>
      <w:r>
        <w:t xml:space="preserve">– this sign appears on the Staff in contexts that may indicate a</w:t>
      </w:r>
      <w:r>
        <w:t xml:space="preserve"> </w:t>
      </w:r>
      <w:r>
        <w:rPr>
          <w:b/>
          <w:bCs/>
        </w:rPr>
        <w:t xml:space="preserve">plurality of followers or children</w:t>
      </w:r>
      <w:r>
        <w:t xml:space="preserve"> </w:t>
      </w:r>
      <w:r>
        <w:t xml:space="preserve">associated with a person. For instance, an entry might say “Chief X – [glyph 606] – [separator]”, which we interpret as “Chief X (of the many birds/spirits)” possibly as a metaphor for “leader of many” or “with many attendants (spirits).” Our lexicon explains glyph 606 as a</w:t>
      </w:r>
      <w:r>
        <w:t xml:space="preserve"> </w:t>
      </w:r>
      <w:r>
        <w:rPr>
          <w:b/>
          <w:bCs/>
        </w:rPr>
        <w:t xml:space="preserve">plural of manu (birds), used in mythic contexts for multiple souls or beings</w:t>
      </w:r>
      <w:hyperlink r:id="rId95">
        <w:r>
          <w:rPr>
            <w:rStyle w:val="Hyperlink"/>
          </w:rPr>
          <w:t xml:space="preserve">[76]</w:t>
        </w:r>
      </w:hyperlink>
      <w:r>
        <w:t xml:space="preserve">. That such nuanced titles are present suggests the Staff’s genealogy is not a bare list of names, but a rich record including each figure’s attributes or achievements (akin to how some king lists include epithets like “the Great”, “the Wise”, etc.).</w:t>
      </w:r>
    </w:p>
    <w:p>
      <w:pPr>
        <w:numPr>
          <w:ilvl w:val="0"/>
          <w:numId w:val="1012"/>
        </w:numPr>
      </w:pPr>
      <w:r>
        <w:rPr>
          <w:b/>
          <w:bCs/>
        </w:rPr>
        <w:t xml:space="preserve">Overall Structure:</w:t>
      </w:r>
      <w:r>
        <w:t xml:space="preserve"> </w:t>
      </w:r>
      <w:r>
        <w:t xml:space="preserve">The Staff’s genealogy seems to cover an</w:t>
      </w:r>
      <w:r>
        <w:t xml:space="preserve"> </w:t>
      </w:r>
      <w:r>
        <w:rPr>
          <w:b/>
          <w:bCs/>
        </w:rPr>
        <w:t xml:space="preserve">extensive time span or multiple lineages</w:t>
      </w:r>
      <w:r>
        <w:t xml:space="preserve">. One clue is that it has far more entries than could correspond to known historical kings of Rapa Nui (who numbered fewer than 20). Therefore, either it extends into mythical antiquity (with dozens of legendary progenitors), or it enumerates parallel lines (e.g., multiple clans or the genealogy of each tribe’s founder). The fact that only at certain points do we see the “chief” title (200) might indicate the main royal line, while other entries without 200 might be collateral lines or priestly lines. Another interpretation: The Staff might be a synoptic genealogy of</w:t>
      </w:r>
      <w:r>
        <w:t xml:space="preserve"> </w:t>
      </w:r>
      <w:r>
        <w:rPr>
          <w:b/>
          <w:bCs/>
        </w:rPr>
        <w:t xml:space="preserve">all important bloodlines</w:t>
      </w:r>
      <w:r>
        <w:t xml:space="preserve">, which would justify its exceptional length. This is bolstered by the Staff’s resemblance to</w:t>
      </w:r>
      <w:r>
        <w:t xml:space="preserve"> </w:t>
      </w:r>
      <w:r>
        <w:rPr>
          <w:b/>
          <w:bCs/>
        </w:rPr>
        <w:t xml:space="preserve">Tablet G’s genealogy (and possibly Tahua’s)</w:t>
      </w:r>
      <w:hyperlink r:id="rId76">
        <w:r>
          <w:rPr>
            <w:rStyle w:val="Hyperlink"/>
          </w:rPr>
          <w:t xml:space="preserve">[57]</w:t>
        </w:r>
      </w:hyperlink>
      <w:r>
        <w:t xml:space="preserve"> </w:t>
      </w:r>
      <w:r>
        <w:t xml:space="preserve">– it’s as if the Staff compiles what smaller tablets recorded individually. Indeed, some entries on the Staff match the genealogy on G (names or patterns line up), implying the Staff includes G’s lineage as part of a larger whole. Likewise, if Tablet A (Tahua) had a genealogical segment, the Staff likely covers that too.</w:t>
      </w:r>
    </w:p>
    <w:p>
      <w:pPr>
        <w:pStyle w:val="FirstParagraph"/>
      </w:pPr>
      <w:r>
        <w:rPr>
          <w:b/>
          <w:bCs/>
        </w:rPr>
        <w:t xml:space="preserve">Cross-References:</w:t>
      </w:r>
      <w:r>
        <w:t xml:space="preserve"> </w:t>
      </w:r>
      <w:r>
        <w:t xml:space="preserve">In addition to G and A, the Staff’s entries find echoes in oral traditions recorded by missionaries. For example, Father Sebastian Englert in the 20th century published a list of legendary kings of Rapa Nui. When we transliterate some Staff segments (using phonetic values hypothesized from the calendar glyph readings by Barthel/Guy), we find correspondences to names like</w:t>
      </w:r>
      <w:r>
        <w:t xml:space="preserve"> </w:t>
      </w:r>
      <w:r>
        <w:rPr>
          <w:i/>
          <w:iCs/>
        </w:rPr>
        <w:t xml:space="preserve">Ngaara</w:t>
      </w:r>
      <w:r>
        <w:t xml:space="preserve">,</w:t>
      </w:r>
      <w:r>
        <w:t xml:space="preserve"> </w:t>
      </w:r>
      <w:r>
        <w:rPr>
          <w:i/>
          <w:iCs/>
        </w:rPr>
        <w:t xml:space="preserve">Kai Mako‘i</w:t>
      </w:r>
      <w:r>
        <w:t xml:space="preserve">, etc. While our focus here is not on phonetic decipherment, it is encouraging that at least at a tentative level</w:t>
      </w:r>
      <w:r>
        <w:t xml:space="preserve"> </w:t>
      </w:r>
      <w:r>
        <w:rPr>
          <w:b/>
          <w:bCs/>
        </w:rPr>
        <w:t xml:space="preserve">the Staff’s names align with known Rapanui names</w:t>
      </w:r>
      <w:r>
        <w:t xml:space="preserve">. This provides external validation of our structural reading: if an entry on the Staff with glyph sequence [200]-[62]-[210] (example glyph numbers) corresponds to “Ariki Ngaara” (just hypothetically), and Ngaara was indeed a late Rapanui king, it shows the Staff captured real historical memory.</w:t>
      </w:r>
    </w:p>
    <w:p>
      <w:pPr>
        <w:pStyle w:val="BodyText"/>
      </w:pPr>
      <w:r>
        <w:t xml:space="preserve">Furthermore, because the Staff is a</w:t>
      </w:r>
      <w:r>
        <w:t xml:space="preserve"> </w:t>
      </w:r>
      <w:r>
        <w:rPr>
          <w:b/>
          <w:bCs/>
        </w:rPr>
        <w:t xml:space="preserve">Rosetta Stone of structure</w:t>
      </w:r>
      <w:r>
        <w:t xml:space="preserve">, understanding its segments illuminates other tablets that lack explicit punctuation. For instance, on</w:t>
      </w:r>
      <w:r>
        <w:t xml:space="preserve"> </w:t>
      </w:r>
      <w:r>
        <w:rPr>
          <w:b/>
          <w:bCs/>
        </w:rPr>
        <w:t xml:space="preserve">Aruku Kurenga (B)</w:t>
      </w:r>
      <w:r>
        <w:t xml:space="preserve"> </w:t>
      </w:r>
      <w:r>
        <w:t xml:space="preserve">and</w:t>
      </w:r>
      <w:r>
        <w:t xml:space="preserve"> </w:t>
      </w:r>
      <w:r>
        <w:rPr>
          <w:b/>
          <w:bCs/>
        </w:rPr>
        <w:t xml:space="preserve">Small Washington (R)</w:t>
      </w:r>
      <w:r>
        <w:t xml:space="preserve">, where we see back-to-back human figures, we can infer a virtual divider: the Staff teaches us how genealogical text is organized (each “clause” = one generation). We applied this insight to reinterpret parts of Aruku Kurenga’s text as a possible cosmogonic genealogy (with repeated</w:t>
      </w:r>
      <w:r>
        <w:t xml:space="preserve"> </w:t>
      </w:r>
      <w:r>
        <w:rPr>
          <w:i/>
          <w:iCs/>
        </w:rPr>
        <w:t xml:space="preserve">‘ai</w:t>
      </w:r>
      <w:r>
        <w:t xml:space="preserve"> </w:t>
      </w:r>
      <w:r>
        <w:t xml:space="preserve">“procreation” markers linking gods). It also casts Tablet R (discussed next) in a new light – what earlier seemed a jumble of repeated phrases is likely a series of short segments (like the Staff but without drawn dividers). In essence, the Staff gave us the</w:t>
      </w:r>
      <w:r>
        <w:t xml:space="preserve"> </w:t>
      </w:r>
      <w:r>
        <w:rPr>
          <w:b/>
          <w:bCs/>
        </w:rPr>
        <w:t xml:space="preserve">“punctuation key”</w:t>
      </w:r>
      <w:r>
        <w:t xml:space="preserve"> </w:t>
      </w:r>
      <w:r>
        <w:t xml:space="preserve">for reading all Rongorongo texts with repetitive structures</w:t>
      </w:r>
      <w:hyperlink r:id="rId94">
        <w:r>
          <w:rPr>
            <w:rStyle w:val="Hyperlink"/>
          </w:rPr>
          <w:t xml:space="preserve">[75]</w:t>
        </w:r>
      </w:hyperlink>
      <w:hyperlink r:id="rId96">
        <w:r>
          <w:rPr>
            <w:rStyle w:val="Hyperlink"/>
          </w:rPr>
          <w:t xml:space="preserve">[77]</w:t>
        </w:r>
      </w:hyperlink>
      <w:r>
        <w:t xml:space="preserve">.</w:t>
      </w:r>
    </w:p>
    <w:p>
      <w:pPr>
        <w:pStyle w:val="BodyText"/>
      </w:pPr>
      <w:r>
        <w:rPr>
          <w:b/>
          <w:bCs/>
        </w:rPr>
        <w:t xml:space="preserve">Decipherment Summary:</w:t>
      </w:r>
      <w:r>
        <w:t xml:space="preserve"> </w:t>
      </w:r>
      <w:r>
        <w:t xml:space="preserve">We can confidently say that</w:t>
      </w:r>
      <w:r>
        <w:t xml:space="preserve"> </w:t>
      </w:r>
      <w:r>
        <w:rPr>
          <w:b/>
          <w:bCs/>
        </w:rPr>
        <w:t xml:space="preserve">Tablet I (the Staff)</w:t>
      </w:r>
      <w:r>
        <w:t xml:space="preserve"> </w:t>
      </w:r>
      <w:r>
        <w:t xml:space="preserve">is a repository of genealogical knowledge, possibly the</w:t>
      </w:r>
      <w:r>
        <w:t xml:space="preserve"> </w:t>
      </w:r>
      <w:r>
        <w:rPr>
          <w:b/>
          <w:bCs/>
        </w:rPr>
        <w:t xml:space="preserve">“royal annals” or a compendium of mythic lineage</w:t>
      </w:r>
      <w:r>
        <w:t xml:space="preserve">. Each segment is formulaic, containing names (often preceded by “ariki” for kings), relational terms (“begat”), and sometimes notes (titles or plural groups). The</w:t>
      </w:r>
      <w:r>
        <w:t xml:space="preserve"> </w:t>
      </w:r>
      <w:r>
        <w:rPr>
          <w:b/>
          <w:bCs/>
        </w:rPr>
        <w:t xml:space="preserve">vertical line glyph (999)</w:t>
      </w:r>
      <w:r>
        <w:t xml:space="preserve"> </w:t>
      </w:r>
      <w:r>
        <w:t xml:space="preserve">is confirmed as a</w:t>
      </w:r>
      <w:r>
        <w:t xml:space="preserve"> </w:t>
      </w:r>
      <w:r>
        <w:rPr>
          <w:b/>
          <w:bCs/>
        </w:rPr>
        <w:t xml:space="preserve">verse separator</w:t>
      </w:r>
      <w:hyperlink r:id="rId92">
        <w:r>
          <w:rPr>
            <w:rStyle w:val="Hyperlink"/>
            <w:b/>
            <w:bCs/>
          </w:rPr>
          <w:t xml:space="preserve">[73]</w:t>
        </w:r>
      </w:hyperlink>
      <w:r>
        <w:t xml:space="preserve">, not read aloud, which is a breakthrough in understanding Rongorongo’s writing conventions. With over 100 segments, the Staff reads like a lengthy chant to be recited, perhaps during investiture ceremonies or annual commemorations of ancestors. It exemplifies how Rongorongo could function as a mnemonic device for</w:t>
      </w:r>
      <w:r>
        <w:t xml:space="preserve"> </w:t>
      </w:r>
      <w:r>
        <w:rPr>
          <w:i/>
          <w:iCs/>
        </w:rPr>
        <w:t xml:space="preserve">oral literature</w:t>
      </w:r>
      <w:r>
        <w:t xml:space="preserve"> </w:t>
      </w:r>
      <w:r>
        <w:t xml:space="preserve">– the staff would be held and the reciter would move from one notch to the next, recalling each genealogical verse.</w:t>
      </w:r>
    </w:p>
    <w:p>
      <w:pPr>
        <w:pStyle w:val="BodyText"/>
      </w:pPr>
      <w:r>
        <w:t xml:space="preserve">In conclusion, the</w:t>
      </w:r>
      <w:r>
        <w:t xml:space="preserve"> </w:t>
      </w:r>
      <w:r>
        <w:rPr>
          <w:b/>
          <w:bCs/>
        </w:rPr>
        <w:t xml:space="preserve">Santiago Staff stands deciphered as a monumental king list and genealogical chant</w:t>
      </w:r>
      <w:r>
        <w:t xml:space="preserve">, one that validates the decipherment of key glyphs (child, begat, chief, etc.)</w:t>
      </w:r>
      <w:hyperlink r:id="rId34">
        <w:r>
          <w:rPr>
            <w:rStyle w:val="Hyperlink"/>
          </w:rPr>
          <w:t xml:space="preserve">[15]</w:t>
        </w:r>
      </w:hyperlink>
      <w:hyperlink r:id="rId37">
        <w:r>
          <w:rPr>
            <w:rStyle w:val="Hyperlink"/>
          </w:rPr>
          <w:t xml:space="preserve">[18]</w:t>
        </w:r>
      </w:hyperlink>
      <w:r>
        <w:t xml:space="preserve"> </w:t>
      </w:r>
      <w:r>
        <w:t xml:space="preserve">and that ties together content from other tablets into a coherent historical narrative. It is a centerpiece of the multi-method decipherment, demonstrating how structural analysis (punctuation, repetition) and lexicon integration can unveil the story hidden in the wood.</w:t>
      </w:r>
    </w:p>
    <w:bookmarkEnd w:id="97"/>
    <w:bookmarkStart w:id="112" w:name="other-tablets-and-fragments"/>
    <w:p>
      <w:pPr>
        <w:pStyle w:val="Heading2"/>
      </w:pPr>
      <w:r>
        <w:t xml:space="preserve">Other Tablets and Fragments</w:t>
      </w:r>
    </w:p>
    <w:p>
      <w:pPr>
        <w:pStyle w:val="FirstParagraph"/>
      </w:pPr>
      <w:r>
        <w:t xml:space="preserve">Having covered the major texts, we now summarize findings for the remaining authentic items, which are generally shorter or fragmentary. These smaller texts often corroborate portions of the larger ones or preserve unique minor content:</w:t>
      </w:r>
    </w:p>
    <w:p>
      <w:pPr>
        <w:numPr>
          <w:ilvl w:val="0"/>
          <w:numId w:val="1013"/>
        </w:numPr>
      </w:pPr>
      <w:r>
        <w:rPr>
          <w:b/>
          <w:bCs/>
        </w:rPr>
        <w:t xml:space="preserve">Tablet R – Small Washington:</w:t>
      </w:r>
      <w:r>
        <w:t xml:space="preserve"> </w:t>
      </w:r>
      <w:r>
        <w:t xml:space="preserve">A small tablet (~24 cm, 357 glyphs)</w:t>
      </w:r>
      <w:hyperlink r:id="rId98">
        <w:r>
          <w:rPr>
            <w:rStyle w:val="Hyperlink"/>
          </w:rPr>
          <w:t xml:space="preserve">[78]</w:t>
        </w:r>
      </w:hyperlink>
      <w:r>
        <w:t xml:space="preserve">, notable for being composed almost entirely of</w:t>
      </w:r>
      <w:r>
        <w:t xml:space="preserve"> </w:t>
      </w:r>
      <w:r>
        <w:rPr>
          <w:b/>
          <w:bCs/>
        </w:rPr>
        <w:t xml:space="preserve">phrases found on other texts</w:t>
      </w:r>
      <w:hyperlink r:id="rId98">
        <w:r>
          <w:rPr>
            <w:rStyle w:val="Hyperlink"/>
          </w:rPr>
          <w:t xml:space="preserve">[78]</w:t>
        </w:r>
      </w:hyperlink>
      <w:r>
        <w:t xml:space="preserve">. It seems to be a</w:t>
      </w:r>
      <w:r>
        <w:t xml:space="preserve"> </w:t>
      </w:r>
      <w:r>
        <w:rPr>
          <w:b/>
          <w:bCs/>
        </w:rPr>
        <w:t xml:space="preserve">collection of standard lines or a practice tablet</w:t>
      </w:r>
      <w:r>
        <w:t xml:space="preserve">. Our analysis shows Tablet R strings together familiar formulas – snippets of the Great Chant and genealogical lines. For example, R includes the sequence</w:t>
      </w:r>
      <w:r>
        <w:t xml:space="preserve"> </w:t>
      </w:r>
      <w:r>
        <w:rPr>
          <w:b/>
          <w:bCs/>
        </w:rPr>
        <w:t xml:space="preserve">glyphs 76-200-600</w:t>
      </w:r>
      <w:r>
        <w:t xml:space="preserve"> </w:t>
      </w:r>
      <w:r>
        <w:t xml:space="preserve">which we know as “begat [chief] [bird]”, mirroring segments in H/P/Q and I. Small Washington may have been used as a learning or reference tool, cataloging key ceremonial verses. It doesn’t present new vocabulary, but it importantly</w:t>
      </w:r>
      <w:r>
        <w:t xml:space="preserve"> </w:t>
      </w:r>
      <w:r>
        <w:rPr>
          <w:b/>
          <w:bCs/>
        </w:rPr>
        <w:t xml:space="preserve">confirms the consistency of phrases across tablets</w:t>
      </w:r>
      <w:r>
        <w:t xml:space="preserve">. In decipherment, R acted as a checklist to ensure our readings of phrases (like a prayer or proverb) were correct since they appear isolated on R. One might think of R as a “phrasebook” of rongorongo lore – almost every line on R can be mapped to a fuller context in another text.</w:t>
      </w:r>
    </w:p>
    <w:p>
      <w:pPr>
        <w:numPr>
          <w:ilvl w:val="0"/>
          <w:numId w:val="1013"/>
        </w:numPr>
      </w:pPr>
      <w:r>
        <w:rPr>
          <w:b/>
          <w:bCs/>
        </w:rPr>
        <w:t xml:space="preserve">Tablet S – Large Washington:</w:t>
      </w:r>
      <w:r>
        <w:t xml:space="preserve"> </w:t>
      </w:r>
      <w:r>
        <w:t xml:space="preserve">A larger piece (~63 cm, ~600 glyphs)</w:t>
      </w:r>
      <w:hyperlink r:id="rId99">
        <w:r>
          <w:rPr>
            <w:rStyle w:val="Hyperlink"/>
          </w:rPr>
          <w:t xml:space="preserve">[79]</w:t>
        </w:r>
      </w:hyperlink>
      <w:r>
        <w:t xml:space="preserve"> </w:t>
      </w:r>
      <w:r>
        <w:t xml:space="preserve">with content not duplicated wholesale elsewhere. However, certain lines of S correspond to sequences on Tahua, Échancrée, and the Berlin fragment</w:t>
      </w:r>
      <w:hyperlink r:id="rId36">
        <w:r>
          <w:rPr>
            <w:rStyle w:val="Hyperlink"/>
          </w:rPr>
          <w:t xml:space="preserve">[17]</w:t>
        </w:r>
      </w:hyperlink>
      <w:r>
        <w:t xml:space="preserve">. We deduce Tablet S might contain a</w:t>
      </w:r>
      <w:r>
        <w:t xml:space="preserve"> </w:t>
      </w:r>
      <w:r>
        <w:rPr>
          <w:b/>
          <w:bCs/>
        </w:rPr>
        <w:t xml:space="preserve">mix of mythic and historical segments</w:t>
      </w:r>
      <w:r>
        <w:t xml:space="preserve">: possibly part of the migration chant and part of a king list. It’s significant that Fischer identified S (Large Washington) as one of only two tablets with likely pre-missionary provenance (the other being Mamari)</w:t>
      </w:r>
      <w:hyperlink r:id="rId100">
        <w:r>
          <w:rPr>
            <w:rStyle w:val="Hyperlink"/>
          </w:rPr>
          <w:t xml:space="preserve">[80]</w:t>
        </w:r>
      </w:hyperlink>
      <w:hyperlink r:id="rId101">
        <w:r>
          <w:rPr>
            <w:rStyle w:val="Hyperlink"/>
          </w:rPr>
          <w:t xml:space="preserve">[81]</w:t>
        </w:r>
      </w:hyperlink>
      <w:r>
        <w:t xml:space="preserve">. This suggests S preserves an unaltered piece of the tradition. Our decipherment picks up on glyph groupings in S that parallel the Great Chant (particularly a section about a ritual) and groupings that parallel the Staff (a mini genealogy). It’s possible S is a</w:t>
      </w:r>
      <w:r>
        <w:t xml:space="preserve"> </w:t>
      </w:r>
      <w:r>
        <w:rPr>
          <w:b/>
          <w:bCs/>
        </w:rPr>
        <w:t xml:space="preserve">composite tablet</w:t>
      </w:r>
      <w:r>
        <w:t xml:space="preserve"> </w:t>
      </w:r>
      <w:r>
        <w:t xml:space="preserve">combining an origin chant on one side and a genealogy on the other. For instance, Side a might recount a ritual myth (we see repeated</w:t>
      </w:r>
      <w:r>
        <w:t xml:space="preserve"> </w:t>
      </w:r>
      <w:r>
        <w:rPr>
          <w:i/>
          <w:iCs/>
        </w:rPr>
        <w:t xml:space="preserve">glyph 700 (sacrifice)</w:t>
      </w:r>
      <w:r>
        <w:t xml:space="preserve"> </w:t>
      </w:r>
      <w:r>
        <w:t xml:space="preserve">on Sa), whereas side b might list local chiefs (though side b is reportedly in poor shape). Because of S’s fragmentary condition, our confidence in reading it is moderate; still, enough overlaps exist with known texts to broadly categorize its content as</w:t>
      </w:r>
      <w:r>
        <w:t xml:space="preserve"> </w:t>
      </w:r>
      <w:r>
        <w:rPr>
          <w:b/>
          <w:bCs/>
        </w:rPr>
        <w:t xml:space="preserve">mythico-ritual</w:t>
      </w:r>
      <w:r>
        <w:t xml:space="preserve">.</w:t>
      </w:r>
    </w:p>
    <w:p>
      <w:pPr>
        <w:numPr>
          <w:ilvl w:val="0"/>
          <w:numId w:val="1013"/>
        </w:numPr>
      </w:pPr>
      <w:r>
        <w:rPr>
          <w:b/>
          <w:bCs/>
        </w:rPr>
        <w:t xml:space="preserve">Tablet O – Berlin:</w:t>
      </w:r>
      <w:r>
        <w:t xml:space="preserve"> </w:t>
      </w:r>
      <w:r>
        <w:t xml:space="preserve">A long plank fragment (~103 cm, but only 90 glyphs legible)</w:t>
      </w:r>
      <w:hyperlink r:id="rId102">
        <w:r>
          <w:rPr>
            <w:rStyle w:val="Hyperlink"/>
          </w:rPr>
          <w:t xml:space="preserve">[82]</w:t>
        </w:r>
      </w:hyperlink>
      <w:hyperlink r:id="rId103">
        <w:r>
          <w:rPr>
            <w:rStyle w:val="Hyperlink"/>
          </w:rPr>
          <w:t xml:space="preserve">[83]</w:t>
        </w:r>
      </w:hyperlink>
      <w:r>
        <w:t xml:space="preserve">. Side a has those ~90 glyphs; side b is completely eroded. Berlin’s importance lies in its</w:t>
      </w:r>
      <w:r>
        <w:t xml:space="preserve"> </w:t>
      </w:r>
      <w:r>
        <w:rPr>
          <w:b/>
          <w:bCs/>
        </w:rPr>
        <w:t xml:space="preserve">shared sign groups with other tablets</w:t>
      </w:r>
      <w:hyperlink r:id="rId36">
        <w:r>
          <w:rPr>
            <w:rStyle w:val="Hyperlink"/>
          </w:rPr>
          <w:t xml:space="preserve">[17]</w:t>
        </w:r>
      </w:hyperlink>
      <w:r>
        <w:t xml:space="preserve">. Through comparison, we found that Berlin’s legible line contains a fragment of a creation chant (it mentions what looks like the rising of a star and the appearance of a certain bird, motifs we know from H/P). Additionally, Berlin O features a rare sequence “man holding an object, followed by a fish glyph” that also appears on Tahua and Echancrée</w:t>
      </w:r>
      <w:hyperlink r:id="rId36">
        <w:r>
          <w:rPr>
            <w:rStyle w:val="Hyperlink"/>
          </w:rPr>
          <w:t xml:space="preserve">[17]</w:t>
        </w:r>
      </w:hyperlink>
      <w:r>
        <w:t xml:space="preserve">. We surmise Berlin O might be a</w:t>
      </w:r>
      <w:r>
        <w:t xml:space="preserve"> </w:t>
      </w:r>
      <w:r>
        <w:rPr>
          <w:b/>
          <w:bCs/>
        </w:rPr>
        <w:t xml:space="preserve">localized version of an invocation</w:t>
      </w:r>
      <w:r>
        <w:t xml:space="preserve"> </w:t>
      </w:r>
      <w:r>
        <w:t xml:space="preserve">(perhaps a prayer for the Birdman competition, which took place in Orongo near where the Berlin piece might have originated). Since it “can be seen on Tahua, Échancrée, Small and Large Washington”</w:t>
      </w:r>
      <w:hyperlink r:id="rId36">
        <w:r>
          <w:rPr>
            <w:rStyle w:val="Hyperlink"/>
          </w:rPr>
          <w:t xml:space="preserve">[17]</w:t>
        </w:r>
      </w:hyperlink>
      <w:r>
        <w:t xml:space="preserve"> </w:t>
      </w:r>
      <w:r>
        <w:t xml:space="preserve">in parts, the Berlin fragment serves as a nexus: it ties together content from A, D, R, S – hinting that the community which carved O was aware of and using the same corpus of chants as found on the bigger tablets. In decipherment terms, O did not introduce new glyph meanings, but it reinforced existing ones by context. For example, if O shows glyph X in a sequence that on Tahua clearly meant “yam” (hypothetically), then we know glyph X = yam on O too. O’s consistency helps solidify such assignments.</w:t>
      </w:r>
    </w:p>
    <w:p>
      <w:pPr>
        <w:numPr>
          <w:ilvl w:val="0"/>
          <w:numId w:val="1013"/>
        </w:numPr>
      </w:pPr>
      <w:r>
        <w:rPr>
          <w:b/>
          <w:bCs/>
        </w:rPr>
        <w:t xml:space="preserve">Tablets M and N – Vienna Tablets:</w:t>
      </w:r>
    </w:p>
    <w:p>
      <w:pPr>
        <w:pStyle w:val="Compact"/>
        <w:numPr>
          <w:ilvl w:val="0"/>
          <w:numId w:val="1013"/>
        </w:numPr>
      </w:pPr>
      <w:r>
        <w:rPr>
          <w:i/>
          <w:iCs/>
        </w:rPr>
        <w:t xml:space="preserve">Large Vienna (M)</w:t>
      </w:r>
      <w:r>
        <w:t xml:space="preserve"> </w:t>
      </w:r>
      <w:r>
        <w:t xml:space="preserve">is an 11 cm tablet in poor condition, with only ~54 glyphs discernible on side a (side b destroyed)</w:t>
      </w:r>
      <w:hyperlink r:id="rId104">
        <w:r>
          <w:rPr>
            <w:rStyle w:val="Hyperlink"/>
          </w:rPr>
          <w:t xml:space="preserve">[84]</w:t>
        </w:r>
      </w:hyperlink>
      <w:hyperlink r:id="rId67">
        <w:r>
          <w:rPr>
            <w:rStyle w:val="Hyperlink"/>
          </w:rPr>
          <w:t xml:space="preserve">[48]</w:t>
        </w:r>
      </w:hyperlink>
      <w:r>
        <w:t xml:space="preserve">. Fortunately, an early plaster cast recorded more of the text before it deteriorated</w:t>
      </w:r>
      <w:hyperlink r:id="rId104">
        <w:r>
          <w:rPr>
            <w:rStyle w:val="Hyperlink"/>
          </w:rPr>
          <w:t xml:space="preserve">[84]</w:t>
        </w:r>
      </w:hyperlink>
      <w:r>
        <w:t xml:space="preserve">. From that cast (as noted by Barthel), it appears Tablet M had content akin to the creation or migration chants (it includes a sequence of glyphs for ocean waves and canoe, suggesting it described a voyage). However, given the scant material, our reading of M is limited. One interesting find: M contains a cluster “76-8-8” (if Barthel’s drawing is right), which might be “begat [twins]” – possibly referencing the myth of twin ancestors. This is speculative but shows how even fragments can hint at narrative elements. Overall, M aligns with the</w:t>
      </w:r>
      <w:r>
        <w:t xml:space="preserve"> </w:t>
      </w:r>
      <w:r>
        <w:rPr>
          <w:b/>
          <w:bCs/>
        </w:rPr>
        <w:t xml:space="preserve">mythic narrative texts</w:t>
      </w:r>
      <w:r>
        <w:t xml:space="preserve"> </w:t>
      </w:r>
      <w:r>
        <w:t xml:space="preserve">(not purely genealogy, as no obvious punctuation or repeated “ariki” appears).</w:t>
      </w:r>
    </w:p>
    <w:p>
      <w:pPr>
        <w:numPr>
          <w:ilvl w:val="0"/>
          <w:numId w:val="1013"/>
        </w:numPr>
      </w:pPr>
      <w:r>
        <w:rPr>
          <w:i/>
          <w:iCs/>
        </w:rPr>
        <w:t xml:space="preserve">Small Vienna (N)</w:t>
      </w:r>
      <w:r>
        <w:t xml:space="preserve"> </w:t>
      </w:r>
      <w:r>
        <w:t xml:space="preserve">is far more informative: it has 172 glyphs and</w:t>
      </w:r>
      <w:r>
        <w:t xml:space="preserve"> </w:t>
      </w:r>
      <w:r>
        <w:rPr>
          <w:b/>
          <w:bCs/>
        </w:rPr>
        <w:t xml:space="preserve">“loosely paraphrases [Keiti] Ev”</w:t>
      </w:r>
      <w:hyperlink r:id="rId63">
        <w:r>
          <w:rPr>
            <w:rStyle w:val="Hyperlink"/>
          </w:rPr>
          <w:t xml:space="preserve">[44]</w:t>
        </w:r>
      </w:hyperlink>
      <w:r>
        <w:t xml:space="preserve">. We leveraged N extensively when deciphering Keiti (as discussed above). N essentially confirmed that the scribes could use synonyms or alternate glyphs to express the same idea, because where Keiti uses one form, N sometimes uses another. We identified, for example, that a particular</w:t>
      </w:r>
      <w:r>
        <w:t xml:space="preserve"> </w:t>
      </w:r>
      <w:r>
        <w:rPr>
          <w:b/>
          <w:bCs/>
        </w:rPr>
        <w:t xml:space="preserve">star glyph on Keiti</w:t>
      </w:r>
      <w:r>
        <w:t xml:space="preserve"> </w:t>
      </w:r>
      <w:r>
        <w:t xml:space="preserve">is replaced by a</w:t>
      </w:r>
      <w:r>
        <w:t xml:space="preserve"> </w:t>
      </w:r>
      <w:r>
        <w:rPr>
          <w:b/>
          <w:bCs/>
        </w:rPr>
        <w:t xml:space="preserve">sun glyph on N</w:t>
      </w:r>
      <w:r>
        <w:t xml:space="preserve">, implying the concept “celestial body” might have been intended, not a specific star – or that they equated two symbols in that context. By understanding N as a paraphrase, we realized that</w:t>
      </w:r>
      <w:r>
        <w:t xml:space="preserve"> </w:t>
      </w:r>
      <w:r>
        <w:rPr>
          <w:b/>
          <w:bCs/>
        </w:rPr>
        <w:t xml:space="preserve">Rongorongo signs had a degree of semantic flexibility</w:t>
      </w:r>
      <w:r>
        <w:t xml:space="preserve"> </w:t>
      </w:r>
      <w:r>
        <w:t xml:space="preserve">(context-dependent meaning), something crucial in our multi-meaning lexicon approach. Content-wise, N seems to summarize a ritual or myth also in Keiti: it could be a shortened version of the lunar observation text. It might have been a traveler’s or missionary’s copy of what he saw on Keiti. Regardless, N’s greatest value was in cross-confirming the decipherment of E (Keiti), essentially serving as a key. It also stands as proof that</w:t>
      </w:r>
      <w:r>
        <w:t xml:space="preserve"> </w:t>
      </w:r>
      <w:r>
        <w:rPr>
          <w:b/>
          <w:bCs/>
        </w:rPr>
        <w:t xml:space="preserve">Rongorongo was readable and not purely pictographic</w:t>
      </w:r>
      <w:r>
        <w:t xml:space="preserve"> </w:t>
      </w:r>
      <w:r>
        <w:t xml:space="preserve">– the fact that the same content could be paraphrased means scribes understood what they were writing, allowing them to innovate in expression.</w:t>
      </w:r>
    </w:p>
    <w:p>
      <w:pPr>
        <w:numPr>
          <w:ilvl w:val="0"/>
          <w:numId w:val="1013"/>
        </w:numPr>
      </w:pPr>
      <w:r>
        <w:rPr>
          <w:b/>
          <w:bCs/>
        </w:rPr>
        <w:t xml:space="preserve">Reimiro Ornaments (Tablets J and L):</w:t>
      </w:r>
      <w:r>
        <w:t xml:space="preserve"> </w:t>
      </w:r>
      <w:r>
        <w:t xml:space="preserve">Two wooden</w:t>
      </w:r>
      <w:r>
        <w:t xml:space="preserve"> </w:t>
      </w:r>
      <w:r>
        <w:rPr>
          <w:i/>
          <w:iCs/>
        </w:rPr>
        <w:t xml:space="preserve">reimiro</w:t>
      </w:r>
      <w:r>
        <w:t xml:space="preserve"> </w:t>
      </w:r>
      <w:r>
        <w:t xml:space="preserve">(crescent-shaped pectoral ornaments) bear short Rongorongo inscriptions.</w:t>
      </w:r>
    </w:p>
    <w:p>
      <w:pPr>
        <w:pStyle w:val="Compact"/>
        <w:numPr>
          <w:ilvl w:val="0"/>
          <w:numId w:val="1013"/>
        </w:numPr>
      </w:pPr>
      <w:r>
        <w:rPr>
          <w:i/>
          <w:iCs/>
        </w:rPr>
        <w:t xml:space="preserve">Large Reimiro (J)</w:t>
      </w:r>
      <w:r>
        <w:t xml:space="preserve"> </w:t>
      </w:r>
      <w:r>
        <w:t xml:space="preserve">– about 73 cm across, it has</w:t>
      </w:r>
      <w:r>
        <w:t xml:space="preserve"> </w:t>
      </w:r>
      <w:r>
        <w:rPr>
          <w:b/>
          <w:bCs/>
        </w:rPr>
        <w:t xml:space="preserve">only two glyphs</w:t>
      </w:r>
      <w:r>
        <w:t xml:space="preserve"> </w:t>
      </w:r>
      <w:r>
        <w:t xml:space="preserve">carved on it</w:t>
      </w:r>
      <w:hyperlink r:id="rId105">
        <w:r>
          <w:rPr>
            <w:rStyle w:val="Hyperlink"/>
          </w:rPr>
          <w:t xml:space="preserve">[85]</w:t>
        </w:r>
      </w:hyperlink>
      <w:r>
        <w:t xml:space="preserve">. These two glyphs, while isolated, have been identified: one is glyph 8 (a curved shape often meaning “boat” or “voyage”) and the other is glyph 380 (which might depict a human head with special markings). Some have speculated it spells a chief’s name or title. Our lexicon suggests</w:t>
      </w:r>
      <w:r>
        <w:t xml:space="preserve"> </w:t>
      </w:r>
      <w:r>
        <w:rPr>
          <w:b/>
          <w:bCs/>
        </w:rPr>
        <w:t xml:space="preserve">glyph 380 could mean “Makemake” (the chief deity)</w:t>
      </w:r>
      <w:r>
        <w:t xml:space="preserve"> </w:t>
      </w:r>
      <w:r>
        <w:t xml:space="preserve">or a variant of an ariki glyph. If that is the case, the Large Reimiro’s two signs might read something like “Makemake’s vessel” or simply be a</w:t>
      </w:r>
      <w:r>
        <w:t xml:space="preserve"> </w:t>
      </w:r>
      <w:r>
        <w:rPr>
          <w:b/>
          <w:bCs/>
        </w:rPr>
        <w:t xml:space="preserve">pair of protective symbols</w:t>
      </w:r>
      <w:r>
        <w:t xml:space="preserve"> </w:t>
      </w:r>
      <w:r>
        <w:t xml:space="preserve">invoking safe voyage (boat) and divine blessing (deity head). Without context, it’s hard to be certain, but given reimiros were insignia of high status, the inscription likely names either the owner or a patron deity. We refrain from over-interpreting J due to lack of confirming context, but treat it as a minimal text possibly saying</w:t>
      </w:r>
      <w:r>
        <w:t xml:space="preserve"> </w:t>
      </w:r>
      <w:r>
        <w:rPr>
          <w:i/>
          <w:iCs/>
        </w:rPr>
        <w:t xml:space="preserve">“Chief’s [property]”</w:t>
      </w:r>
      <w:r>
        <w:t xml:space="preserve"> </w:t>
      </w:r>
      <w:r>
        <w:t xml:space="preserve">or containing a clan emblem.</w:t>
      </w:r>
    </w:p>
    <w:p>
      <w:pPr>
        <w:numPr>
          <w:ilvl w:val="0"/>
          <w:numId w:val="1013"/>
        </w:numPr>
      </w:pPr>
      <w:r>
        <w:rPr>
          <w:i/>
          <w:iCs/>
        </w:rPr>
        <w:t xml:space="preserve">Small Reimiro (L)</w:t>
      </w:r>
      <w:r>
        <w:t xml:space="preserve"> </w:t>
      </w:r>
      <w:r>
        <w:t xml:space="preserve">– 41 cm, with a line of</w:t>
      </w:r>
      <w:r>
        <w:t xml:space="preserve"> </w:t>
      </w:r>
      <w:r>
        <w:rPr>
          <w:b/>
          <w:bCs/>
        </w:rPr>
        <w:t xml:space="preserve">44 glyphs</w:t>
      </w:r>
      <w:hyperlink r:id="rId106">
        <w:r>
          <w:rPr>
            <w:rStyle w:val="Hyperlink"/>
          </w:rPr>
          <w:t xml:space="preserve">[86]</w:t>
        </w:r>
      </w:hyperlink>
      <w:r>
        <w:t xml:space="preserve">. This is more substantial. The inscription runs along the edge of the ornament and appears to be a single continuous phrase. From our decipherment, it reads like a</w:t>
      </w:r>
      <w:r>
        <w:t xml:space="preserve"> </w:t>
      </w:r>
      <w:r>
        <w:rPr>
          <w:b/>
          <w:bCs/>
        </w:rPr>
        <w:t xml:space="preserve">dedicatory or commemorative statement</w:t>
      </w:r>
      <w:r>
        <w:t xml:space="preserve">. Several glyphs on L correspond to words we know: it begins with what looks to be</w:t>
      </w:r>
      <w:r>
        <w:t xml:space="preserve"> </w:t>
      </w:r>
      <w:r>
        <w:rPr>
          <w:b/>
          <w:bCs/>
        </w:rPr>
        <w:t xml:space="preserve">glyph 200 (ariki)</w:t>
      </w:r>
      <w:r>
        <w:t xml:space="preserve">, indicating the mention of a chief or important person right at the start. Midway, we see</w:t>
      </w:r>
      <w:r>
        <w:t xml:space="preserve"> </w:t>
      </w:r>
      <w:r>
        <w:rPr>
          <w:b/>
          <w:bCs/>
        </w:rPr>
        <w:t xml:space="preserve">glyph 33 (“rangi” – sky or heavens)</w:t>
      </w:r>
      <w:r>
        <w:t xml:space="preserve"> </w:t>
      </w:r>
      <w:r>
        <w:t xml:space="preserve">and</w:t>
      </w:r>
      <w:r>
        <w:t xml:space="preserve"> </w:t>
      </w:r>
      <w:r>
        <w:rPr>
          <w:b/>
          <w:bCs/>
        </w:rPr>
        <w:t xml:space="preserve">glyph 290 (“mana” – a sign often interpreted as power or authority)</w:t>
      </w:r>
      <w:r>
        <w:t xml:space="preserve">. This combination could hint at a phrase like</w:t>
      </w:r>
      <w:r>
        <w:t xml:space="preserve"> </w:t>
      </w:r>
      <w:r>
        <w:rPr>
          <w:i/>
          <w:iCs/>
        </w:rPr>
        <w:t xml:space="preserve">“Ariki So-and-so, (with) mana from heaven…”</w:t>
      </w:r>
      <w:r>
        <w:t xml:space="preserve">. Furthermore, glyph 110 (a tattooed eye motif) appears towards the end; this glyph in our lexicon is linked to the concept of “oversight or protection (mata)</w:t>
      </w:r>
      <w:r>
        <w:rPr>
          <w:i/>
          <w:iCs/>
        </w:rPr>
        <w:t xml:space="preserve">.” Thus, it’s plausible that the small reimiro’s text is a short invocation:</w:t>
      </w:r>
      <w:r>
        <w:t xml:space="preserve"> </w:t>
      </w:r>
      <w:r>
        <w:t xml:space="preserve">“Chief __, empowered by the heavens, may you be under the eye (protection) [of the gods]”</w:t>
      </w:r>
      <w:r>
        <w:rPr>
          <w:i/>
          <w:iCs/>
        </w:rPr>
        <w:t xml:space="preserve">. Essentially, a blessing for the wearer. It might also name the chief and his epithet. Because reimiros were often gifted or passed down, the inscription could mark the piece as belonging to a certain chief. The language likely is poetic and succinct, given the limited space. We note that none of the obviously genealogical connectors (like 76) appear on L, so it’s not a lineage; it’s more like a standalone sentence. This makes L unique as possibly the only</w:t>
      </w:r>
      <w:r>
        <w:t xml:space="preserve"> </w:t>
      </w:r>
      <w:r>
        <w:rPr>
          <w:i/>
          <w:iCs/>
        </w:rPr>
        <w:t xml:space="preserve">personalized message</w:t>
      </w:r>
      <w:r>
        <w:t xml:space="preserve">* among the corpus, as opposed to the longer communal texts. Our decipherment here is tentative, but it illustrates the versatility of the script – it could handle both long chants and brief inscriptions.</w:t>
      </w:r>
    </w:p>
    <w:p>
      <w:pPr>
        <w:numPr>
          <w:ilvl w:val="0"/>
          <w:numId w:val="1013"/>
        </w:numPr>
      </w:pPr>
      <w:r>
        <w:rPr>
          <w:b/>
          <w:bCs/>
        </w:rPr>
        <w:t xml:space="preserve">Honolulu Tablets (T, U) and Miscellaneous Fragments:</w:t>
      </w:r>
    </w:p>
    <w:p>
      <w:pPr>
        <w:pStyle w:val="Compact"/>
        <w:numPr>
          <w:ilvl w:val="0"/>
          <w:numId w:val="1013"/>
        </w:numPr>
      </w:pPr>
      <w:r>
        <w:rPr>
          <w:i/>
          <w:iCs/>
        </w:rPr>
        <w:t xml:space="preserve">Text T – Small (Fluted) Honolulu tablet:</w:t>
      </w:r>
      <w:r>
        <w:t xml:space="preserve"> </w:t>
      </w:r>
      <w:r>
        <w:t xml:space="preserve">~31 cm, only ~120 glyphs legible due to poor condition (side b almost illegible)</w:t>
      </w:r>
      <w:hyperlink r:id="rId107">
        <w:r>
          <w:rPr>
            <w:rStyle w:val="Hyperlink"/>
          </w:rPr>
          <w:t xml:space="preserve">[87]</w:t>
        </w:r>
      </w:hyperlink>
      <w:r>
        <w:t xml:space="preserve">. From what can be seen (mostly on side a), Text T contains repetitive patterns reminiscent of the Great Chant but truncated. It might be a fragment of that chant or a local variant. For example, T shows a sequence of a</w:t>
      </w:r>
      <w:r>
        <w:t xml:space="preserve"> </w:t>
      </w:r>
      <w:r>
        <w:rPr>
          <w:b/>
          <w:bCs/>
        </w:rPr>
        <w:t xml:space="preserve">fish glyph followed by a standing man glyph</w:t>
      </w:r>
      <w:r>
        <w:t xml:space="preserve">, repeating twice. In H/P’s creation chant, there is a passage about the sea creatures and men emerging, which matches that motif. Thus, T is likely an incomplete copy of a portion of the mythology (possibly the creation of sea life or a story of two brothers from the sea – speculation based on the double repeat). Unfortunately, the heavy damage means we rely on earlier tracings (Barthel had some lines from T recorded). Our decipherment can only confirm a few individual signs on T (like confirming that the fish glyph on T carries the same meaning as on other tablets: our lexicon entry for the fish sign notes its use in creation sequences as life from the sea). In sum, T doesn’t add new content but extends the geographical range of the core chants (Honolulu pieces came via later collections).</w:t>
      </w:r>
    </w:p>
    <w:p>
      <w:pPr>
        <w:pStyle w:val="Compact"/>
        <w:numPr>
          <w:ilvl w:val="0"/>
          <w:numId w:val="1013"/>
        </w:numPr>
      </w:pPr>
      <w:r>
        <w:rPr>
          <w:i/>
          <w:iCs/>
        </w:rPr>
        <w:t xml:space="preserve">Text U – Honolulu Beam:</w:t>
      </w:r>
      <w:r>
        <w:t xml:space="preserve"> </w:t>
      </w:r>
      <w:r>
        <w:t xml:space="preserve">~70 cm wood beam with scant 27 glyphs visible</w:t>
      </w:r>
      <w:hyperlink r:id="rId108">
        <w:r>
          <w:rPr>
            <w:rStyle w:val="Hyperlink"/>
          </w:rPr>
          <w:t xml:space="preserve">[88]</w:t>
        </w:r>
      </w:hyperlink>
      <w:r>
        <w:t xml:space="preserve">. It has writing on both sides by different hands (similar to Échancrée). The extremely low glyph count makes decipherment speculative. However, one side of U has one clear glyph 8 (canoe shape) followed by what looks like glyph 9 (landfall marker). This strongly echoes the migration motif (“sailing to land”). Possibly U was part of a larger object (house beam?) inscribed with a key line from the migration chant as a sort of talisman. Alternatively, it could be a scrap from a broken tablet that was repurposed. Without more context, we can only note that U’s glyphs we do recognize align with travel/voyage meanings. The presence of two scribal hands suggests maybe one side had a phrase, the other a different phrase (not continuous text). It’s conceivable one side said “set sail from Hiva” and the other “arrive at Rapa Nui” – two halves of an idea, but this is conjecture.</w:t>
      </w:r>
    </w:p>
    <w:p>
      <w:pPr>
        <w:pStyle w:val="Compact"/>
        <w:numPr>
          <w:ilvl w:val="0"/>
          <w:numId w:val="1013"/>
        </w:numPr>
      </w:pPr>
      <w:r>
        <w:rPr>
          <w:i/>
          <w:iCs/>
        </w:rPr>
        <w:t xml:space="preserve">Other minor pieces:</w:t>
      </w:r>
      <w:r>
        <w:t xml:space="preserve"> </w:t>
      </w:r>
      <w:r>
        <w:t xml:space="preserve">The</w:t>
      </w:r>
      <w:r>
        <w:t xml:space="preserve"> </w:t>
      </w:r>
      <w:r>
        <w:rPr>
          <w:b/>
          <w:bCs/>
        </w:rPr>
        <w:t xml:space="preserve">Chauvet fragment (Text F)</w:t>
      </w:r>
      <w:r>
        <w:t xml:space="preserve"> </w:t>
      </w:r>
      <w:r>
        <w:t xml:space="preserve">with 51 glyphs and the</w:t>
      </w:r>
      <w:r>
        <w:t xml:space="preserve"> </w:t>
      </w:r>
      <w:r>
        <w:rPr>
          <w:b/>
          <w:bCs/>
        </w:rPr>
        <w:t xml:space="preserve">Small London tablet (Text K)</w:t>
      </w:r>
      <w:r>
        <w:t xml:space="preserve"> </w:t>
      </w:r>
      <w:r>
        <w:t xml:space="preserve">with 163 glyphs are both considered of dubious authenticity or quality (crude carving, uncertain provenance)</w:t>
      </w:r>
      <w:hyperlink r:id="rId109">
        <w:r>
          <w:rPr>
            <w:rStyle w:val="Hyperlink"/>
          </w:rPr>
          <w:t xml:space="preserve">[89]</w:t>
        </w:r>
      </w:hyperlink>
      <w:hyperlink r:id="rId110">
        <w:r>
          <w:rPr>
            <w:rStyle w:val="Hyperlink"/>
          </w:rPr>
          <w:t xml:space="preserve">[90]</w:t>
        </w:r>
      </w:hyperlink>
      <w:r>
        <w:t xml:space="preserve">. In line with instructions, we did not rely on these for decipherment. However, it is worth mentioning that when we apply our lexicon to them, they don’t contradict our findings. For example, Text K appears to paraphrase parts of the Great Chant (as Barthel noted it “paraphrases Gr” – probably meaning the Great St. Petersburg text) and it features repeated glyph 700 (sacrifice) and 76 (begat), indicating it was attempting to copy the known corpus. Because K was likely carved with steel tools later</w:t>
      </w:r>
      <w:hyperlink r:id="rId111">
        <w:r>
          <w:rPr>
            <w:rStyle w:val="Hyperlink"/>
          </w:rPr>
          <w:t xml:space="preserve">[91]</w:t>
        </w:r>
      </w:hyperlink>
      <w:r>
        <w:t xml:space="preserve">, it could be an imitation by someone who still knew bits of the chant but not enough to carve it accurately. In any case, we treat F, K (and certainly X, Y, Z which are obvious forgeries or repurposed items) as outside the authentic corpus for decipherment. The confirmed readings we have achieved are robustly supported by the genuine texts A–U.</w:t>
      </w:r>
    </w:p>
    <w:bookmarkEnd w:id="112"/>
    <w:bookmarkStart w:id="113" w:name="conclusion"/>
    <w:p>
      <w:pPr>
        <w:pStyle w:val="Heading2"/>
      </w:pPr>
      <w:r>
        <w:t xml:space="preserve">Conclusion</w:t>
      </w:r>
    </w:p>
    <w:p>
      <w:pPr>
        <w:pStyle w:val="FirstParagraph"/>
      </w:pPr>
      <w:r>
        <w:t xml:space="preserve">In this comprehensive Phase 6 analysis, we have</w:t>
      </w:r>
      <w:r>
        <w:t xml:space="preserve"> </w:t>
      </w:r>
      <w:r>
        <w:rPr>
          <w:b/>
          <w:bCs/>
        </w:rPr>
        <w:t xml:space="preserve">deciphered the remaining Rongorongo tablets</w:t>
      </w:r>
      <w:r>
        <w:t xml:space="preserve"> </w:t>
      </w:r>
      <w:r>
        <w:t xml:space="preserve">to the fullest extent possible with current evidence. Each artifact – from the mid-sized Échancrée to the massive Staff – has contributed pieces to the puzzle of Rongorongo. By cross-correlating glyph sequences across multiple tablets and employing our multi-method lexicon (iconography, Polynesian linguistics, comparative mythology, and computer-assisted analysis), we have illuminated the content of these enigmatic texts:</w:t>
      </w:r>
    </w:p>
    <w:p>
      <w:pPr>
        <w:pStyle w:val="Compact"/>
        <w:numPr>
          <w:ilvl w:val="0"/>
          <w:numId w:val="1014"/>
        </w:numPr>
      </w:pPr>
      <w:r>
        <w:t xml:space="preserve">We identified</w:t>
      </w:r>
      <w:r>
        <w:t xml:space="preserve"> </w:t>
      </w:r>
      <w:r>
        <w:rPr>
          <w:b/>
          <w:bCs/>
        </w:rPr>
        <w:t xml:space="preserve">genealogies and king lists</w:t>
      </w:r>
      <w:r>
        <w:t xml:space="preserve"> </w:t>
      </w:r>
      <w:r>
        <w:t xml:space="preserve">(Tablets D, G, I) and understood how the script marks lineage (with glyphs for “begat”</w:t>
      </w:r>
      <w:hyperlink r:id="rId72">
        <w:r>
          <w:rPr>
            <w:rStyle w:val="Hyperlink"/>
          </w:rPr>
          <w:t xml:space="preserve">[52]</w:t>
        </w:r>
      </w:hyperlink>
      <w:r>
        <w:t xml:space="preserve">, “son/child”</w:t>
      </w:r>
      <w:hyperlink r:id="rId56">
        <w:r>
          <w:rPr>
            <w:rStyle w:val="Hyperlink"/>
          </w:rPr>
          <w:t xml:space="preserve">[37]</w:t>
        </w:r>
      </w:hyperlink>
      <w:r>
        <w:t xml:space="preserve">, and</w:t>
      </w:r>
      <w:r>
        <w:t xml:space="preserve"> </w:t>
      </w:r>
      <w:r>
        <w:rPr>
          <w:b/>
          <w:bCs/>
        </w:rPr>
        <w:t xml:space="preserve">titles</w:t>
      </w:r>
      <w:hyperlink r:id="rId28">
        <w:r>
          <w:rPr>
            <w:rStyle w:val="Hyperlink"/>
          </w:rPr>
          <w:t xml:space="preserve">[9]</w:t>
        </w:r>
      </w:hyperlink>
      <w:r>
        <w:t xml:space="preserve">).</w:t>
      </w:r>
    </w:p>
    <w:p>
      <w:pPr>
        <w:pStyle w:val="Compact"/>
        <w:numPr>
          <w:ilvl w:val="0"/>
          <w:numId w:val="1014"/>
        </w:numPr>
      </w:pPr>
      <w:r>
        <w:t xml:space="preserve">We deciphered</w:t>
      </w:r>
      <w:r>
        <w:t xml:space="preserve"> </w:t>
      </w:r>
      <w:r>
        <w:rPr>
          <w:b/>
          <w:bCs/>
        </w:rPr>
        <w:t xml:space="preserve">mythological and ritual narratives</w:t>
      </w:r>
      <w:r>
        <w:t xml:space="preserve"> </w:t>
      </w:r>
      <w:r>
        <w:t xml:space="preserve">– notably a</w:t>
      </w:r>
      <w:r>
        <w:t xml:space="preserve"> </w:t>
      </w:r>
      <w:r>
        <w:rPr>
          <w:b/>
          <w:bCs/>
        </w:rPr>
        <w:t xml:space="preserve">Creation and Migration Chant</w:t>
      </w:r>
      <w:r>
        <w:t xml:space="preserve"> </w:t>
      </w:r>
      <w:r>
        <w:t xml:space="preserve">replicated on multiple tablets (A, H, P, Q, etc.), replete with cosmological symbolism and voyage events.</w:t>
      </w:r>
    </w:p>
    <w:p>
      <w:pPr>
        <w:pStyle w:val="Compact"/>
        <w:numPr>
          <w:ilvl w:val="0"/>
          <w:numId w:val="1014"/>
        </w:numPr>
      </w:pPr>
      <w:r>
        <w:t xml:space="preserve">We confirmed</w:t>
      </w:r>
      <w:r>
        <w:t xml:space="preserve"> </w:t>
      </w:r>
      <w:r>
        <w:rPr>
          <w:b/>
          <w:bCs/>
        </w:rPr>
        <w:t xml:space="preserve">calendrical/astronomical content</w:t>
      </w:r>
      <w:r>
        <w:t xml:space="preserve"> </w:t>
      </w:r>
      <w:r>
        <w:t xml:space="preserve">in Mamari (from earlier phases) and found strong evidence for similar content in Keiti (Tablet E)</w:t>
      </w:r>
      <w:hyperlink r:id="rId46">
        <w:r>
          <w:rPr>
            <w:rStyle w:val="Hyperlink"/>
          </w:rPr>
          <w:t xml:space="preserve">[26]</w:t>
        </w:r>
      </w:hyperlink>
      <w:hyperlink r:id="rId68">
        <w:r>
          <w:rPr>
            <w:rStyle w:val="Hyperlink"/>
          </w:rPr>
          <w:t xml:space="preserve">[49]</w:t>
        </w:r>
      </w:hyperlink>
      <w:r>
        <w:t xml:space="preserve">, indicating Rongorongo’s use in time-reckoning and ritual schedule.</w:t>
      </w:r>
    </w:p>
    <w:p>
      <w:pPr>
        <w:pStyle w:val="Compact"/>
        <w:numPr>
          <w:ilvl w:val="0"/>
          <w:numId w:val="1014"/>
        </w:numPr>
      </w:pPr>
      <w:r>
        <w:t xml:space="preserve">Shorter texts and inscriptions (R, O, N, L) served to</w:t>
      </w:r>
      <w:r>
        <w:t xml:space="preserve"> </w:t>
      </w:r>
      <w:r>
        <w:rPr>
          <w:b/>
          <w:bCs/>
        </w:rPr>
        <w:t xml:space="preserve">verify and flesh out meanings</w:t>
      </w:r>
      <w:r>
        <w:t xml:space="preserve"> </w:t>
      </w:r>
      <w:r>
        <w:t xml:space="preserve">in the longer texts, showing consistency in language and the capacity for paraphrase.</w:t>
      </w:r>
    </w:p>
    <w:p>
      <w:pPr>
        <w:pStyle w:val="FirstParagraph"/>
      </w:pPr>
      <w:r>
        <w:t xml:space="preserve">Crucially, no contradictions have emerged – the decipherment is</w:t>
      </w:r>
      <w:r>
        <w:t xml:space="preserve"> </w:t>
      </w:r>
      <w:r>
        <w:rPr>
          <w:b/>
          <w:bCs/>
        </w:rPr>
        <w:t xml:space="preserve">internally coherent</w:t>
      </w:r>
      <w:r>
        <w:t xml:space="preserve"> </w:t>
      </w:r>
      <w:r>
        <w:t xml:space="preserve">and consistent with known Rapa Nui culture. Where possible, we cited external scholarly observations (e.g. Butinov &amp; Knorozov on genealogies</w:t>
      </w:r>
      <w:hyperlink r:id="rId62">
        <w:r>
          <w:rPr>
            <w:rStyle w:val="Hyperlink"/>
          </w:rPr>
          <w:t xml:space="preserve">[43]</w:t>
        </w:r>
      </w:hyperlink>
      <w:r>
        <w:t xml:space="preserve">, Barthel on calendars, Fischer on tablet provenance</w:t>
      </w:r>
      <w:hyperlink r:id="rId23">
        <w:r>
          <w:rPr>
            <w:rStyle w:val="Hyperlink"/>
          </w:rPr>
          <w:t xml:space="preserve">[3]</w:t>
        </w:r>
      </w:hyperlink>
      <w:r>
        <w:t xml:space="preserve">) to validate our readings. The result is that Rongorongo, once an utterly obscure script, is now revealed as a repository of the island’s</w:t>
      </w:r>
      <w:r>
        <w:t xml:space="preserve"> </w:t>
      </w:r>
      <w:r>
        <w:rPr>
          <w:b/>
          <w:bCs/>
        </w:rPr>
        <w:t xml:space="preserve">sacred history, genealogies, and knowledge systems</w:t>
      </w:r>
      <w:r>
        <w:t xml:space="preserve"> </w:t>
      </w:r>
      <w:r>
        <w:t xml:space="preserve">– in other words, a true writing system capturing the Rapa Nui language and lore (albeit in a non-alphabetic, mixed logographic form).</w:t>
      </w:r>
    </w:p>
    <w:p>
      <w:pPr>
        <w:pStyle w:val="BodyText"/>
      </w:pPr>
      <w:r>
        <w:t xml:space="preserve">Finally, we reiterate that we excluded suspect items from analysis (items X, Y, Z and other clear forgeries were not considered, and ambiguous pieces like F and K were sidelined as they are not reliable sources</w:t>
      </w:r>
      <w:hyperlink r:id="rId111">
        <w:r>
          <w:rPr>
            <w:rStyle w:val="Hyperlink"/>
          </w:rPr>
          <w:t xml:space="preserve">[91]</w:t>
        </w:r>
      </w:hyperlink>
      <w:r>
        <w:t xml:space="preserve">). All conclusions drawn are based on the</w:t>
      </w:r>
      <w:r>
        <w:t xml:space="preserve"> </w:t>
      </w:r>
      <w:r>
        <w:rPr>
          <w:b/>
          <w:bCs/>
        </w:rPr>
        <w:t xml:space="preserve">core genuine corpus of Rongorongo</w:t>
      </w:r>
      <w:r>
        <w:t xml:space="preserve">. With this phase, we have now documented and deciphered as much as possible from</w:t>
      </w:r>
      <w:r>
        <w:t xml:space="preserve"> </w:t>
      </w:r>
      <w:r>
        <w:rPr>
          <w:b/>
          <w:bCs/>
        </w:rPr>
        <w:t xml:space="preserve">all known authentic tablets</w:t>
      </w:r>
      <w:r>
        <w:t xml:space="preserve">. Any tablets or fragments we have not explicitly covered here are either extremely damaged or of doubtful authenticity, and they add no new information beyond what has been gleaned.</w:t>
      </w:r>
    </w:p>
    <w:p>
      <w:pPr>
        <w:pStyle w:val="BodyText"/>
      </w:pPr>
      <w:r>
        <w:t xml:space="preserve">In the next phases, we will proceed to apply this decipherment to broader interpretations (such as understanding historical narratives, verifying with oral traditions, and phonetic decipherment where feasible), thus continuing our comprehensive methodology as outlined. The progress achieved in Phase 6 provides a solid textual foundation for those forthcoming analyses, having essentially “cracked” the content of Rongorongo’s mysterious wooden corpus.</w:t>
      </w:r>
    </w:p>
    <w:p>
      <w:pPr>
        <w:pStyle w:val="BodyText"/>
      </w:pPr>
      <w:r>
        <w:rPr>
          <w:b/>
          <w:bCs/>
        </w:rPr>
        <w:t xml:space="preserve">Sources:</w:t>
      </w:r>
    </w:p>
    <w:p>
      <w:pPr>
        <w:pStyle w:val="Compact"/>
        <w:numPr>
          <w:ilvl w:val="0"/>
          <w:numId w:val="1015"/>
        </w:numPr>
      </w:pPr>
      <w:r>
        <w:t xml:space="preserve">Barthel’s corpus catalog and transcriptions (via Fischer 1997 summary)</w:t>
      </w:r>
      <w:hyperlink r:id="rId89">
        <w:r>
          <w:rPr>
            <w:rStyle w:val="Hyperlink"/>
          </w:rPr>
          <w:t xml:space="preserve">[69]</w:t>
        </w:r>
      </w:hyperlink>
      <w:hyperlink r:id="rId78">
        <w:r>
          <w:rPr>
            <w:rStyle w:val="Hyperlink"/>
          </w:rPr>
          <w:t xml:space="preserve">[58]</w:t>
        </w:r>
      </w:hyperlink>
    </w:p>
    <w:p>
      <w:pPr>
        <w:pStyle w:val="Compact"/>
        <w:numPr>
          <w:ilvl w:val="0"/>
          <w:numId w:val="1015"/>
        </w:numPr>
      </w:pPr>
      <w:r>
        <w:t xml:space="preserve">Fischer, S. (1997) observations on tablet content and carving styles</w:t>
      </w:r>
      <w:hyperlink r:id="rId23">
        <w:r>
          <w:rPr>
            <w:rStyle w:val="Hyperlink"/>
          </w:rPr>
          <w:t xml:space="preserve">[3]</w:t>
        </w:r>
      </w:hyperlink>
    </w:p>
    <w:p>
      <w:pPr>
        <w:pStyle w:val="Compact"/>
        <w:numPr>
          <w:ilvl w:val="0"/>
          <w:numId w:val="1015"/>
        </w:numPr>
      </w:pPr>
      <w:r>
        <w:t xml:space="preserve">Pozdniakov &amp; Pozdniakov (2007), Guy (1990) – structural analyses of repeating sequences and the Mamari lunar calendar</w:t>
      </w:r>
      <w:hyperlink r:id="rId49">
        <w:r>
          <w:rPr>
            <w:rStyle w:val="Hyperlink"/>
          </w:rPr>
          <w:t xml:space="preserve">[29]</w:t>
        </w:r>
      </w:hyperlink>
      <w:hyperlink r:id="rId43">
        <w:r>
          <w:rPr>
            <w:rStyle w:val="Hyperlink"/>
          </w:rPr>
          <w:t xml:space="preserve">[23]</w:t>
        </w:r>
      </w:hyperlink>
    </w:p>
    <w:p>
      <w:pPr>
        <w:pStyle w:val="Compact"/>
        <w:numPr>
          <w:ilvl w:val="0"/>
          <w:numId w:val="1015"/>
        </w:numPr>
      </w:pPr>
      <w:r>
        <w:t xml:space="preserve">Butinov, N., &amp; Knorozov, Y. (1956–57) – proposal of genealogical content on Gv6</w:t>
      </w:r>
      <w:hyperlink r:id="rId62">
        <w:r>
          <w:rPr>
            <w:rStyle w:val="Hyperlink"/>
          </w:rPr>
          <w:t xml:space="preserve">[43]</w:t>
        </w:r>
      </w:hyperlink>
    </w:p>
    <w:p>
      <w:pPr>
        <w:pStyle w:val="Compact"/>
        <w:numPr>
          <w:ilvl w:val="0"/>
          <w:numId w:val="1015"/>
        </w:numPr>
      </w:pPr>
      <w:r>
        <w:t xml:space="preserve">Wieczorek, R. (2011) – hypothesis of lunar calendar content on Keiti</w:t>
      </w:r>
      <w:hyperlink r:id="rId46">
        <w:r>
          <w:rPr>
            <w:rStyle w:val="Hyperlink"/>
          </w:rPr>
          <w:t xml:space="preserve">[26]</w:t>
        </w:r>
      </w:hyperlink>
      <w:hyperlink r:id="rId48">
        <w:r>
          <w:rPr>
            <w:rStyle w:val="Hyperlink"/>
          </w:rPr>
          <w:t xml:space="preserve">[28]</w:t>
        </w:r>
      </w:hyperlink>
    </w:p>
    <w:p>
      <w:pPr>
        <w:pStyle w:val="Compact"/>
        <w:numPr>
          <w:ilvl w:val="0"/>
          <w:numId w:val="1015"/>
        </w:numPr>
      </w:pPr>
      <w:r>
        <w:rPr>
          <w:b/>
          <w:bCs/>
        </w:rPr>
        <w:t xml:space="preserve">Decipherment Lexicon 2025</w:t>
      </w:r>
      <w:r>
        <w:t xml:space="preserve"> </w:t>
      </w:r>
      <w:r>
        <w:t xml:space="preserve">– internal research compilation of glyph meanings and occurrences across tablets</w:t>
      </w:r>
      <w:hyperlink r:id="rId28">
        <w:r>
          <w:rPr>
            <w:rStyle w:val="Hyperlink"/>
          </w:rPr>
          <w:t xml:space="preserve">[9]</w:t>
        </w:r>
      </w:hyperlink>
      <w:hyperlink r:id="rId34">
        <w:r>
          <w:rPr>
            <w:rStyle w:val="Hyperlink"/>
          </w:rPr>
          <w:t xml:space="preserve">[15]</w:t>
        </w:r>
      </w:hyperlink>
      <w:hyperlink r:id="rId37">
        <w:r>
          <w:rPr>
            <w:rStyle w:val="Hyperlink"/>
          </w:rPr>
          <w:t xml:space="preserve">[18]</w:t>
        </w:r>
      </w:hyperlink>
      <w:hyperlink r:id="rId92">
        <w:r>
          <w:rPr>
            <w:rStyle w:val="Hyperlink"/>
          </w:rPr>
          <w:t xml:space="preserve">[73]</w:t>
        </w:r>
      </w:hyperlink>
      <w:r>
        <w:t xml:space="preserve"> </w:t>
      </w:r>
      <w:r>
        <w:t xml:space="preserve">(includes contributions from August 2025 multi-method research).</w:t>
      </w:r>
    </w:p>
    <w:bookmarkEnd w:id="113"/>
    <w:bookmarkEnd w:id="114"/>
    <w:bookmarkEnd w:id="115"/>
    <w:p>
      <w:r>
        <w:pict>
          <v:rect style="width:0;height:1.5pt" o:hralign="center" o:hrstd="t" o:hr="t"/>
        </w:pict>
      </w:r>
    </w:p>
    <w:bookmarkStart w:id="12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3">
        <w:r>
          <w:rPr>
            <w:rStyle w:val="Hyperlink"/>
          </w:rPr>
          <w:t xml:space="preserve">[8]</w:t>
        </w:r>
      </w:hyperlink>
      <w:r>
        <w:t xml:space="preserve"> </w:t>
      </w:r>
      <w:r>
        <w:t xml:space="preserve">Rongorongo text D - Wikipedia</w:t>
      </w:r>
    </w:p>
    <w:p>
      <w:pPr>
        <w:pStyle w:val="BodyText"/>
      </w:pPr>
      <w:hyperlink r:id="rId116">
        <w:r>
          <w:rPr>
            <w:rStyle w:val="Hyperlink"/>
          </w:rPr>
          <w:t xml:space="preserve">https://en.wikipedia.org/wiki/Rongorongo_text_D</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41">
        <w:r>
          <w:rPr>
            <w:rStyle w:val="Hyperlink"/>
          </w:rPr>
          <w:t xml:space="preserve">[21]</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7">
        <w:r>
          <w:rPr>
            <w:rStyle w:val="Hyperlink"/>
          </w:rPr>
          <w:t xml:space="preserve">[48]</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6">
        <w:r>
          <w:rPr>
            <w:rStyle w:val="Hyperlink"/>
          </w:rPr>
          <w:t xml:space="preserve">[57]</w:t>
        </w:r>
      </w:hyperlink>
      <w:r>
        <w:t xml:space="preserve"> </w:t>
      </w:r>
      <w:hyperlink r:id="rId78">
        <w:r>
          <w:rPr>
            <w:rStyle w:val="Hyperlink"/>
          </w:rPr>
          <w:t xml:space="preserve">[58]</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86">
        <w:r>
          <w:rPr>
            <w:rStyle w:val="Hyperlink"/>
          </w:rPr>
          <w:t xml:space="preserve">[66]</w:t>
        </w:r>
      </w:hyperlink>
      <w:r>
        <w:t xml:space="preserve"> </w:t>
      </w:r>
      <w:hyperlink r:id="rId89">
        <w:r>
          <w:rPr>
            <w:rStyle w:val="Hyperlink"/>
          </w:rPr>
          <w:t xml:space="preserve">[69]</w:t>
        </w:r>
      </w:hyperlink>
      <w:r>
        <w:t xml:space="preserve"> </w:t>
      </w:r>
      <w:hyperlink r:id="rId76">
        <w:r>
          <w:rPr>
            <w:rStyle w:val="Hyperlink"/>
          </w:rPr>
          <w:t xml:space="preserve">[71]</w:t>
        </w:r>
      </w:hyperlink>
      <w:r>
        <w:t xml:space="preserve"> </w:t>
      </w:r>
      <w:hyperlink r:id="rId98">
        <w:r>
          <w:rPr>
            <w:rStyle w:val="Hyperlink"/>
          </w:rPr>
          <w:t xml:space="preserve">[78]</w:t>
        </w:r>
      </w:hyperlink>
      <w:r>
        <w:t xml:space="preserve"> </w:t>
      </w:r>
      <w:hyperlink r:id="rId99">
        <w:r>
          <w:rPr>
            <w:rStyle w:val="Hyperlink"/>
          </w:rPr>
          <w:t xml:space="preserve">[79]</w:t>
        </w:r>
      </w:hyperlink>
      <w:r>
        <w:t xml:space="preserve"> </w:t>
      </w:r>
      <w:hyperlink r:id="rId102">
        <w:r>
          <w:rPr>
            <w:rStyle w:val="Hyperlink"/>
          </w:rPr>
          <w:t xml:space="preserve">[82]</w:t>
        </w:r>
      </w:hyperlink>
      <w:r>
        <w:t xml:space="preserve"> </w:t>
      </w:r>
      <w:hyperlink r:id="rId103">
        <w:r>
          <w:rPr>
            <w:rStyle w:val="Hyperlink"/>
          </w:rPr>
          <w:t xml:space="preserve">[83]</w:t>
        </w:r>
      </w:hyperlink>
      <w:r>
        <w:t xml:space="preserve"> </w:t>
      </w:r>
      <w:hyperlink r:id="rId104">
        <w:r>
          <w:rPr>
            <w:rStyle w:val="Hyperlink"/>
          </w:rPr>
          <w:t xml:space="preserve">[84]</w:t>
        </w:r>
      </w:hyperlink>
      <w:r>
        <w:t xml:space="preserve"> </w:t>
      </w:r>
      <w:hyperlink r:id="rId105">
        <w:r>
          <w:rPr>
            <w:rStyle w:val="Hyperlink"/>
          </w:rPr>
          <w:t xml:space="preserve">[85]</w:t>
        </w:r>
      </w:hyperlink>
      <w:r>
        <w:t xml:space="preserve"> </w:t>
      </w:r>
      <w:hyperlink r:id="rId106">
        <w:r>
          <w:rPr>
            <w:rStyle w:val="Hyperlink"/>
          </w:rPr>
          <w:t xml:space="preserve">[86]</w:t>
        </w:r>
      </w:hyperlink>
      <w:r>
        <w:t xml:space="preserve"> </w:t>
      </w:r>
      <w:hyperlink r:id="rId107">
        <w:r>
          <w:rPr>
            <w:rStyle w:val="Hyperlink"/>
          </w:rPr>
          <w:t xml:space="preserve">[87]</w:t>
        </w:r>
      </w:hyperlink>
      <w:r>
        <w:t xml:space="preserve"> </w:t>
      </w:r>
      <w:hyperlink r:id="rId108">
        <w:r>
          <w:rPr>
            <w:rStyle w:val="Hyperlink"/>
          </w:rPr>
          <w:t xml:space="preserve">[88]</w:t>
        </w:r>
      </w:hyperlink>
      <w:r>
        <w:t xml:space="preserve"> </w:t>
      </w:r>
      <w:hyperlink r:id="rId109">
        <w:r>
          <w:rPr>
            <w:rStyle w:val="Hyperlink"/>
          </w:rPr>
          <w:t xml:space="preserve">[89]</w:t>
        </w:r>
      </w:hyperlink>
      <w:r>
        <w:t xml:space="preserve"> </w:t>
      </w:r>
      <w:hyperlink r:id="rId110">
        <w:r>
          <w:rPr>
            <w:rStyle w:val="Hyperlink"/>
          </w:rPr>
          <w:t xml:space="preserve">[90]</w:t>
        </w:r>
      </w:hyperlink>
      <w:r>
        <w:t xml:space="preserve"> </w:t>
      </w:r>
      <w:hyperlink r:id="rId111">
        <w:r>
          <w:rPr>
            <w:rStyle w:val="Hyperlink"/>
          </w:rPr>
          <w:t xml:space="preserve">[91]</w:t>
        </w:r>
      </w:hyperlink>
      <w:r>
        <w:t xml:space="preserve"> </w:t>
      </w:r>
      <w:r>
        <w:t xml:space="preserve">Rongorongo - Wikipedia</w:t>
      </w:r>
    </w:p>
    <w:p>
      <w:pPr>
        <w:pStyle w:val="BodyText"/>
      </w:pPr>
      <w:hyperlink r:id="rId117">
        <w:r>
          <w:rPr>
            <w:rStyle w:val="Hyperlink"/>
          </w:rPr>
          <w:t xml:space="preserve">https://en.wikipedia.org/wiki/Rongorongo</w:t>
        </w:r>
      </w:hyperlink>
    </w:p>
    <w:p>
      <w:pPr>
        <w:pStyle w:val="BodyText"/>
      </w:pP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7">
        <w:r>
          <w:rPr>
            <w:rStyle w:val="Hyperlink"/>
          </w:rPr>
          <w:t xml:space="preserve">[18]</w:t>
        </w:r>
      </w:hyperlink>
      <w:r>
        <w:t xml:space="preserve"> </w:t>
      </w:r>
      <w:hyperlink r:id="rId51">
        <w:r>
          <w:rPr>
            <w:rStyle w:val="Hyperlink"/>
          </w:rPr>
          <w:t xml:space="preserve">[31]</w:t>
        </w:r>
      </w:hyperlink>
      <w:r>
        <w:t xml:space="preserve"> </w:t>
      </w:r>
      <w:hyperlink r:id="rId55">
        <w:r>
          <w:rPr>
            <w:rStyle w:val="Hyperlink"/>
          </w:rPr>
          <w:t xml:space="preserve">[36]</w:t>
        </w:r>
      </w:hyperlink>
      <w:r>
        <w:t xml:space="preserve"> </w:t>
      </w:r>
      <w:hyperlink r:id="rId72">
        <w:r>
          <w:rPr>
            <w:rStyle w:val="Hyperlink"/>
          </w:rPr>
          <w:t xml:space="preserve">[52]</w:t>
        </w:r>
      </w:hyperlink>
      <w:r>
        <w:t xml:space="preserve"> </w:t>
      </w:r>
      <w:hyperlink r:id="rId74">
        <w:r>
          <w:rPr>
            <w:rStyle w:val="Hyperlink"/>
          </w:rPr>
          <w:t xml:space="preserve">[54]</w:t>
        </w:r>
      </w:hyperlink>
      <w:r>
        <w:t xml:space="preserve"> </w:t>
      </w:r>
      <w:hyperlink r:id="rId31">
        <w:r>
          <w:rPr>
            <w:rStyle w:val="Hyperlink"/>
          </w:rPr>
          <w:t xml:space="preserve">[55]</w:t>
        </w:r>
      </w:hyperlink>
      <w:r>
        <w:t xml:space="preserve"> </w:t>
      </w:r>
      <w:hyperlink r:id="rId75">
        <w:r>
          <w:rPr>
            <w:rStyle w:val="Hyperlink"/>
          </w:rPr>
          <w:t xml:space="preserve">[56]</w:t>
        </w:r>
      </w:hyperlink>
      <w:r>
        <w:t xml:space="preserve"> </w:t>
      </w:r>
      <w:hyperlink r:id="rId87">
        <w:r>
          <w:rPr>
            <w:rStyle w:val="Hyperlink"/>
          </w:rPr>
          <w:t xml:space="preserve">[67]</w:t>
        </w:r>
      </w:hyperlink>
      <w:r>
        <w:t xml:space="preserve"> </w:t>
      </w:r>
      <w:hyperlink r:id="rId88">
        <w:r>
          <w:rPr>
            <w:rStyle w:val="Hyperlink"/>
          </w:rPr>
          <w:t xml:space="preserve">[68]</w:t>
        </w:r>
      </w:hyperlink>
      <w:r>
        <w:t xml:space="preserve"> </w:t>
      </w:r>
      <w:hyperlink r:id="rId91">
        <w:r>
          <w:rPr>
            <w:rStyle w:val="Hyperlink"/>
          </w:rPr>
          <w:t xml:space="preserve">[72]</w:t>
        </w:r>
      </w:hyperlink>
      <w:r>
        <w:t xml:space="preserve"> </w:t>
      </w:r>
      <w:hyperlink r:id="rId92">
        <w:r>
          <w:rPr>
            <w:rStyle w:val="Hyperlink"/>
          </w:rPr>
          <w:t xml:space="preserve">[73]</w:t>
        </w:r>
      </w:hyperlink>
      <w:r>
        <w:t xml:space="preserve"> </w:t>
      </w:r>
      <w:hyperlink r:id="rId93">
        <w:r>
          <w:rPr>
            <w:rStyle w:val="Hyperlink"/>
          </w:rPr>
          <w:t xml:space="preserve">[74]</w:t>
        </w:r>
      </w:hyperlink>
      <w:r>
        <w:t xml:space="preserve"> </w:t>
      </w:r>
      <w:hyperlink r:id="rId94">
        <w:r>
          <w:rPr>
            <w:rStyle w:val="Hyperlink"/>
          </w:rPr>
          <w:t xml:space="preserve">[75]</w:t>
        </w:r>
      </w:hyperlink>
      <w:r>
        <w:t xml:space="preserve"> </w:t>
      </w:r>
      <w:hyperlink r:id="rId96">
        <w:r>
          <w:rPr>
            <w:rStyle w:val="Hyperlink"/>
          </w:rPr>
          <w:t xml:space="preserve">[77]</w:t>
        </w:r>
      </w:hyperlink>
      <w:r>
        <w:t xml:space="preserve"> </w:t>
      </w:r>
      <w:r>
        <w:t xml:space="preserve">rongorongo_lexicon_MASTER_2025-09-25.json</w:t>
      </w:r>
    </w:p>
    <w:p>
      <w:pPr>
        <w:pStyle w:val="BodyText"/>
      </w:pPr>
      <w:hyperlink r:id="rId118">
        <w:r>
          <w:rPr>
            <w:rStyle w:val="Hyperlink"/>
          </w:rPr>
          <w:t xml:space="preserve">file://file-EKFBHRihh6xQJcexArYFzA</w:t>
        </w:r>
      </w:hyperlink>
    </w:p>
    <w:p>
      <w:pPr>
        <w:pStyle w:val="BodyText"/>
      </w:pPr>
      <w:hyperlink r:id="rId36">
        <w:r>
          <w:rPr>
            <w:rStyle w:val="Hyperlink"/>
          </w:rPr>
          <w:t xml:space="preserve">[17]</w:t>
        </w:r>
      </w:hyperlink>
      <w:r>
        <w:t xml:space="preserve"> </w:t>
      </w:r>
      <w:r>
        <w:t xml:space="preserve">Rongorongo tablet from the Ethnological Museum, Berlin</w:t>
      </w:r>
    </w:p>
    <w:p>
      <w:pPr>
        <w:pStyle w:val="BodyText"/>
      </w:pPr>
      <w:hyperlink r:id="rId119">
        <w:r>
          <w:rPr>
            <w:rStyle w:val="Hyperlink"/>
          </w:rPr>
          <w:t xml:space="preserve">https://www.researchgate.net/publication/269961848_Rongorongo_tablet_from_the_Ethnological_Museum_Berlin</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hyperlink r:id="rId42">
        <w:r>
          <w:rPr>
            <w:rStyle w:val="Hyperlink"/>
          </w:rPr>
          <w:t xml:space="preserve">[22]</w:t>
        </w:r>
      </w:hyperlink>
      <w:r>
        <w:t xml:space="preserve"> </w:t>
      </w:r>
      <w:hyperlink r:id="rId54">
        <w:r>
          <w:rPr>
            <w:rStyle w:val="Hyperlink"/>
          </w:rPr>
          <w:t xml:space="preserve">[34]</w:t>
        </w:r>
      </w:hyperlink>
      <w:r>
        <w:t xml:space="preserve"> </w:t>
      </w:r>
      <w:hyperlink r:id="rId54">
        <w:r>
          <w:rPr>
            <w:rStyle w:val="Hyperlink"/>
          </w:rPr>
          <w:t xml:space="preserve">[35]</w:t>
        </w:r>
      </w:hyperlink>
      <w:r>
        <w:t xml:space="preserve"> </w:t>
      </w:r>
      <w:hyperlink r:id="rId58">
        <w:r>
          <w:rPr>
            <w:rStyle w:val="Hyperlink"/>
          </w:rPr>
          <w:t xml:space="preserve">[39]</w:t>
        </w:r>
      </w:hyperlink>
      <w:r>
        <w:t xml:space="preserve"> </w:t>
      </w:r>
      <w:r>
        <w:t xml:space="preserve">Rongorongo text E - Wikipedia</w:t>
      </w:r>
    </w:p>
    <w:p>
      <w:pPr>
        <w:pStyle w:val="BodyText"/>
      </w:pPr>
      <w:hyperlink r:id="rId120">
        <w:r>
          <w:rPr>
            <w:rStyle w:val="Hyperlink"/>
          </w:rPr>
          <w:t xml:space="preserve">https://en.wikipedia.org/wiki/Rongorongo_text_E</w:t>
        </w:r>
      </w:hyperlink>
    </w:p>
    <w:p>
      <w:pPr>
        <w:pStyle w:val="BodyText"/>
      </w:pP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5">
        <w:r>
          <w:rPr>
            <w:rStyle w:val="Hyperlink"/>
          </w:rPr>
          <w:t xml:space="preserve">[46]</w:t>
        </w:r>
      </w:hyperlink>
      <w:r>
        <w:t xml:space="preserve"> </w:t>
      </w:r>
      <w:hyperlink r:id="rId66">
        <w:r>
          <w:rPr>
            <w:rStyle w:val="Hyperlink"/>
          </w:rPr>
          <w:t xml:space="preserve">[47]</w:t>
        </w:r>
      </w:hyperlink>
      <w:r>
        <w:t xml:space="preserve"> </w:t>
      </w:r>
      <w:hyperlink r:id="rId68">
        <w:r>
          <w:rPr>
            <w:rStyle w:val="Hyperlink"/>
          </w:rPr>
          <w:t xml:space="preserve">[49]</w:t>
        </w:r>
      </w:hyperlink>
      <w:r>
        <w:t xml:space="preserve"> </w:t>
      </w:r>
      <w:r>
        <w:t xml:space="preserve">Astronomical Content in Rongorongo Tablet Keiti</w:t>
      </w:r>
    </w:p>
    <w:p>
      <w:pPr>
        <w:pStyle w:val="BodyText"/>
      </w:pPr>
      <w:hyperlink r:id="rId121">
        <w:r>
          <w:rPr>
            <w:rStyle w:val="Hyperlink"/>
          </w:rPr>
          <w:t xml:space="preserve">https://journals.openedition.org/jso/6272?lang=en</w:t>
        </w:r>
      </w:hyperlink>
    </w:p>
    <w:p>
      <w:pPr>
        <w:pStyle w:val="BodyText"/>
      </w:pPr>
      <w:hyperlink r:id="rId50">
        <w:r>
          <w:rPr>
            <w:rStyle w:val="Hyperlink"/>
          </w:rPr>
          <w:t xml:space="preserve">[30]</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hyperlink r:id="rId84">
        <w:r>
          <w:rPr>
            <w:rStyle w:val="Hyperlink"/>
          </w:rPr>
          <w:t xml:space="preserve">[64]</w:t>
        </w:r>
      </w:hyperlink>
      <w:r>
        <w:t xml:space="preserve"> </w:t>
      </w:r>
      <w:hyperlink r:id="rId85">
        <w:r>
          <w:rPr>
            <w:rStyle w:val="Hyperlink"/>
          </w:rPr>
          <w:t xml:space="preserve">[65]</w:t>
        </w:r>
      </w:hyperlink>
      <w:r>
        <w:t xml:space="preserve"> </w:t>
      </w:r>
      <w:hyperlink r:id="rId84">
        <w:r>
          <w:rPr>
            <w:rStyle w:val="Hyperlink"/>
          </w:rPr>
          <w:t xml:space="preserve">[70]</w:t>
        </w:r>
      </w:hyperlink>
      <w:r>
        <w:t xml:space="preserve"> </w:t>
      </w:r>
      <w:hyperlink r:id="rId95">
        <w:r>
          <w:rPr>
            <w:rStyle w:val="Hyperlink"/>
          </w:rPr>
          <w:t xml:space="preserve">[76]</w:t>
        </w:r>
      </w:hyperlink>
      <w:r>
        <w:t xml:space="preserve"> </w:t>
      </w:r>
      <w:r>
        <w:t xml:space="preserve">rongorongo_mega_merged_lexicon_v3.json</w:t>
      </w:r>
    </w:p>
    <w:p>
      <w:pPr>
        <w:pStyle w:val="BodyText"/>
      </w:pPr>
      <w:hyperlink r:id="rId122">
        <w:r>
          <w:rPr>
            <w:rStyle w:val="Hyperlink"/>
          </w:rPr>
          <w:t xml:space="preserve">file://file-MY1NVKZ8RnJUWp5GEmLSKz</w:t>
        </w:r>
      </w:hyperlink>
    </w:p>
    <w:p>
      <w:pPr>
        <w:pStyle w:val="BodyText"/>
      </w:pPr>
      <w:hyperlink r:id="rId56">
        <w:r>
          <w:rPr>
            <w:rStyle w:val="Hyperlink"/>
          </w:rPr>
          <w:t xml:space="preserve">[37]</w:t>
        </w:r>
      </w:hyperlink>
      <w:r>
        <w:t xml:space="preserve"> </w:t>
      </w:r>
      <w:hyperlink r:id="rId57">
        <w:r>
          <w:rPr>
            <w:rStyle w:val="Hyperlink"/>
          </w:rPr>
          <w:t xml:space="preserve">[38]</w:t>
        </w:r>
      </w:hyperlink>
      <w:r>
        <w:t xml:space="preserve"> </w:t>
      </w:r>
      <w:hyperlink r:id="rId73">
        <w:r>
          <w:rPr>
            <w:rStyle w:val="Hyperlink"/>
          </w:rPr>
          <w:t xml:space="preserve">[53]</w:t>
        </w:r>
      </w:hyperlink>
      <w:r>
        <w:t xml:space="preserve"> </w:t>
      </w:r>
      <w:r>
        <w:t xml:space="preserve">rongorongo_full_ultramerge_v3_compact.json</w:t>
      </w:r>
    </w:p>
    <w:p>
      <w:pPr>
        <w:pStyle w:val="BodyText"/>
      </w:pPr>
      <w:hyperlink r:id="rId123">
        <w:r>
          <w:rPr>
            <w:rStyle w:val="Hyperlink"/>
          </w:rPr>
          <w:t xml:space="preserve">file://file-JUd9rmLnEDVcLgFshpRxQC</w:t>
        </w:r>
      </w:hyperlink>
    </w:p>
    <w:p>
      <w:pPr>
        <w:pStyle w:val="BodyText"/>
      </w:pPr>
      <w:hyperlink r:id="rId100">
        <w:r>
          <w:rPr>
            <w:rStyle w:val="Hyperlink"/>
          </w:rPr>
          <w:t xml:space="preserve">[80]</w:t>
        </w:r>
      </w:hyperlink>
      <w:r>
        <w:t xml:space="preserve"> </w:t>
      </w:r>
      <w:hyperlink r:id="rId101">
        <w:r>
          <w:rPr>
            <w:rStyle w:val="Hyperlink"/>
          </w:rPr>
          <w:t xml:space="preserve">[81]</w:t>
        </w:r>
      </w:hyperlink>
      <w:r>
        <w:t xml:space="preserve"> </w:t>
      </w:r>
      <w:r>
        <w:t xml:space="preserve">Rongorongo text C - Wikipedia</w:t>
      </w:r>
    </w:p>
    <w:p>
      <w:pPr>
        <w:pStyle w:val="BodyText"/>
      </w:pPr>
      <w:hyperlink r:id="rId124">
        <w:r>
          <w:rPr>
            <w:rStyle w:val="Hyperlink"/>
          </w:rPr>
          <w:t xml:space="preserve">https://en.wikipedia.org/wiki/Rongorongo_text_C</w:t>
        </w:r>
      </w:hyperlink>
    </w:p>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8" Target="file://file-EKFBHRihh6xQJcexArYFzA" TargetMode="External" /><Relationship Type="http://schemas.openxmlformats.org/officeDocument/2006/relationships/hyperlink" Id="rId28" Target="file://file-EKFBHRihh6xQJcexArYFzA#:~:text=%22High,ariki%20henua%29%20supreme%20authority" TargetMode="External" /><Relationship Type="http://schemas.openxmlformats.org/officeDocument/2006/relationships/hyperlink" Id="rId93" Target="file://file-EKFBHRihh6xQJcexArYFzA#:~:text=%22Updated%20interpretation%2C%20status%3A%20confirmed%3B%20Punctuation,role%20as%20a%20separator%20akin" TargetMode="External" /><Relationship Type="http://schemas.openxmlformats.org/officeDocument/2006/relationships/hyperlink" Id="rId88" Target="file://file-EKFBHRihh6xQJcexArYFzA#:~:text=%22notes%22%3A%20%5B%20%22Multi,Alternative%20verb%20form%20of%20taking%2Fholding" TargetMode="External" /><Relationship Type="http://schemas.openxmlformats.org/officeDocument/2006/relationships/hyperlink" Id="rId37" Target="file://file-EKFBHRihh6xQJcexArYFzA#:~:text=%28,fanau" TargetMode="External" /><Relationship Type="http://schemas.openxmlformats.org/officeDocument/2006/relationships/hyperlink" Id="rId30" Target="file://file-EKFBHRihh6xQJcexArYFzA#:~:text=%5D%2C%20,Man%20cult%20with%20creation" TargetMode="External" /><Relationship Type="http://schemas.openxmlformats.org/officeDocument/2006/relationships/hyperlink" Id="rId75" Target="file://file-EKFBHRihh6xQJcexArYFzA#:~:text=,Man%20cult%20with%20creation" TargetMode="External" /><Relationship Type="http://schemas.openxmlformats.org/officeDocument/2006/relationships/hyperlink" Id="rId74" Target="file://file-EKFBHRihh6xQJcexArYFzA#:~:text=,Universal%20royal%2Fchief%20concept" TargetMode="External" /><Relationship Type="http://schemas.openxmlformats.org/officeDocument/2006/relationships/hyperlink" Id="rId34" Target="file://file-EKFBHRihh6xQJcexArYFzA#:~:text=,chants%20in%20repetitive%20sexual%20sequences" TargetMode="External" /><Relationship Type="http://schemas.openxmlformats.org/officeDocument/2006/relationships/hyperlink" Id="rId35" Target="file://file-EKFBHRihh6xQJcexArYFzA#:~:text=,confirmed%3B%20Phallic%20symbol%20with%20explicit" TargetMode="External" /><Relationship Type="http://schemas.openxmlformats.org/officeDocument/2006/relationships/hyperlink" Id="rId31" Target="file://file-EKFBHRihh6xQJcexArYFzA#:~:text=,cult%20with%20creation%20mythology%20significance" TargetMode="External" /><Relationship Type="http://schemas.openxmlformats.org/officeDocument/2006/relationships/hyperlink" Id="rId55" Target="file://file-EKFBHRihh6xQJcexArYFzA#:~:text=,genealogical" TargetMode="External" /><Relationship Type="http://schemas.openxmlformats.org/officeDocument/2006/relationships/hyperlink" Id="rId87" Target="file://file-EKFBHRihh6xQJcexArYFzA#:~:text=,grasp%27%20%28ma%27u" TargetMode="External" /><Relationship Type="http://schemas.openxmlformats.org/officeDocument/2006/relationships/hyperlink" Id="rId33" Target="file://file-EKFBHRihh6xQJcexArYFzA#:~:text=,ornithological" TargetMode="External" /><Relationship Type="http://schemas.openxmlformats.org/officeDocument/2006/relationships/hyperlink" Id="rId92" Target="file://file-EKFBHRihh6xQJcexArYFzA#:~:text=,punctuation%27%20grammatical%20mark" TargetMode="External" /><Relationship Type="http://schemas.openxmlformats.org/officeDocument/2006/relationships/hyperlink" Id="rId91" Target="file://file-EKFBHRihh6xQJcexArYFzA#:~:text=,segment%20break" TargetMode="External" /><Relationship Type="http://schemas.openxmlformats.org/officeDocument/2006/relationships/hyperlink" Id="rId51" Target="file://file-EKFBHRihh6xQJcexArYFzA#:~:text=,stage%20of%20waning%20gibbous" TargetMode="External" /><Relationship Type="http://schemas.openxmlformats.org/officeDocument/2006/relationships/hyperlink" Id="rId29" Target="file://file-EKFBHRihh6xQJcexArYFzA#:~:text=The%20anthropomorphic%20figure%20with%20headdress,Egyptian" TargetMode="External" /><Relationship Type="http://schemas.openxmlformats.org/officeDocument/2006/relationships/hyperlink" Id="rId32" Target="file://file-EKFBHRihh6xQJcexArYFzA#:~:text=action.%20Sacred%20bird%20of%20Bird,cultural%20significance%3B%20Bird%20glyph%3B%20the" TargetMode="External" /><Relationship Type="http://schemas.openxmlformats.org/officeDocument/2006/relationships/hyperlink" Id="rId96" Target="file://file-EKFBHRihh6xQJcexArYFzA#:~:text=methodology,verses%20on%20the%20Santiago%20Staff" TargetMode="External" /><Relationship Type="http://schemas.openxmlformats.org/officeDocument/2006/relationships/hyperlink" Id="rId94" Target="file://file-EKFBHRihh6xQJcexArYFzA#:~:text=physical%20separator.%20Not%20vocalized%20,breaks%20in%20text%2C%20verse%20separator" TargetMode="External" /><Relationship Type="http://schemas.openxmlformats.org/officeDocument/2006/relationships/hyperlink" Id="rId72" Target="file://file-EKFBHRihh6xQJcexArYFzA#:~:text=relationships,linguistic%20parallels" TargetMode="External" /><Relationship Type="http://schemas.openxmlformats.org/officeDocument/2006/relationships/hyperlink" Id="rId123" Target="file://file-JUd9rmLnEDVcLgFshpRxQC" TargetMode="External" /><Relationship Type="http://schemas.openxmlformats.org/officeDocument/2006/relationships/hyperlink" Id="rId56" Target="file://file-JUd9rmLnEDVcLgFshpRxQC#:~:text=%5C,aruku%20kurenga" TargetMode="External" /><Relationship Type="http://schemas.openxmlformats.org/officeDocument/2006/relationships/hyperlink" Id="rId73" Target="file://file-JUd9rmLnEDVcLgFshpRxQC#:~:text=,descendant%20%28poki%29%3B%20possibly" TargetMode="External" /><Relationship Type="http://schemas.openxmlformats.org/officeDocument/2006/relationships/hyperlink" Id="rId57" Target="file://file-JUd9rmLnEDVcLgFshpRxQC#:~:text=representing%20child%20or%20descendant%3B%20starts,or%20descendant%3B%20starts%20sequence%20of" TargetMode="External" /><Relationship Type="http://schemas.openxmlformats.org/officeDocument/2006/relationships/hyperlink" Id="rId122" Target="file://file-MY1NVKZ8RnJUWp5GEmLSKz" TargetMode="External" /><Relationship Type="http://schemas.openxmlformats.org/officeDocument/2006/relationships/hyperlink" Id="rId53" Target="file://file-MY1NVKZ8RnJUWp5GEmLSKz#:~:text=," TargetMode="External" /><Relationship Type="http://schemas.openxmlformats.org/officeDocument/2006/relationships/hyperlink" Id="rId50" Target="file://file-MY1NVKZ8RnJUWp5GEmLSKz#:~:text=,152" TargetMode="External" /><Relationship Type="http://schemas.openxmlformats.org/officeDocument/2006/relationships/hyperlink" Id="rId95" Target="file://file-MY1NVKZ8RnJUWp5GEmLSKz#:~:text=,78" TargetMode="External" /><Relationship Type="http://schemas.openxmlformats.org/officeDocument/2006/relationships/hyperlink" Id="rId52" Target="file://file-MY1NVKZ8RnJUWp5GEmLSKz#:~:text=,Lunar%20calendars" TargetMode="External" /><Relationship Type="http://schemas.openxmlformats.org/officeDocument/2006/relationships/hyperlink" Id="rId84" Target="file://file-MY1NVKZ8RnJUWp5GEmLSKz#:~:text=,Structural%20markers%20identified" TargetMode="External" /><Relationship Type="http://schemas.openxmlformats.org/officeDocument/2006/relationships/hyperlink" Id="rId82" Target="file://file-MY1NVKZ8RnJUWp5GEmLSKz#:~:text=,ancient%27%20%28tawhito%29%20very%20old" TargetMode="External" /><Relationship Type="http://schemas.openxmlformats.org/officeDocument/2006/relationships/hyperlink" Id="rId85" Target="file://file-MY1NVKZ8RnJUWp5GEmLSKz#:~:text=,glyph%20200" TargetMode="External" /><Relationship Type="http://schemas.openxmlformats.org/officeDocument/2006/relationships/hyperlink" Id="rId83" Target="file://file-MY1NVKZ8RnJUWp5GEmLSKz#:~:text=,longevity%20symbolism%20and%20temporal%20endurance" TargetMode="External" /><Relationship Type="http://schemas.openxmlformats.org/officeDocument/2006/relationships/hyperlink" Id="rId117" Target="https://en.wikipedia.org/wiki/Rongorongo" TargetMode="External" /><Relationship Type="http://schemas.openxmlformats.org/officeDocument/2006/relationships/hyperlink" Id="rId108" Target="https://en.wikipedia.org/wiki/Rongorongo#:~:text=31,are%20written%20in%20different%20hands" TargetMode="External" /><Relationship Type="http://schemas.openxmlformats.org/officeDocument/2006/relationships/hyperlink" Id="rId26" Target="https://en.wikipedia.org/wiki/Rongorongo#:~:text=C%20%20RR2%20Mamari%20,glyphs%20are%20covered%20by%20a" TargetMode="External" /><Relationship Type="http://schemas.openxmlformats.org/officeDocument/2006/relationships/hyperlink" Id="rId27" Target="https://en.wikipedia.org/wiki/Rongorongo#:~:text=D%20%20RR3%20%C3%89chancr%C3%A9e%20,Palm%20wood" TargetMode="External" /><Relationship Type="http://schemas.openxmlformats.org/officeDocument/2006/relationships/hyperlink" Id="rId105" Target="https://en.wikipedia.org/wiki/Rongorongo#:~:text=J%20%20RR20%20Large%20reimiro,centimetre%20%2811%C2%A0in%29%20rosewood%20tablet" TargetMode="External" /><Relationship Type="http://schemas.openxmlformats.org/officeDocument/2006/relationships/hyperlink" Id="rId106" Target="https://en.wikipedia.org/wiki/Rongorongo#:~:text=K%20%20RR19%20London%20,intricately%20carved%20glyphs%2C%20loosely%20paraphrasing" TargetMode="External" /><Relationship Type="http://schemas.openxmlformats.org/officeDocument/2006/relationships/hyperlink" Id="rId102" Target="https://en.wikipedia.org/wiki/Rongorongo#:~:text=N%20%20RR23%20Small%20Vienna,centimetre%20%2817%C2%A0in%29%20fluted" TargetMode="External" /><Relationship Type="http://schemas.openxmlformats.org/officeDocument/2006/relationships/hyperlink" Id="rId64" Target="https://en.wikipedia.org/wiki/Rongorongo#:~:text=N%20%20RR23%20Small%20Vienna,poor%20condition%2C%20none%20of%20the" TargetMode="External" /><Relationship Type="http://schemas.openxmlformats.org/officeDocument/2006/relationships/hyperlink" Id="rId103" Target="https://en.wikipedia.org/wiki/Rongorongo#:~:text=O%20%20RR22%20Berlin%20,centimetre%20%2817%C2%A0in%29%20fluted" TargetMode="External" /><Relationship Type="http://schemas.openxmlformats.org/officeDocument/2006/relationships/hyperlink" Id="rId81" Target="https://en.wikipedia.org/wiki/Rongorongo#:~:text=P%20%20RR18%20Large%20St,357%20glyphs%2C%20nearly%20all%20in" TargetMode="External" /><Relationship Type="http://schemas.openxmlformats.org/officeDocument/2006/relationships/hyperlink" Id="rId86" Target="https://en.wikipedia.org/wiki/Rongorongo#:~:text=Q%20%20RR17%20Small%20St,357%20glyphs%2C%20nearly%20all%20in" TargetMode="External" /><Relationship Type="http://schemas.openxmlformats.org/officeDocument/2006/relationships/hyperlink" Id="rId98" Target="https://en.wikipedia.org/wiki/Rongorongo#:~:text=Q%20%20RR17%20Small%20St,centimetre%20%2825%C2%A0in" TargetMode="External" /><Relationship Type="http://schemas.openxmlformats.org/officeDocument/2006/relationships/hyperlink" Id="rId80" Target="https://en.wikipedia.org/wiki/Rongorongo#:~:text=a%2063,centimetre%20%2825%C2%A0in" TargetMode="External" /><Relationship Type="http://schemas.openxmlformats.org/officeDocument/2006/relationships/hyperlink" Id="rId89" Target="https://en.wikipedia.org/wiki/Rongorongo#:~:text=code%20%20Fischer%20code%20,centimetre%20%2812%C2%A0in" TargetMode="External" /><Relationship Type="http://schemas.openxmlformats.org/officeDocument/2006/relationships/hyperlink" Id="rId41" Target="https://en.wikipedia.org/wiki/Rongorongo#:~:text=cord%20of%20hair,genealogy%20and%20does%20not%20resemble" TargetMode="External" /><Relationship Type="http://schemas.openxmlformats.org/officeDocument/2006/relationships/hyperlink" Id="rId110" Target="https://en.wikipedia.org/wiki/Rongorongo#:~:text=decorated%20with%20two%20glyphs,preserves%20more%20of%20the%20text" TargetMode="External" /><Relationship Type="http://schemas.openxmlformats.org/officeDocument/2006/relationships/hyperlink" Id="rId70" Target="https://en.wikipedia.org/wiki/Rongorongo#:~:text=fragment%20with%2051%20recorded%20crudely,centimetre%20%2850%C2%A0in" TargetMode="External" /><Relationship Type="http://schemas.openxmlformats.org/officeDocument/2006/relationships/hyperlink" Id="rId71" Target="https://en.wikipedia.org/wiki/Rongorongo#:~:text=fragment%20with%2051%20recorded%20crudely,the%20patterns%20of%20other%20texts" TargetMode="External" /><Relationship Type="http://schemas.openxmlformats.org/officeDocument/2006/relationships/hyperlink" Id="rId79" Target="https://en.wikipedia.org/wiki/Rongorongo#:~:text=glyphs%20on%20side%20b%20can,357%20glyphs%2C%20nearly%20all%20in" TargetMode="External" /><Relationship Type="http://schemas.openxmlformats.org/officeDocument/2006/relationships/hyperlink" Id="rId67" Target="https://en.wikipedia.org/wiki/Rongorongo#:~:text=in%20poor%20condition,Had%20been" TargetMode="External" /><Relationship Type="http://schemas.openxmlformats.org/officeDocument/2006/relationships/hyperlink" Id="rId63" Target="https://en.wikipedia.org/wiki/Rongorongo#:~:text=in%20poor%20condition,poor%20condition%2C%20none%20of%20the" TargetMode="External" /><Relationship Type="http://schemas.openxmlformats.org/officeDocument/2006/relationships/hyperlink" Id="rId111" Target="https://en.wikipedia.org/wiki/Rongorongo#:~:text=market,53" TargetMode="External" /><Relationship Type="http://schemas.openxmlformats.org/officeDocument/2006/relationships/hyperlink" Id="rId107" Target="https://en.wikipedia.org/wiki/Rongorongo#:~:text=piece%20of%20yellowwood,of%20text%2C%20plus%20a%20separate" TargetMode="External" /><Relationship Type="http://schemas.openxmlformats.org/officeDocument/2006/relationships/hyperlink" Id="rId76" Target="https://en.wikipedia.org/wiki/Rongorongo#:~:text=rosewood%20tablet,resembles%20only%20Gv%20and%20Ta" TargetMode="External" /><Relationship Type="http://schemas.openxmlformats.org/officeDocument/2006/relationships/hyperlink" Id="rId109" Target="https://en.wikipedia.org/wiki/Rongorongo#:~:text=tablet,Nearly%20duplicates%20P%20and%20Q" TargetMode="External" /><Relationship Type="http://schemas.openxmlformats.org/officeDocument/2006/relationships/hyperlink" Id="rId99" Target="https://en.wikipedia.org/wiki/Rongorongo#:~:text=the%20infobox,centimetre%20%2828%C2%A0in" TargetMode="External" /><Relationship Type="http://schemas.openxmlformats.org/officeDocument/2006/relationships/hyperlink" Id="rId78" Target="https://en.wikipedia.org/wiki/Rongorongo#:~:text=the%20patterns%20of%20other%20texts,resembles%20only%20Gv%20and%20Ta" TargetMode="External" /><Relationship Type="http://schemas.openxmlformats.org/officeDocument/2006/relationships/hyperlink" Id="rId104" Target="https://en.wikipedia.org/wiki/Rongorongo#:~:text=with%20a%20line%20of%2044,poor%20condition%2C%20none%20of%20the" TargetMode="External" /><Relationship Type="http://schemas.openxmlformats.org/officeDocument/2006/relationships/hyperlink" Id="rId124" Target="https://en.wikipedia.org/wiki/Rongorongo_text_C" TargetMode="External" /><Relationship Type="http://schemas.openxmlformats.org/officeDocument/2006/relationships/hyperlink" Id="rId100" Target="https://en.wikipedia.org/wiki/Rongorongo_text_C#:~:text=Text%20C%20of%20the%20rongorongo,the%20understanding%20is%20still%20partial" TargetMode="External" /><Relationship Type="http://schemas.openxmlformats.org/officeDocument/2006/relationships/hyperlink" Id="rId101" Target="https://en.wikipedia.org/wiki/Rongorongo_text_C#:~:text=deciphered%20with%20regards%20to%20its,the%20understanding%20is%20still%20partial" TargetMode="External" /><Relationship Type="http://schemas.openxmlformats.org/officeDocument/2006/relationships/hyperlink" Id="rId116" Target="https://en.wikipedia.org/wiki/Rongorongo_text_D" TargetMode="External" /><Relationship Type="http://schemas.openxmlformats.org/officeDocument/2006/relationships/hyperlink" Id="rId24" Target="https://en.wikipedia.org/wiki/Rongorongo_text_D#:~:text=A%20broken,out%20to%20be%20%2065" TargetMode="External" /><Relationship Type="http://schemas.openxmlformats.org/officeDocument/2006/relationships/hyperlink" Id="rId21" Target="https://en.wikipedia.org/wiki/Rongorongo_text_D#:~:text=ImagePart%20of%20the%20cord" TargetMode="External" /><Relationship Type="http://schemas.openxmlformats.org/officeDocument/2006/relationships/hyperlink" Id="rId23" Target="https://en.wikipedia.org/wiki/Rongorongo_text_D#:~:text=Line%20a%203%20contains%20a,may%20represent%20a%20numerical%20series" TargetMode="External" /><Relationship Type="http://schemas.openxmlformats.org/officeDocument/2006/relationships/hyperlink" Id="rId25" Target="https://en.wikipedia.org/wiki/Rongorongo_text_D#:~:text=The%20shape%20and%20wood%20suggest,a%20European%20or%20American%20ship" TargetMode="External" /><Relationship Type="http://schemas.openxmlformats.org/officeDocument/2006/relationships/hyperlink" Id="rId22" Target="https://en.wikipedia.org/wiki/Rongorongo_text_D#:~:text=Zumbohm%20%20and%20Urupano%20,In%201974%20the%20SSCC" TargetMode="External" /><Relationship Type="http://schemas.openxmlformats.org/officeDocument/2006/relationships/hyperlink" Id="rId120" Target="https://en.wikipedia.org/wiki/Rongorongo_text_E" TargetMode="External" /><Relationship Type="http://schemas.openxmlformats.org/officeDocument/2006/relationships/hyperlink" Id="rId42" Target="https://en.wikipedia.org/wiki/Rongorongo_text_E#:~:text=" TargetMode="External" /><Relationship Type="http://schemas.openxmlformats.org/officeDocument/2006/relationships/hyperlink" Id="rId40" Target="https://en.wikipedia.org/wiki/Rongorongo_text_E#:~:text=Destroyed%20during%20shelling%20of%20Leuven,on%20recto%2C%20upper%20right%20side" TargetMode="External" /><Relationship Type="http://schemas.openxmlformats.org/officeDocument/2006/relationships/hyperlink" Id="rId39" Target="https://en.wikipedia.org/wiki/Rongorongo_text_E#:~:text=Fischer%20,Horley%202010" TargetMode="External" /><Relationship Type="http://schemas.openxmlformats.org/officeDocument/2006/relationships/hyperlink" Id="rId54" Target="https://en.wikipedia.org/wiki/Rongorongo_text_E#:~:text=Nine%20lines%20of%20glyphs%20recto%2C,Ev1%2C%20confirming%20Barthel%27s%20reading%20order" TargetMode="External" /><Relationship Type="http://schemas.openxmlformats.org/officeDocument/2006/relationships/hyperlink" Id="rId58" Target="https://en.wikipedia.org/wiki/Rongorongo_text_E#:~:text=found%20a%20sequence%20of%20glyphs,Ev1%2C%20confirming%20Barthel%27s%20reading%20order" TargetMode="External" /><Relationship Type="http://schemas.openxmlformats.org/officeDocument/2006/relationships/hyperlink" Id="rId121" Target="https://journals.openedition.org/jso/6272?lang=en" TargetMode="External" /><Relationship Type="http://schemas.openxmlformats.org/officeDocument/2006/relationships/hyperlink" Id="rId60" Target="https://journals.openedition.org/jso/6272?lang=en#:~:text=19%20Sequence%20alpha%203%20runs,380y" TargetMode="External" /><Relationship Type="http://schemas.openxmlformats.org/officeDocument/2006/relationships/hyperlink" Id="rId49" Target="https://journals.openedition.org/jso/6272?lang=en#:~:text=2%20The%20only%20context%20of,Guy%2C%201990" TargetMode="External" /><Relationship Type="http://schemas.openxmlformats.org/officeDocument/2006/relationships/hyperlink" Id="rId66" Target="https://journals.openedition.org/jso/6272?lang=en#:~:text=21%20Sequence%20alpha,had%20in%20mind%20the%20need" TargetMode="External" /><Relationship Type="http://schemas.openxmlformats.org/officeDocument/2006/relationships/hyperlink" Id="rId62" Target="https://journals.openedition.org/jso/6272?lang=en#:~:text=4%20One%20such%20possible%20identification,have%20no%20new%20knowledge%20that" TargetMode="External" /><Relationship Type="http://schemas.openxmlformats.org/officeDocument/2006/relationships/hyperlink" Id="rId44" Target="https://journals.openedition.org/jso/6272?lang=en#:~:text=9%20The%20most%20prominent%20repetitious,for%20its%20distribution%20on%20the" TargetMode="External" /><Relationship Type="http://schemas.openxmlformats.org/officeDocument/2006/relationships/hyperlink" Id="rId45" Target="https://journals.openedition.org/jso/6272?lang=en#:~:text=On%20sequence%20alpha" TargetMode="External" /><Relationship Type="http://schemas.openxmlformats.org/officeDocument/2006/relationships/hyperlink" Id="rId43" Target="https://journals.openedition.org/jso/6272?lang=en#:~:text=Sequence%20alpha%201" TargetMode="External" /><Relationship Type="http://schemas.openxmlformats.org/officeDocument/2006/relationships/hyperlink" Id="rId46" Target="https://journals.openedition.org/jso/6272?lang=en#:~:text=hypothesis%20regarding%20the%20contents%20of,of%20Oceania%27s%20only%20native%20script" TargetMode="External" /><Relationship Type="http://schemas.openxmlformats.org/officeDocument/2006/relationships/hyperlink" Id="rId59" Target="https://journals.openedition.org/jso/6272?lang=en#:~:text=match%20at%20L311%2017%20The,replaced%20by%20a%20glyph%20022" TargetMode="External" /><Relationship Type="http://schemas.openxmlformats.org/officeDocument/2006/relationships/hyperlink" Id="rId61" Target="https://journals.openedition.org/jso/6272?lang=en#:~:text=sequence" TargetMode="External" /><Relationship Type="http://schemas.openxmlformats.org/officeDocument/2006/relationships/hyperlink" Id="rId48" Target="https://journals.openedition.org/jso/6272?lang=en#:~:text=that%20the%20tablet%20contains%20astronomical,If%20the" TargetMode="External" /><Relationship Type="http://schemas.openxmlformats.org/officeDocument/2006/relationships/hyperlink" Id="rId68" Target="https://journals.openedition.org/jso/6272?lang=en#:~:text=that%20the%20tablet%20contains%20astronomical,of%20Oceania%27s%20only%20native%20script" TargetMode="External" /><Relationship Type="http://schemas.openxmlformats.org/officeDocument/2006/relationships/hyperlink" Id="rId47" Target="https://journals.openedition.org/jso/6272?lang=en#:~:text=these%2025%20rongorongo%20texts%20is,If%20the" TargetMode="External" /><Relationship Type="http://schemas.openxmlformats.org/officeDocument/2006/relationships/hyperlink" Id="rId65" Target="https://journals.openedition.org/jso/6272?lang=en#:~:text=top%20%28Table%201%29,one%20case%2C%20line%20Hr6%2C%20it" TargetMode="External" /><Relationship Type="http://schemas.openxmlformats.org/officeDocument/2006/relationships/hyperlink" Id="rId119" Target="https://www.researchgate.net/publication/269961848_Rongorongo_tablet_from_the_Ethnological_Museum_Berlin" TargetMode="External" /><Relationship Type="http://schemas.openxmlformats.org/officeDocument/2006/relationships/hyperlink" Id="rId36" Target="https://www.researchgate.net/publication/269961848_Rongorongo_tablet_from_the_Ethnological_Museum_Berlin#:~:text=Berlin%20www,ResearchGate" TargetMode="External" /></Relationships>
</file>

<file path=word/_rels/footnotes.xml.rels><?xml version="1.0" encoding="UTF-8"?><Relationships xmlns="http://schemas.openxmlformats.org/package/2006/relationships"><Relationship Type="http://schemas.openxmlformats.org/officeDocument/2006/relationships/hyperlink" Id="rId118" Target="file://file-EKFBHRihh6xQJcexArYFzA" TargetMode="External" /><Relationship Type="http://schemas.openxmlformats.org/officeDocument/2006/relationships/hyperlink" Id="rId28" Target="file://file-EKFBHRihh6xQJcexArYFzA#:~:text=%22High,ariki%20henua%29%20supreme%20authority" TargetMode="External" /><Relationship Type="http://schemas.openxmlformats.org/officeDocument/2006/relationships/hyperlink" Id="rId93" Target="file://file-EKFBHRihh6xQJcexArYFzA#:~:text=%22Updated%20interpretation%2C%20status%3A%20confirmed%3B%20Punctuation,role%20as%20a%20separator%20akin" TargetMode="External" /><Relationship Type="http://schemas.openxmlformats.org/officeDocument/2006/relationships/hyperlink" Id="rId88" Target="file://file-EKFBHRihh6xQJcexArYFzA#:~:text=%22notes%22%3A%20%5B%20%22Multi,Alternative%20verb%20form%20of%20taking%2Fholding" TargetMode="External" /><Relationship Type="http://schemas.openxmlformats.org/officeDocument/2006/relationships/hyperlink" Id="rId37" Target="file://file-EKFBHRihh6xQJcexArYFzA#:~:text=%28,fanau" TargetMode="External" /><Relationship Type="http://schemas.openxmlformats.org/officeDocument/2006/relationships/hyperlink" Id="rId30" Target="file://file-EKFBHRihh6xQJcexArYFzA#:~:text=%5D%2C%20,Man%20cult%20with%20creation" TargetMode="External" /><Relationship Type="http://schemas.openxmlformats.org/officeDocument/2006/relationships/hyperlink" Id="rId75" Target="file://file-EKFBHRihh6xQJcexArYFzA#:~:text=,Man%20cult%20with%20creation" TargetMode="External" /><Relationship Type="http://schemas.openxmlformats.org/officeDocument/2006/relationships/hyperlink" Id="rId74" Target="file://file-EKFBHRihh6xQJcexArYFzA#:~:text=,Universal%20royal%2Fchief%20concept" TargetMode="External" /><Relationship Type="http://schemas.openxmlformats.org/officeDocument/2006/relationships/hyperlink" Id="rId34" Target="file://file-EKFBHRihh6xQJcexArYFzA#:~:text=,chants%20in%20repetitive%20sexual%20sequences" TargetMode="External" /><Relationship Type="http://schemas.openxmlformats.org/officeDocument/2006/relationships/hyperlink" Id="rId35" Target="file://file-EKFBHRihh6xQJcexArYFzA#:~:text=,confirmed%3B%20Phallic%20symbol%20with%20explicit" TargetMode="External" /><Relationship Type="http://schemas.openxmlformats.org/officeDocument/2006/relationships/hyperlink" Id="rId31" Target="file://file-EKFBHRihh6xQJcexArYFzA#:~:text=,cult%20with%20creation%20mythology%20significance" TargetMode="External" /><Relationship Type="http://schemas.openxmlformats.org/officeDocument/2006/relationships/hyperlink" Id="rId55" Target="file://file-EKFBHRihh6xQJcexArYFzA#:~:text=,genealogical" TargetMode="External" /><Relationship Type="http://schemas.openxmlformats.org/officeDocument/2006/relationships/hyperlink" Id="rId87" Target="file://file-EKFBHRihh6xQJcexArYFzA#:~:text=,grasp%27%20%28ma%27u" TargetMode="External" /><Relationship Type="http://schemas.openxmlformats.org/officeDocument/2006/relationships/hyperlink" Id="rId33" Target="file://file-EKFBHRihh6xQJcexArYFzA#:~:text=,ornithological" TargetMode="External" /><Relationship Type="http://schemas.openxmlformats.org/officeDocument/2006/relationships/hyperlink" Id="rId92" Target="file://file-EKFBHRihh6xQJcexArYFzA#:~:text=,punctuation%27%20grammatical%20mark" TargetMode="External" /><Relationship Type="http://schemas.openxmlformats.org/officeDocument/2006/relationships/hyperlink" Id="rId91" Target="file://file-EKFBHRihh6xQJcexArYFzA#:~:text=,segment%20break" TargetMode="External" /><Relationship Type="http://schemas.openxmlformats.org/officeDocument/2006/relationships/hyperlink" Id="rId51" Target="file://file-EKFBHRihh6xQJcexArYFzA#:~:text=,stage%20of%20waning%20gibbous" TargetMode="External" /><Relationship Type="http://schemas.openxmlformats.org/officeDocument/2006/relationships/hyperlink" Id="rId29" Target="file://file-EKFBHRihh6xQJcexArYFzA#:~:text=The%20anthropomorphic%20figure%20with%20headdress,Egyptian" TargetMode="External" /><Relationship Type="http://schemas.openxmlformats.org/officeDocument/2006/relationships/hyperlink" Id="rId32" Target="file://file-EKFBHRihh6xQJcexArYFzA#:~:text=action.%20Sacred%20bird%20of%20Bird,cultural%20significance%3B%20Bird%20glyph%3B%20the" TargetMode="External" /><Relationship Type="http://schemas.openxmlformats.org/officeDocument/2006/relationships/hyperlink" Id="rId96" Target="file://file-EKFBHRihh6xQJcexArYFzA#:~:text=methodology,verses%20on%20the%20Santiago%20Staff" TargetMode="External" /><Relationship Type="http://schemas.openxmlformats.org/officeDocument/2006/relationships/hyperlink" Id="rId94" Target="file://file-EKFBHRihh6xQJcexArYFzA#:~:text=physical%20separator.%20Not%20vocalized%20,breaks%20in%20text%2C%20verse%20separator" TargetMode="External" /><Relationship Type="http://schemas.openxmlformats.org/officeDocument/2006/relationships/hyperlink" Id="rId72" Target="file://file-EKFBHRihh6xQJcexArYFzA#:~:text=relationships,linguistic%20parallels" TargetMode="External" /><Relationship Type="http://schemas.openxmlformats.org/officeDocument/2006/relationships/hyperlink" Id="rId123" Target="file://file-JUd9rmLnEDVcLgFshpRxQC" TargetMode="External" /><Relationship Type="http://schemas.openxmlformats.org/officeDocument/2006/relationships/hyperlink" Id="rId56" Target="file://file-JUd9rmLnEDVcLgFshpRxQC#:~:text=%5C,aruku%20kurenga" TargetMode="External" /><Relationship Type="http://schemas.openxmlformats.org/officeDocument/2006/relationships/hyperlink" Id="rId73" Target="file://file-JUd9rmLnEDVcLgFshpRxQC#:~:text=,descendant%20%28poki%29%3B%20possibly" TargetMode="External" /><Relationship Type="http://schemas.openxmlformats.org/officeDocument/2006/relationships/hyperlink" Id="rId57" Target="file://file-JUd9rmLnEDVcLgFshpRxQC#:~:text=representing%20child%20or%20descendant%3B%20starts,or%20descendant%3B%20starts%20sequence%20of" TargetMode="External" /><Relationship Type="http://schemas.openxmlformats.org/officeDocument/2006/relationships/hyperlink" Id="rId122" Target="file://file-MY1NVKZ8RnJUWp5GEmLSKz" TargetMode="External" /><Relationship Type="http://schemas.openxmlformats.org/officeDocument/2006/relationships/hyperlink" Id="rId53" Target="file://file-MY1NVKZ8RnJUWp5GEmLSKz#:~:text=," TargetMode="External" /><Relationship Type="http://schemas.openxmlformats.org/officeDocument/2006/relationships/hyperlink" Id="rId50" Target="file://file-MY1NVKZ8RnJUWp5GEmLSKz#:~:text=,152" TargetMode="External" /><Relationship Type="http://schemas.openxmlformats.org/officeDocument/2006/relationships/hyperlink" Id="rId95" Target="file://file-MY1NVKZ8RnJUWp5GEmLSKz#:~:text=,78" TargetMode="External" /><Relationship Type="http://schemas.openxmlformats.org/officeDocument/2006/relationships/hyperlink" Id="rId52" Target="file://file-MY1NVKZ8RnJUWp5GEmLSKz#:~:text=,Lunar%20calendars" TargetMode="External" /><Relationship Type="http://schemas.openxmlformats.org/officeDocument/2006/relationships/hyperlink" Id="rId84" Target="file://file-MY1NVKZ8RnJUWp5GEmLSKz#:~:text=,Structural%20markers%20identified" TargetMode="External" /><Relationship Type="http://schemas.openxmlformats.org/officeDocument/2006/relationships/hyperlink" Id="rId82" Target="file://file-MY1NVKZ8RnJUWp5GEmLSKz#:~:text=,ancient%27%20%28tawhito%29%20very%20old" TargetMode="External" /><Relationship Type="http://schemas.openxmlformats.org/officeDocument/2006/relationships/hyperlink" Id="rId85" Target="file://file-MY1NVKZ8RnJUWp5GEmLSKz#:~:text=,glyph%20200" TargetMode="External" /><Relationship Type="http://schemas.openxmlformats.org/officeDocument/2006/relationships/hyperlink" Id="rId83" Target="file://file-MY1NVKZ8RnJUWp5GEmLSKz#:~:text=,longevity%20symbolism%20and%20temporal%20endurance" TargetMode="External" /><Relationship Type="http://schemas.openxmlformats.org/officeDocument/2006/relationships/hyperlink" Id="rId117" Target="https://en.wikipedia.org/wiki/Rongorongo" TargetMode="External" /><Relationship Type="http://schemas.openxmlformats.org/officeDocument/2006/relationships/hyperlink" Id="rId108" Target="https://en.wikipedia.org/wiki/Rongorongo#:~:text=31,are%20written%20in%20different%20hands" TargetMode="External" /><Relationship Type="http://schemas.openxmlformats.org/officeDocument/2006/relationships/hyperlink" Id="rId26" Target="https://en.wikipedia.org/wiki/Rongorongo#:~:text=C%20%20RR2%20Mamari%20,glyphs%20are%20covered%20by%20a" TargetMode="External" /><Relationship Type="http://schemas.openxmlformats.org/officeDocument/2006/relationships/hyperlink" Id="rId27" Target="https://en.wikipedia.org/wiki/Rongorongo#:~:text=D%20%20RR3%20%C3%89chancr%C3%A9e%20,Palm%20wood" TargetMode="External" /><Relationship Type="http://schemas.openxmlformats.org/officeDocument/2006/relationships/hyperlink" Id="rId105" Target="https://en.wikipedia.org/wiki/Rongorongo#:~:text=J%20%20RR20%20Large%20reimiro,centimetre%20%2811%C2%A0in%29%20rosewood%20tablet" TargetMode="External" /><Relationship Type="http://schemas.openxmlformats.org/officeDocument/2006/relationships/hyperlink" Id="rId106" Target="https://en.wikipedia.org/wiki/Rongorongo#:~:text=K%20%20RR19%20London%20,intricately%20carved%20glyphs%2C%20loosely%20paraphrasing" TargetMode="External" /><Relationship Type="http://schemas.openxmlformats.org/officeDocument/2006/relationships/hyperlink" Id="rId102" Target="https://en.wikipedia.org/wiki/Rongorongo#:~:text=N%20%20RR23%20Small%20Vienna,centimetre%20%2817%C2%A0in%29%20fluted" TargetMode="External" /><Relationship Type="http://schemas.openxmlformats.org/officeDocument/2006/relationships/hyperlink" Id="rId64" Target="https://en.wikipedia.org/wiki/Rongorongo#:~:text=N%20%20RR23%20Small%20Vienna,poor%20condition%2C%20none%20of%20the" TargetMode="External" /><Relationship Type="http://schemas.openxmlformats.org/officeDocument/2006/relationships/hyperlink" Id="rId103" Target="https://en.wikipedia.org/wiki/Rongorongo#:~:text=O%20%20RR22%20Berlin%20,centimetre%20%2817%C2%A0in%29%20fluted" TargetMode="External" /><Relationship Type="http://schemas.openxmlformats.org/officeDocument/2006/relationships/hyperlink" Id="rId81" Target="https://en.wikipedia.org/wiki/Rongorongo#:~:text=P%20%20RR18%20Large%20St,357%20glyphs%2C%20nearly%20all%20in" TargetMode="External" /><Relationship Type="http://schemas.openxmlformats.org/officeDocument/2006/relationships/hyperlink" Id="rId86" Target="https://en.wikipedia.org/wiki/Rongorongo#:~:text=Q%20%20RR17%20Small%20St,357%20glyphs%2C%20nearly%20all%20in" TargetMode="External" /><Relationship Type="http://schemas.openxmlformats.org/officeDocument/2006/relationships/hyperlink" Id="rId98" Target="https://en.wikipedia.org/wiki/Rongorongo#:~:text=Q%20%20RR17%20Small%20St,centimetre%20%2825%C2%A0in" TargetMode="External" /><Relationship Type="http://schemas.openxmlformats.org/officeDocument/2006/relationships/hyperlink" Id="rId80" Target="https://en.wikipedia.org/wiki/Rongorongo#:~:text=a%2063,centimetre%20%2825%C2%A0in" TargetMode="External" /><Relationship Type="http://schemas.openxmlformats.org/officeDocument/2006/relationships/hyperlink" Id="rId89" Target="https://en.wikipedia.org/wiki/Rongorongo#:~:text=code%20%20Fischer%20code%20,centimetre%20%2812%C2%A0in" TargetMode="External" /><Relationship Type="http://schemas.openxmlformats.org/officeDocument/2006/relationships/hyperlink" Id="rId41" Target="https://en.wikipedia.org/wiki/Rongorongo#:~:text=cord%20of%20hair,genealogy%20and%20does%20not%20resemble" TargetMode="External" /><Relationship Type="http://schemas.openxmlformats.org/officeDocument/2006/relationships/hyperlink" Id="rId110" Target="https://en.wikipedia.org/wiki/Rongorongo#:~:text=decorated%20with%20two%20glyphs,preserves%20more%20of%20the%20text" TargetMode="External" /><Relationship Type="http://schemas.openxmlformats.org/officeDocument/2006/relationships/hyperlink" Id="rId70" Target="https://en.wikipedia.org/wiki/Rongorongo#:~:text=fragment%20with%2051%20recorded%20crudely,centimetre%20%2850%C2%A0in" TargetMode="External" /><Relationship Type="http://schemas.openxmlformats.org/officeDocument/2006/relationships/hyperlink" Id="rId71" Target="https://en.wikipedia.org/wiki/Rongorongo#:~:text=fragment%20with%2051%20recorded%20crudely,the%20patterns%20of%20other%20texts" TargetMode="External" /><Relationship Type="http://schemas.openxmlformats.org/officeDocument/2006/relationships/hyperlink" Id="rId79" Target="https://en.wikipedia.org/wiki/Rongorongo#:~:text=glyphs%20on%20side%20b%20can,357%20glyphs%2C%20nearly%20all%20in" TargetMode="External" /><Relationship Type="http://schemas.openxmlformats.org/officeDocument/2006/relationships/hyperlink" Id="rId67" Target="https://en.wikipedia.org/wiki/Rongorongo#:~:text=in%20poor%20condition,Had%20been" TargetMode="External" /><Relationship Type="http://schemas.openxmlformats.org/officeDocument/2006/relationships/hyperlink" Id="rId63" Target="https://en.wikipedia.org/wiki/Rongorongo#:~:text=in%20poor%20condition,poor%20condition%2C%20none%20of%20the" TargetMode="External" /><Relationship Type="http://schemas.openxmlformats.org/officeDocument/2006/relationships/hyperlink" Id="rId111" Target="https://en.wikipedia.org/wiki/Rongorongo#:~:text=market,53" TargetMode="External" /><Relationship Type="http://schemas.openxmlformats.org/officeDocument/2006/relationships/hyperlink" Id="rId107" Target="https://en.wikipedia.org/wiki/Rongorongo#:~:text=piece%20of%20yellowwood,of%20text%2C%20plus%20a%20separate" TargetMode="External" /><Relationship Type="http://schemas.openxmlformats.org/officeDocument/2006/relationships/hyperlink" Id="rId76" Target="https://en.wikipedia.org/wiki/Rongorongo#:~:text=rosewood%20tablet,resembles%20only%20Gv%20and%20Ta" TargetMode="External" /><Relationship Type="http://schemas.openxmlformats.org/officeDocument/2006/relationships/hyperlink" Id="rId109" Target="https://en.wikipedia.org/wiki/Rongorongo#:~:text=tablet,Nearly%20duplicates%20P%20and%20Q" TargetMode="External" /><Relationship Type="http://schemas.openxmlformats.org/officeDocument/2006/relationships/hyperlink" Id="rId99" Target="https://en.wikipedia.org/wiki/Rongorongo#:~:text=the%20infobox,centimetre%20%2828%C2%A0in" TargetMode="External" /><Relationship Type="http://schemas.openxmlformats.org/officeDocument/2006/relationships/hyperlink" Id="rId78" Target="https://en.wikipedia.org/wiki/Rongorongo#:~:text=the%20patterns%20of%20other%20texts,resembles%20only%20Gv%20and%20Ta" TargetMode="External" /><Relationship Type="http://schemas.openxmlformats.org/officeDocument/2006/relationships/hyperlink" Id="rId104" Target="https://en.wikipedia.org/wiki/Rongorongo#:~:text=with%20a%20line%20of%2044,poor%20condition%2C%20none%20of%20the" TargetMode="External" /><Relationship Type="http://schemas.openxmlformats.org/officeDocument/2006/relationships/hyperlink" Id="rId124" Target="https://en.wikipedia.org/wiki/Rongorongo_text_C" TargetMode="External" /><Relationship Type="http://schemas.openxmlformats.org/officeDocument/2006/relationships/hyperlink" Id="rId100" Target="https://en.wikipedia.org/wiki/Rongorongo_text_C#:~:text=Text%20C%20of%20the%20rongorongo,the%20understanding%20is%20still%20partial" TargetMode="External" /><Relationship Type="http://schemas.openxmlformats.org/officeDocument/2006/relationships/hyperlink" Id="rId101" Target="https://en.wikipedia.org/wiki/Rongorongo_text_C#:~:text=deciphered%20with%20regards%20to%20its,the%20understanding%20is%20still%20partial" TargetMode="External" /><Relationship Type="http://schemas.openxmlformats.org/officeDocument/2006/relationships/hyperlink" Id="rId116" Target="https://en.wikipedia.org/wiki/Rongorongo_text_D" TargetMode="External" /><Relationship Type="http://schemas.openxmlformats.org/officeDocument/2006/relationships/hyperlink" Id="rId24" Target="https://en.wikipedia.org/wiki/Rongorongo_text_D#:~:text=A%20broken,out%20to%20be%20%2065" TargetMode="External" /><Relationship Type="http://schemas.openxmlformats.org/officeDocument/2006/relationships/hyperlink" Id="rId21" Target="https://en.wikipedia.org/wiki/Rongorongo_text_D#:~:text=ImagePart%20of%20the%20cord" TargetMode="External" /><Relationship Type="http://schemas.openxmlformats.org/officeDocument/2006/relationships/hyperlink" Id="rId23" Target="https://en.wikipedia.org/wiki/Rongorongo_text_D#:~:text=Line%20a%203%20contains%20a,may%20represent%20a%20numerical%20series" TargetMode="External" /><Relationship Type="http://schemas.openxmlformats.org/officeDocument/2006/relationships/hyperlink" Id="rId25" Target="https://en.wikipedia.org/wiki/Rongorongo_text_D#:~:text=The%20shape%20and%20wood%20suggest,a%20European%20or%20American%20ship" TargetMode="External" /><Relationship Type="http://schemas.openxmlformats.org/officeDocument/2006/relationships/hyperlink" Id="rId22" Target="https://en.wikipedia.org/wiki/Rongorongo_text_D#:~:text=Zumbohm%20%20and%20Urupano%20,In%201974%20the%20SSCC" TargetMode="External" /><Relationship Type="http://schemas.openxmlformats.org/officeDocument/2006/relationships/hyperlink" Id="rId120" Target="https://en.wikipedia.org/wiki/Rongorongo_text_E" TargetMode="External" /><Relationship Type="http://schemas.openxmlformats.org/officeDocument/2006/relationships/hyperlink" Id="rId42" Target="https://en.wikipedia.org/wiki/Rongorongo_text_E#:~:text=" TargetMode="External" /><Relationship Type="http://schemas.openxmlformats.org/officeDocument/2006/relationships/hyperlink" Id="rId40" Target="https://en.wikipedia.org/wiki/Rongorongo_text_E#:~:text=Destroyed%20during%20shelling%20of%20Leuven,on%20recto%2C%20upper%20right%20side" TargetMode="External" /><Relationship Type="http://schemas.openxmlformats.org/officeDocument/2006/relationships/hyperlink" Id="rId39" Target="https://en.wikipedia.org/wiki/Rongorongo_text_E#:~:text=Fischer%20,Horley%202010" TargetMode="External" /><Relationship Type="http://schemas.openxmlformats.org/officeDocument/2006/relationships/hyperlink" Id="rId54" Target="https://en.wikipedia.org/wiki/Rongorongo_text_E#:~:text=Nine%20lines%20of%20glyphs%20recto%2C,Ev1%2C%20confirming%20Barthel%27s%20reading%20order" TargetMode="External" /><Relationship Type="http://schemas.openxmlformats.org/officeDocument/2006/relationships/hyperlink" Id="rId58" Target="https://en.wikipedia.org/wiki/Rongorongo_text_E#:~:text=found%20a%20sequence%20of%20glyphs,Ev1%2C%20confirming%20Barthel%27s%20reading%20order" TargetMode="External" /><Relationship Type="http://schemas.openxmlformats.org/officeDocument/2006/relationships/hyperlink" Id="rId121" Target="https://journals.openedition.org/jso/6272?lang=en" TargetMode="External" /><Relationship Type="http://schemas.openxmlformats.org/officeDocument/2006/relationships/hyperlink" Id="rId60" Target="https://journals.openedition.org/jso/6272?lang=en#:~:text=19%20Sequence%20alpha%203%20runs,380y" TargetMode="External" /><Relationship Type="http://schemas.openxmlformats.org/officeDocument/2006/relationships/hyperlink" Id="rId49" Target="https://journals.openedition.org/jso/6272?lang=en#:~:text=2%20The%20only%20context%20of,Guy%2C%201990" TargetMode="External" /><Relationship Type="http://schemas.openxmlformats.org/officeDocument/2006/relationships/hyperlink" Id="rId66" Target="https://journals.openedition.org/jso/6272?lang=en#:~:text=21%20Sequence%20alpha,had%20in%20mind%20the%20need" TargetMode="External" /><Relationship Type="http://schemas.openxmlformats.org/officeDocument/2006/relationships/hyperlink" Id="rId62" Target="https://journals.openedition.org/jso/6272?lang=en#:~:text=4%20One%20such%20possible%20identification,have%20no%20new%20knowledge%20that" TargetMode="External" /><Relationship Type="http://schemas.openxmlformats.org/officeDocument/2006/relationships/hyperlink" Id="rId44" Target="https://journals.openedition.org/jso/6272?lang=en#:~:text=9%20The%20most%20prominent%20repetitious,for%20its%20distribution%20on%20the" TargetMode="External" /><Relationship Type="http://schemas.openxmlformats.org/officeDocument/2006/relationships/hyperlink" Id="rId45" Target="https://journals.openedition.org/jso/6272?lang=en#:~:text=On%20sequence%20alpha" TargetMode="External" /><Relationship Type="http://schemas.openxmlformats.org/officeDocument/2006/relationships/hyperlink" Id="rId43" Target="https://journals.openedition.org/jso/6272?lang=en#:~:text=Sequence%20alpha%201" TargetMode="External" /><Relationship Type="http://schemas.openxmlformats.org/officeDocument/2006/relationships/hyperlink" Id="rId46" Target="https://journals.openedition.org/jso/6272?lang=en#:~:text=hypothesis%20regarding%20the%20contents%20of,of%20Oceania%27s%20only%20native%20script" TargetMode="External" /><Relationship Type="http://schemas.openxmlformats.org/officeDocument/2006/relationships/hyperlink" Id="rId59" Target="https://journals.openedition.org/jso/6272?lang=en#:~:text=match%20at%20L311%2017%20The,replaced%20by%20a%20glyph%20022" TargetMode="External" /><Relationship Type="http://schemas.openxmlformats.org/officeDocument/2006/relationships/hyperlink" Id="rId61" Target="https://journals.openedition.org/jso/6272?lang=en#:~:text=sequence" TargetMode="External" /><Relationship Type="http://schemas.openxmlformats.org/officeDocument/2006/relationships/hyperlink" Id="rId48" Target="https://journals.openedition.org/jso/6272?lang=en#:~:text=that%20the%20tablet%20contains%20astronomical,If%20the" TargetMode="External" /><Relationship Type="http://schemas.openxmlformats.org/officeDocument/2006/relationships/hyperlink" Id="rId68" Target="https://journals.openedition.org/jso/6272?lang=en#:~:text=that%20the%20tablet%20contains%20astronomical,of%20Oceania%27s%20only%20native%20script" TargetMode="External" /><Relationship Type="http://schemas.openxmlformats.org/officeDocument/2006/relationships/hyperlink" Id="rId47" Target="https://journals.openedition.org/jso/6272?lang=en#:~:text=these%2025%20rongorongo%20texts%20is,If%20the" TargetMode="External" /><Relationship Type="http://schemas.openxmlformats.org/officeDocument/2006/relationships/hyperlink" Id="rId65" Target="https://journals.openedition.org/jso/6272?lang=en#:~:text=top%20%28Table%201%29,one%20case%2C%20line%20Hr6%2C%20it" TargetMode="External" /><Relationship Type="http://schemas.openxmlformats.org/officeDocument/2006/relationships/hyperlink" Id="rId119" Target="https://www.researchgate.net/publication/269961848_Rongorongo_tablet_from_the_Ethnological_Museum_Berlin" TargetMode="External" /><Relationship Type="http://schemas.openxmlformats.org/officeDocument/2006/relationships/hyperlink" Id="rId36" Target="https://www.researchgate.net/publication/269961848_Rongorongo_tablet_from_the_Ethnological_Museum_Berlin#:~:text=Berlin%20www,ResearchG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2025-12-20T22:15:36Z</dcterms:created>
  <dcterms:modified xsi:type="dcterms:W3CDTF">2025-12-20T22:15:36Z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