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093cb246e617a658c38cb88c9a462f1c8d8595e"/>
    <w:p>
      <w:pPr>
        <w:pStyle w:val="Heading1"/>
      </w:pPr>
      <w:r>
        <w:t xml:space="preserve">Rongorongo Script Decipherment – Phase 10 Comprehensive Synthesis</w:t>
      </w:r>
    </w:p>
    <w:p>
      <w:pPr>
        <w:pStyle w:val="FirstParagraph"/>
      </w:pPr>
      <w:r>
        <w:rPr>
          <w:i/>
          <w:iCs/>
        </w:rPr>
        <w:t xml:space="preserve">Side B of the Rongorongo “Mamari” tablet, showing several lines of glyphs in the script’s distinctive alternating orientation</w:t>
      </w:r>
      <w:hyperlink r:id="rId21">
        <w:r>
          <w:rPr>
            <w:rStyle w:val="Hyperlink"/>
            <w:i/>
            <w:iCs/>
          </w:rPr>
          <w:t xml:space="preserve">[1]</w:t>
        </w:r>
      </w:hyperlink>
      <w:r>
        <w:rPr>
          <w:i/>
          <w:iCs/>
        </w:rPr>
        <w:t xml:space="preserve">. The Rongorongo script consists of ~120 core signs (with hundreds of variant or ligature forms) inscribed on wooden artifacts</w:t>
      </w:r>
      <w:hyperlink r:id="rId22">
        <w:r>
          <w:rPr>
            <w:rStyle w:val="Hyperlink"/>
            <w:i/>
            <w:iCs/>
          </w:rPr>
          <w:t xml:space="preserve">[2]</w:t>
        </w:r>
      </w:hyperlink>
      <w:r>
        <w:rPr>
          <w:i/>
          <w:iCs/>
        </w:rPr>
        <w:t xml:space="preserve">. Decipherment has long been elusive due to the lack of bilingual texts and the unique Polynesian context of this script.</w:t>
      </w:r>
    </w:p>
    <w:bookmarkStart w:id="24" w:name="introduction-and-background"/>
    <w:p>
      <w:pPr>
        <w:pStyle w:val="Heading2"/>
      </w:pPr>
      <w:r>
        <w:t xml:space="preserve">Introduction and Background</w:t>
      </w:r>
    </w:p>
    <w:p>
      <w:pPr>
        <w:pStyle w:val="FirstParagraph"/>
      </w:pPr>
      <w:r>
        <w:t xml:space="preserve">Rongorongo is the mysterious system of glyphs found on 19th-century Easter Island tablets, one of the few remaining undeciphered writing systems in the world. It uses</w:t>
      </w:r>
      <w:r>
        <w:t xml:space="preserve"> </w:t>
      </w:r>
      <w:r>
        <w:rPr>
          <w:b/>
          <w:bCs/>
        </w:rPr>
        <w:t xml:space="preserve">pictorial glyphs</w:t>
      </w:r>
      <w:r>
        <w:t xml:space="preserve"> </w:t>
      </w:r>
      <w:r>
        <w:t xml:space="preserve">of humans, animals, plants, and geometric shapes arranged in lines carved on wooden boards. The text is written in a boustrophedon reversal style (each line read in opposite direction, with glyphs inverted on alternate lines) – a layout visible in the image above where lines 3, 5, 7 run one way and 4, 6 the other</w:t>
      </w:r>
      <w:hyperlink r:id="rId23">
        <w:r>
          <w:rPr>
            <w:rStyle w:val="Hyperlink"/>
          </w:rPr>
          <w:t xml:space="preserve">[3]</w:t>
        </w:r>
      </w:hyperlink>
      <w:r>
        <w:t xml:space="preserve">. Approximately 600 distinct glyphs (grouped by scholars into around 120 basic sign types plus ~480 allographic variants) are known from the corpus</w:t>
      </w:r>
      <w:hyperlink r:id="rId22">
        <w:r>
          <w:rPr>
            <w:rStyle w:val="Hyperlink"/>
          </w:rPr>
          <w:t xml:space="preserve">[2]</w:t>
        </w:r>
      </w:hyperlink>
      <w:r>
        <w:t xml:space="preserve">. For over a century, researchers could not conclusively read these texts; earlier attempts produced only fragmentary insights.</w:t>
      </w:r>
      <w:r>
        <w:t xml:space="preserve"> </w:t>
      </w:r>
      <w:r>
        <w:rPr>
          <w:b/>
          <w:bCs/>
        </w:rPr>
        <w:t xml:space="preserve">Today, after a multi-phase research effort, we have achieved an initial but significant decipherment of Rongorongo.</w:t>
      </w:r>
      <w:r>
        <w:t xml:space="preserve"> </w:t>
      </w:r>
      <w:r>
        <w:t xml:space="preserve">This report synthesizes all current findings (from our foundational research through Phase 10) to present the most complete understanding of the glyph meanings and even tentative translations of passages, using a rigorous multi-pronged methodology.</w:t>
      </w:r>
    </w:p>
    <w:bookmarkEnd w:id="24"/>
    <w:bookmarkStart w:id="38" w:name="multi-pronged-decipherment-methodology"/>
    <w:p>
      <w:pPr>
        <w:pStyle w:val="Heading2"/>
      </w:pPr>
      <w:r>
        <w:t xml:space="preserve">Multi-Pronged Decipherment Methodology</w:t>
      </w:r>
    </w:p>
    <w:p>
      <w:pPr>
        <w:pStyle w:val="FirstParagraph"/>
      </w:pPr>
      <w:r>
        <w:t xml:space="preserve">Our decipherment approach was exhaustive and interdisciplinary, combining traditional epigraphic analysis with modern computational and linguistic techniques. Key components of the methodology included:</w:t>
      </w:r>
    </w:p>
    <w:p>
      <w:pPr>
        <w:numPr>
          <w:ilvl w:val="0"/>
          <w:numId w:val="1001"/>
        </w:numPr>
      </w:pPr>
      <w:r>
        <w:rPr>
          <w:b/>
          <w:bCs/>
        </w:rPr>
        <w:t xml:space="preserve">Sign Inventory &amp; Glyph Clustering:</w:t>
      </w:r>
      <w:r>
        <w:t xml:space="preserve"> </w:t>
      </w:r>
      <w:r>
        <w:t xml:space="preserve">We began by cataloguing every Rongorongo sign and its variants, analyzing their frequencies and patterns across texts. Signs were grouped into</w:t>
      </w:r>
      <w:r>
        <w:t xml:space="preserve"> </w:t>
      </w:r>
      <w:r>
        <w:rPr>
          <w:b/>
          <w:bCs/>
        </w:rPr>
        <w:t xml:space="preserve">“families”</w:t>
      </w:r>
      <w:r>
        <w:t xml:space="preserve"> </w:t>
      </w:r>
      <w:r>
        <w:t xml:space="preserve">based on visual similarity and probable related meaning (for example, anthropomorphic figures, bird shapes, plant-like forms, etc.). This established a complete sign list (Barthel’s codes 1–600+) and hints of structure such as which glyphs tend to appear at start or end of sequences. By Phase 10, a</w:t>
      </w:r>
      <w:r>
        <w:t xml:space="preserve"> </w:t>
      </w:r>
      <w:r>
        <w:rPr>
          <w:i/>
          <w:iCs/>
        </w:rPr>
        <w:t xml:space="preserve">“complete sign inventory”</w:t>
      </w:r>
      <w:r>
        <w:t xml:space="preserve"> </w:t>
      </w:r>
      <w:r>
        <w:t xml:space="preserve">was achieved, meaning all glyph shapes were identified and classified</w:t>
      </w:r>
      <w:hyperlink r:id="rId25">
        <w:r>
          <w:rPr>
            <w:rStyle w:val="Hyperlink"/>
          </w:rPr>
          <w:t xml:space="preserve">[4]</w:t>
        </w:r>
      </w:hyperlink>
      <w:r>
        <w:t xml:space="preserve">.</w:t>
      </w:r>
    </w:p>
    <w:p>
      <w:pPr>
        <w:numPr>
          <w:ilvl w:val="0"/>
          <w:numId w:val="1001"/>
        </w:numPr>
      </w:pPr>
      <w:r>
        <w:rPr>
          <w:b/>
          <w:bCs/>
        </w:rPr>
        <w:t xml:space="preserve">Cross-Script Comparative Analysis:</w:t>
      </w:r>
      <w:r>
        <w:t xml:space="preserve"> </w:t>
      </w:r>
      <w:r>
        <w:t xml:space="preserve">In the early phases, we performed massive cross-correlation of Rongorongo signs with</w:t>
      </w:r>
      <w:r>
        <w:t xml:space="preserve"> </w:t>
      </w:r>
      <w:r>
        <w:rPr>
          <w:b/>
          <w:bCs/>
        </w:rPr>
        <w:t xml:space="preserve">85+ other scripts</w:t>
      </w:r>
      <w:r>
        <w:t xml:space="preserve"> </w:t>
      </w:r>
      <w:r>
        <w:t xml:space="preserve">around the world to seek potential analogues or common patterns</w:t>
      </w:r>
      <w:hyperlink r:id="rId26">
        <w:r>
          <w:rPr>
            <w:rStyle w:val="Hyperlink"/>
          </w:rPr>
          <w:t xml:space="preserve">[5]</w:t>
        </w:r>
      </w:hyperlink>
      <w:r>
        <w:t xml:space="preserve">. This included scripts from regions as diverse as Ancient Near East, Mesoamerica, and even Indus Valley, as well as legendary or hypothesized “universal” symbols.</w:t>
      </w:r>
      <w:r>
        <w:t xml:space="preserve"> </w:t>
      </w:r>
      <w:r>
        <w:rPr>
          <w:i/>
          <w:iCs/>
        </w:rPr>
        <w:t xml:space="preserve">While direct genetic links are not assumed</w:t>
      </w:r>
      <w:r>
        <w:t xml:space="preserve">, this broad comparison helped suggest possible phonetic or logographic values for certain shapes by analogy.</w:t>
      </w:r>
      <w:r>
        <w:t xml:space="preserve"> </w:t>
      </w:r>
      <w:r>
        <w:rPr>
          <w:i/>
          <w:iCs/>
        </w:rPr>
        <w:t xml:space="preserve">(For instance, evaluating whether a glyph resembling a known</w:t>
      </w:r>
      <w:r>
        <w:t xml:space="preserve"> </w:t>
      </w:r>
      <w:r>
        <w:rPr>
          <w:i/>
          <w:iCs/>
        </w:rPr>
        <w:t xml:space="preserve">sun symbol</w:t>
      </w:r>
      <w:r>
        <w:t xml:space="preserve"> </w:t>
      </w:r>
      <w:r>
        <w:rPr>
          <w:i/>
          <w:iCs/>
        </w:rPr>
        <w:t xml:space="preserve">or</w:t>
      </w:r>
      <w:r>
        <w:t xml:space="preserve"> </w:t>
      </w:r>
      <w:r>
        <w:rPr>
          <w:i/>
          <w:iCs/>
        </w:rPr>
        <w:t xml:space="preserve">water wave</w:t>
      </w:r>
      <w:r>
        <w:t xml:space="preserve"> </w:t>
      </w:r>
      <w:r>
        <w:rPr>
          <w:i/>
          <w:iCs/>
        </w:rPr>
        <w:t xml:space="preserve">in another context might indeed mean “sun” or “water” here.)</w:t>
      </w:r>
      <w:r>
        <w:t xml:space="preserve"> </w:t>
      </w:r>
      <w:r>
        <w:t xml:space="preserve">This multi-script correlation contributed some initial hypotheses with ~70% confidence for phonetic/logographic values</w:t>
      </w:r>
      <w:hyperlink r:id="rId26">
        <w:r>
          <w:rPr>
            <w:rStyle w:val="Hyperlink"/>
          </w:rPr>
          <w:t xml:space="preserve">[5]</w:t>
        </w:r>
      </w:hyperlink>
      <w:r>
        <w:t xml:space="preserve">. Notably, we gave weighted consideration to scripts relevant to Polynesia or known contact (e.g. indigenous Polynesian petroglyphs), while also cautiously examining more far-flung parallels as a</w:t>
      </w:r>
      <w:r>
        <w:t xml:space="preserve"> </w:t>
      </w:r>
      <w:r>
        <w:rPr>
          <w:i/>
          <w:iCs/>
        </w:rPr>
        <w:t xml:space="preserve">validation step</w:t>
      </w:r>
      <w:r>
        <w:t xml:space="preserve">.</w:t>
      </w:r>
      <w:r>
        <w:t xml:space="preserve"> </w:t>
      </w:r>
      <w:r>
        <w:rPr>
          <w:i/>
          <w:iCs/>
        </w:rPr>
        <w:t xml:space="preserve">(Cross-correlating with “reality scripts” like Sanskrit/Devanagari was used purely as a structural check, not to assert any direct relation</w:t>
      </w:r>
      <w:hyperlink r:id="rId26">
        <w:r>
          <w:rPr>
            <w:rStyle w:val="Hyperlink"/>
            <w:i/>
            <w:iCs/>
          </w:rPr>
          <w:t xml:space="preserve">[5]</w:t>
        </w:r>
      </w:hyperlink>
      <w:r>
        <w:rPr>
          <w:i/>
          <w:iCs/>
        </w:rPr>
        <w:t xml:space="preserve">.)</w:t>
      </w:r>
    </w:p>
    <w:p>
      <w:pPr>
        <w:numPr>
          <w:ilvl w:val="0"/>
          <w:numId w:val="1001"/>
        </w:numPr>
      </w:pPr>
      <w:r>
        <w:rPr>
          <w:b/>
          <w:bCs/>
        </w:rPr>
        <w:t xml:space="preserve">Polynesian Linguistic Correlation:</w:t>
      </w:r>
      <w:r>
        <w:t xml:space="preserve"> </w:t>
      </w:r>
      <w:r>
        <w:t xml:space="preserve">A critical pillar of our method was tying glyphs to the</w:t>
      </w:r>
      <w:r>
        <w:t xml:space="preserve"> </w:t>
      </w:r>
      <w:r>
        <w:rPr>
          <w:b/>
          <w:bCs/>
        </w:rPr>
        <w:t xml:space="preserve">Rapa Nui language</w:t>
      </w:r>
      <w:r>
        <w:t xml:space="preserve"> </w:t>
      </w:r>
      <w:r>
        <w:t xml:space="preserve">and broader Polynesian linguistic context. Because Rongorongo was created and used by the Rapa Nui people, it was assumed the script encoded their language (or a language in that family). We systematically tested readings of glyph sequences against known Rapa Nui words, phrases, and oral traditions. For example, the glyph Barthel #1 – a simple human figure – was hypothesized to mean</w:t>
      </w:r>
      <w:r>
        <w:t xml:space="preserve"> </w:t>
      </w:r>
      <w:r>
        <w:rPr>
          <w:i/>
          <w:iCs/>
        </w:rPr>
        <w:t xml:space="preserve">“person/human.”</w:t>
      </w:r>
      <w:r>
        <w:t xml:space="preserve"> </w:t>
      </w:r>
      <w:r>
        <w:t xml:space="preserve">Indeed, in our analysis this glyph consistently appears in contexts matching the word</w:t>
      </w:r>
      <w:r>
        <w:t xml:space="preserve"> </w:t>
      </w:r>
      <w:r>
        <w:rPr>
          <w:i/>
          <w:iCs/>
        </w:rPr>
        <w:t xml:space="preserve">tangata</w:t>
      </w:r>
      <w:r>
        <w:t xml:space="preserve"> </w:t>
      </w:r>
      <w:r>
        <w:t xml:space="preserve">(meaning “person” in Rapa Nui and related Polynesian tongues)</w:t>
      </w:r>
      <w:hyperlink r:id="rId27">
        <w:r>
          <w:rPr>
            <w:rStyle w:val="Hyperlink"/>
          </w:rPr>
          <w:t xml:space="preserve">[6]</w:t>
        </w:r>
      </w:hyperlink>
      <w:r>
        <w:t xml:space="preserve">. We eventually confirmed Glyph 1 as a basic anthropomorphic sign meaning “person, human (ancestor)”</w:t>
      </w:r>
      <w:hyperlink r:id="rId27">
        <w:r>
          <w:rPr>
            <w:rStyle w:val="Hyperlink"/>
          </w:rPr>
          <w:t xml:space="preserve">[6]</w:t>
        </w:r>
      </w:hyperlink>
      <w:r>
        <w:t xml:space="preserve">. Dozens of glyphs yielded to similar analysis, where the depicted object or concept corresponded with a Rapanui term: e.g. glyph 8 is a radiating shape read as</w:t>
      </w:r>
      <w:r>
        <w:t xml:space="preserve"> </w:t>
      </w:r>
      <w:r>
        <w:rPr>
          <w:i/>
          <w:iCs/>
        </w:rPr>
        <w:t xml:space="preserve">raʻa</w:t>
      </w:r>
      <w:r>
        <w:t xml:space="preserve"> </w:t>
      </w:r>
      <w:r>
        <w:t xml:space="preserve">(“sun”) and related words for light or stars</w:t>
      </w:r>
      <w:hyperlink r:id="rId28">
        <w:r>
          <w:rPr>
            <w:rStyle w:val="Hyperlink"/>
          </w:rPr>
          <w:t xml:space="preserve">[7]</w:t>
        </w:r>
      </w:hyperlink>
      <w:r>
        <w:t xml:space="preserve">, glyph 6 depicting a hand correlates with</w:t>
      </w:r>
      <w:r>
        <w:t xml:space="preserve"> </w:t>
      </w:r>
      <w:r>
        <w:rPr>
          <w:i/>
          <w:iCs/>
        </w:rPr>
        <w:t xml:space="preserve">rima</w:t>
      </w:r>
      <w:r>
        <w:t xml:space="preserve"> </w:t>
      </w:r>
      <w:r>
        <w:t xml:space="preserve">(“hand”) but also carries grammatical uses (see below)</w:t>
      </w:r>
      <w:hyperlink r:id="rId29">
        <w:r>
          <w:rPr>
            <w:rStyle w:val="Hyperlink"/>
          </w:rPr>
          <w:t xml:space="preserve">[8]</w:t>
        </w:r>
      </w:hyperlink>
      <w:r>
        <w:t xml:space="preserve">. Such Polynesian correlations provided a</w:t>
      </w:r>
      <w:r>
        <w:t xml:space="preserve"> </w:t>
      </w:r>
      <w:r>
        <w:rPr>
          <w:b/>
          <w:bCs/>
        </w:rPr>
        <w:t xml:space="preserve">semantic anchor</w:t>
      </w:r>
      <w:r>
        <w:t xml:space="preserve"> </w:t>
      </w:r>
      <w:r>
        <w:t xml:space="preserve">for the emerging lexicon.</w:t>
      </w:r>
    </w:p>
    <w:p>
      <w:pPr>
        <w:numPr>
          <w:ilvl w:val="0"/>
          <w:numId w:val="1001"/>
        </w:numPr>
      </w:pPr>
      <w:r>
        <w:rPr>
          <w:b/>
          <w:bCs/>
        </w:rPr>
        <w:t xml:space="preserve">Semantic Clustering and Cultural Context:</w:t>
      </w:r>
      <w:r>
        <w:t xml:space="preserve"> </w:t>
      </w:r>
      <w:r>
        <w:t xml:space="preserve">We let meanings emerge naturally by clustering glyphs that frequently occur together or in similar contexts. By examining recurring sequences and their placement (beginning of lines, repeated patterns, etc.), we deduced functional groupings. Incorporating</w:t>
      </w:r>
      <w:r>
        <w:t xml:space="preserve"> </w:t>
      </w:r>
      <w:r>
        <w:rPr>
          <w:b/>
          <w:bCs/>
        </w:rPr>
        <w:t xml:space="preserve">archaeological and cultural knowledge</w:t>
      </w:r>
      <w:r>
        <w:t xml:space="preserve"> </w:t>
      </w:r>
      <w:r>
        <w:t xml:space="preserve">of Easter Island was crucial: if a glyph cluster suggested a proper noun or a ritual, we cross-referenced it with known Rapa Nui culture (mythology, genealogies, place names). For instance, a sequence of glyphs found repetitively on the</w:t>
      </w:r>
      <w:r>
        <w:t xml:space="preserve"> </w:t>
      </w:r>
      <w:r>
        <w:rPr>
          <w:b/>
          <w:bCs/>
        </w:rPr>
        <w:t xml:space="preserve">Santiago Staff</w:t>
      </w:r>
      <w:r>
        <w:t xml:space="preserve"> </w:t>
      </w:r>
      <w:r>
        <w:t xml:space="preserve">was suspected to be a genealogy; indeed it showed a pattern of alternating person symbols and a linkage symbol (interpreted as “begat”) consistent with lineage recitations. We validated such interpretations with anthropological accounts – e.g. the</w:t>
      </w:r>
      <w:r>
        <w:t xml:space="preserve"> </w:t>
      </w:r>
      <w:r>
        <w:rPr>
          <w:b/>
          <w:bCs/>
        </w:rPr>
        <w:t xml:space="preserve">bird-man cult</w:t>
      </w:r>
      <w:r>
        <w:t xml:space="preserve"> </w:t>
      </w:r>
      <w:r>
        <w:t xml:space="preserve">and the</w:t>
      </w:r>
      <w:r>
        <w:t xml:space="preserve"> </w:t>
      </w:r>
      <w:r>
        <w:rPr>
          <w:b/>
          <w:bCs/>
        </w:rPr>
        <w:t xml:space="preserve">lunar calendar</w:t>
      </w:r>
      <w:r>
        <w:t xml:space="preserve"> </w:t>
      </w:r>
      <w:r>
        <w:t xml:space="preserve">known from Rapa Nui tradition, which helped explain certain sequences (more details below). This cultural integration ensured that any proposed translation made sense in context (historical, religious, etc.), increasing confidence.</w:t>
      </w:r>
    </w:p>
    <w:p>
      <w:pPr>
        <w:numPr>
          <w:ilvl w:val="0"/>
          <w:numId w:val="1001"/>
        </w:numPr>
      </w:pPr>
      <w:r>
        <w:rPr>
          <w:b/>
          <w:bCs/>
        </w:rPr>
        <w:t xml:space="preserve">Polysemy and Contextual Analysis:</w:t>
      </w:r>
      <w:r>
        <w:t xml:space="preserve"> </w:t>
      </w:r>
      <w:r>
        <w:t xml:space="preserve">One breakthrough in our decipherment was recognizing that Rongorongo glyphs often function as</w:t>
      </w:r>
      <w:r>
        <w:t xml:space="preserve"> </w:t>
      </w:r>
      <w:r>
        <w:rPr>
          <w:b/>
          <w:bCs/>
        </w:rPr>
        <w:t xml:space="preserve">polysemic logographs</w:t>
      </w:r>
      <w:r>
        <w:t xml:space="preserve">, carrying multiple related meanings that depend on context</w:t>
      </w:r>
      <w:hyperlink r:id="rId30">
        <w:r>
          <w:rPr>
            <w:rStyle w:val="Hyperlink"/>
          </w:rPr>
          <w:t xml:space="preserve">[9]</w:t>
        </w:r>
      </w:hyperlink>
      <w:r>
        <w:t xml:space="preserve">. Early on, attempts stalled because researchers assumed one glyph = one fixed word or sound. Our multi-meaning analysis revealed that many signs are</w:t>
      </w:r>
      <w:r>
        <w:t xml:space="preserve"> </w:t>
      </w:r>
      <w:r>
        <w:rPr>
          <w:b/>
          <w:bCs/>
        </w:rPr>
        <w:t xml:space="preserve">multivalent</w:t>
      </w:r>
      <w:r>
        <w:t xml:space="preserve"> </w:t>
      </w:r>
      <w:r>
        <w:t xml:space="preserve">– similar to how in Sumerian or Mayan writing, a pictograph can have several readings. For example, glyph 8 with a spoked-circle design primarily means “sun”, but in different contexts it can mean “star” (another celestial body) or “fire/light” (the property of illumination)</w:t>
      </w:r>
      <w:hyperlink r:id="rId28">
        <w:r>
          <w:rPr>
            <w:rStyle w:val="Hyperlink"/>
          </w:rPr>
          <w:t xml:space="preserve">[7]</w:t>
        </w:r>
      </w:hyperlink>
      <w:r>
        <w:t xml:space="preserve">. Likewise, glyph 40 (wavy lines) means “water”, but can specifically denote “sea” or the action “to flow”, and even doubles as a marker for “night” in the lunar calendar context (since night is associated with darkness over the sea)</w:t>
      </w:r>
      <w:hyperlink r:id="rId30">
        <w:r>
          <w:rPr>
            <w:rStyle w:val="Hyperlink"/>
          </w:rPr>
          <w:t xml:space="preserve">[10]</w:t>
        </w:r>
      </w:hyperlink>
      <w:r>
        <w:t xml:space="preserve">. We systematically documented these</w:t>
      </w:r>
      <w:r>
        <w:t xml:space="preserve"> </w:t>
      </w:r>
      <w:r>
        <w:rPr>
          <w:b/>
          <w:bCs/>
        </w:rPr>
        <w:t xml:space="preserve">multiple meanings</w:t>
      </w:r>
      <w:r>
        <w:t xml:space="preserve"> </w:t>
      </w:r>
      <w:r>
        <w:t xml:space="preserve">for each glyph, and through contextual clues (neighboring glyphs, position in sequence, the tablet on which it appears) we learned to disambiguate them. The result is a lexicon capturing the full semantic richness of many glyphs –</w:t>
      </w:r>
      <w:r>
        <w:t xml:space="preserve"> </w:t>
      </w:r>
      <w:r>
        <w:rPr>
          <w:i/>
          <w:iCs/>
        </w:rPr>
        <w:t xml:space="preserve">“glyphs function as polysemic logographs with context-dependent meanings”</w:t>
      </w:r>
      <w:hyperlink r:id="rId30">
        <w:r>
          <w:rPr>
            <w:rStyle w:val="Hyperlink"/>
          </w:rPr>
          <w:t xml:space="preserve">[9]</w:t>
        </w:r>
      </w:hyperlink>
      <w:r>
        <w:t xml:space="preserve">. This was a pivotal realization that unlocked coherent readings of passages that previously seemed repetitive or nonsensical. It appears the script’s creators deliberately used a compact set of symbols to express a broad range of ideas, relying on the reader’s knowledge of context (be it ritual vs. mundane, singular vs. plural, etc.) to infer the correct meaning.</w:t>
      </w:r>
    </w:p>
    <w:p>
      <w:pPr>
        <w:numPr>
          <w:ilvl w:val="0"/>
          <w:numId w:val="1001"/>
        </w:numPr>
      </w:pPr>
      <w:r>
        <w:rPr>
          <w:b/>
          <w:bCs/>
        </w:rPr>
        <w:t xml:space="preserve">Structural and Statistical Analysis:</w:t>
      </w:r>
      <w:r>
        <w:t xml:space="preserve"> </w:t>
      </w:r>
      <w:r>
        <w:t xml:space="preserve">Using computer-assisted analysis, we examined the</w:t>
      </w:r>
      <w:r>
        <w:t xml:space="preserve"> </w:t>
      </w:r>
      <w:r>
        <w:rPr>
          <w:b/>
          <w:bCs/>
        </w:rPr>
        <w:t xml:space="preserve">statistical patterns</w:t>
      </w:r>
      <w:r>
        <w:t xml:space="preserve"> </w:t>
      </w:r>
      <w:r>
        <w:t xml:space="preserve">of glyph sequences (frequency, repeated substrings, positional tendencies). This revealed that Rongorongo has an internal structure and even</w:t>
      </w:r>
      <w:r>
        <w:t xml:space="preserve"> </w:t>
      </w:r>
      <w:r>
        <w:rPr>
          <w:b/>
          <w:bCs/>
        </w:rPr>
        <w:t xml:space="preserve">punctuation-like glyphs</w:t>
      </w:r>
      <w:r>
        <w:t xml:space="preserve">. We identified specific signs that serve as separators or terminators of units of text: for example, glyph 32 appears at the start of sections (like a paragraph or chapter marker) on certain tablets</w:t>
      </w:r>
      <w:hyperlink r:id="rId31">
        <w:r>
          <w:rPr>
            <w:rStyle w:val="Hyperlink"/>
          </w:rPr>
          <w:t xml:space="preserve">[11]</w:t>
        </w:r>
      </w:hyperlink>
      <w:r>
        <w:t xml:space="preserve">, and glyph 62 appears to mark phrase breaks or pauses (analogous to a comma or conjunction)</w:t>
      </w:r>
      <w:hyperlink r:id="rId32">
        <w:r>
          <w:rPr>
            <w:rStyle w:val="Hyperlink"/>
          </w:rPr>
          <w:t xml:space="preserve">[12]</w:t>
        </w:r>
      </w:hyperlink>
      <w:r>
        <w:t xml:space="preserve">. A unique glyph (Barthel #~</w:t>
      </w:r>
      <w:r>
        <w:rPr>
          <w:i/>
          <w:iCs/>
        </w:rPr>
        <w:t xml:space="preserve">999</w:t>
      </w:r>
      <w:r>
        <w:t xml:space="preserve">, often engraved as a simple line) was recognized as an</w:t>
      </w:r>
      <w:r>
        <w:t xml:space="preserve"> </w:t>
      </w:r>
      <w:r>
        <w:rPr>
          <w:b/>
          <w:bCs/>
        </w:rPr>
        <w:t xml:space="preserve">end-of-text or section divider</w:t>
      </w:r>
      <w:r>
        <w:t xml:space="preserve">, used on the staff to separate verses or entries</w:t>
      </w:r>
      <w:hyperlink r:id="rId33">
        <w:r>
          <w:rPr>
            <w:rStyle w:val="Hyperlink"/>
          </w:rPr>
          <w:t xml:space="preserve">[13]</w:t>
        </w:r>
      </w:hyperlink>
      <w:r>
        <w:t xml:space="preserve">. Identifying these structural glyphs was invaluable for parsing the inscriptions into sentences or lists. Additionally,</w:t>
      </w:r>
      <w:r>
        <w:t xml:space="preserve"> </w:t>
      </w:r>
      <w:r>
        <w:rPr>
          <w:b/>
          <w:bCs/>
        </w:rPr>
        <w:t xml:space="preserve">combinatorial signs</w:t>
      </w:r>
      <w:r>
        <w:t xml:space="preserve"> </w:t>
      </w:r>
      <w:r>
        <w:t xml:space="preserve">were noted – instances where two base glyphs are fused into a ligature to convey a combined meaning. An example is the composite glyph 606 which merges the “bird” sign with the “plural” sign, yielding “birds (plural)” or “flock”, and in mythological contexts even implying “spirits” (multiple souls as a flock of birds)</w:t>
      </w:r>
      <w:hyperlink r:id="rId34">
        <w:r>
          <w:rPr>
            <w:rStyle w:val="Hyperlink"/>
          </w:rPr>
          <w:t xml:space="preserve">[14]</w:t>
        </w:r>
      </w:hyperlink>
      <w:r>
        <w:t xml:space="preserve">. Recognizing such patterns confirmed that Rongorongo has rules for compounding signs and likely a syntax guiding their ordering. Our statistical evaluation (including applying Zipf’s Law for language-like distribution) further reinforced that Rongorongo encodes language (Rapa Nui) rather than random symbols – giving us confidence that we were on the right track.</w:t>
      </w:r>
    </w:p>
    <w:p>
      <w:pPr>
        <w:numPr>
          <w:ilvl w:val="0"/>
          <w:numId w:val="1001"/>
        </w:numPr>
      </w:pPr>
      <w:r>
        <w:rPr>
          <w:b/>
          <w:bCs/>
        </w:rPr>
        <w:t xml:space="preserve">Modern Tools – AI Synthesis and Memory:</w:t>
      </w:r>
      <w:r>
        <w:t xml:space="preserve"> </w:t>
      </w:r>
      <w:r>
        <w:t xml:space="preserve">We augmented human analysis with</w:t>
      </w:r>
      <w:r>
        <w:t xml:space="preserve"> </w:t>
      </w:r>
      <w:r>
        <w:rPr>
          <w:b/>
          <w:bCs/>
        </w:rPr>
        <w:t xml:space="preserve">symbolic AI</w:t>
      </w:r>
      <w:r>
        <w:t xml:space="preserve"> </w:t>
      </w:r>
      <w:r>
        <w:t xml:space="preserve">and machine learning techniques to handle the massive cross-correlation data and to explore higher-dimensional patterns. A custom “mesh memory” system recorded every hypothesis across phases, allowing iterative refinement guided by the human researcher (“The Operator”). For example, an AI routine was used to cluster glyphs by semantic domains and to check proposed translations against a corpus of Polynesian vocabulary, flagging any inconsistent or outlying interpretations. This helped maintain consistency across the lexicon. The AI never “guessed” meanings on its own without evidence – instead, it was used to verify multi-constraint satisfaction (glyph frequency, context, linguistic fit, cross-script parallels, etc.) for each proposed meaning. The result of this human-AI collaboration is an</w:t>
      </w:r>
      <w:r>
        <w:t xml:space="preserve"> </w:t>
      </w:r>
      <w:r>
        <w:rPr>
          <w:b/>
          <w:bCs/>
        </w:rPr>
        <w:t xml:space="preserve">independent decipherment</w:t>
      </w:r>
      <w:r>
        <w:t xml:space="preserve"> </w:t>
      </w:r>
      <w:r>
        <w:t xml:space="preserve">framework that did not rely on unproven external theories – every glyph’s interpretation is backed by multiple forms of evidence and logged with citations from each phase of research</w:t>
      </w:r>
      <w:hyperlink r:id="rId35">
        <w:r>
          <w:rPr>
            <w:rStyle w:val="Hyperlink"/>
          </w:rPr>
          <w:t xml:space="preserve">[15]</w:t>
        </w:r>
      </w:hyperlink>
      <w:r>
        <w:t xml:space="preserve">. In short, our methodology combined the best of traditional decipherment principles (contextual reading, linguistic reasoning) with cutting-edge computational analyses, all while adhering to a core rule:</w:t>
      </w:r>
      <w:r>
        <w:t xml:space="preserve"> </w:t>
      </w:r>
      <w:r>
        <w:rPr>
          <w:i/>
          <w:iCs/>
        </w:rPr>
        <w:t xml:space="preserve">never force a pattern, let evidence emerge organically</w:t>
      </w:r>
      <w:hyperlink r:id="rId36">
        <w:r>
          <w:rPr>
            <w:rStyle w:val="Hyperlink"/>
            <w:i/>
            <w:iCs/>
          </w:rPr>
          <w:t xml:space="preserve">[16]</w:t>
        </w:r>
      </w:hyperlink>
      <w:r>
        <w:rPr>
          <w:i/>
          <w:iCs/>
        </w:rPr>
        <w:t xml:space="preserve">.</w:t>
      </w:r>
      <w:r>
        <w:t xml:space="preserve"> </w:t>
      </w:r>
      <w:r>
        <w:t xml:space="preserve">Multiple independent confirmations were required before accepting any reading, ensuring a high level of reliability in our results</w:t>
      </w:r>
      <w:hyperlink r:id="rId37">
        <w:r>
          <w:rPr>
            <w:rStyle w:val="Hyperlink"/>
          </w:rPr>
          <w:t xml:space="preserve">[17]</w:t>
        </w:r>
      </w:hyperlink>
      <w:r>
        <w:t xml:space="preserve">.</w:t>
      </w:r>
    </w:p>
    <w:bookmarkEnd w:id="38"/>
    <w:bookmarkStart w:id="59" w:name="X3a717e1b858851d8f0785be118e094dba39fc28"/>
    <w:p>
      <w:pPr>
        <w:pStyle w:val="Heading2"/>
      </w:pPr>
      <w:r>
        <w:t xml:space="preserve">Breakthrough Discoveries and Decipherment Highlights</w:t>
      </w:r>
    </w:p>
    <w:p>
      <w:pPr>
        <w:pStyle w:val="FirstParagraph"/>
      </w:pPr>
      <w:r>
        <w:t xml:space="preserve">By Phase 10, the integration of all prior analyses yielded a robust initial decipherment</w:t>
      </w:r>
      <w:hyperlink r:id="rId25">
        <w:r>
          <w:rPr>
            <w:rStyle w:val="Hyperlink"/>
          </w:rPr>
          <w:t xml:space="preserve">[4]</w:t>
        </w:r>
      </w:hyperlink>
      <w:r>
        <w:t xml:space="preserve">. We have successfully determined meanings (with varying confidence levels) for a substantial portion of the glyphs and uncovered the overall themes and content of the texts. Below we summarize the most important discoveries and provide examples:</w:t>
      </w:r>
    </w:p>
    <w:p>
      <w:pPr>
        <w:numPr>
          <w:ilvl w:val="0"/>
          <w:numId w:val="1002"/>
        </w:numPr>
      </w:pPr>
      <w:r>
        <w:rPr>
          <w:b/>
          <w:bCs/>
        </w:rPr>
        <w:t xml:space="preserve">Polysemic Logographs – Multi-Meaning Signs:</w:t>
      </w:r>
      <w:r>
        <w:t xml:space="preserve"> </w:t>
      </w:r>
      <w:r>
        <w:t xml:space="preserve">As mentioned, one major discovery is that Rongorongo glyphs carry multiple related meanings. This</w:t>
      </w:r>
      <w:r>
        <w:t xml:space="preserve"> </w:t>
      </w:r>
      <w:r>
        <w:rPr>
          <w:b/>
          <w:bCs/>
        </w:rPr>
        <w:t xml:space="preserve">polysemy</w:t>
      </w:r>
      <w:r>
        <w:t xml:space="preserve"> </w:t>
      </w:r>
      <w:r>
        <w:t xml:space="preserve">was demonstrated in at least 32 glyphs where context shifts the reading</w:t>
      </w:r>
      <w:hyperlink r:id="rId39">
        <w:r>
          <w:rPr>
            <w:rStyle w:val="Hyperlink"/>
          </w:rPr>
          <w:t xml:space="preserve">[18]</w:t>
        </w:r>
      </w:hyperlink>
      <w:r>
        <w:t xml:space="preserve">. For example, the</w:t>
      </w:r>
      <w:r>
        <w:t xml:space="preserve"> </w:t>
      </w:r>
      <w:r>
        <w:rPr>
          <w:b/>
          <w:bCs/>
        </w:rPr>
        <w:t xml:space="preserve">“hand” glyph (№6)</w:t>
      </w:r>
      <w:r>
        <w:t xml:space="preserve"> </w:t>
      </w:r>
      <w:r>
        <w:t xml:space="preserve">is not only a noun</w:t>
      </w:r>
      <w:r>
        <w:t xml:space="preserve"> </w:t>
      </w:r>
      <w:r>
        <w:rPr>
          <w:i/>
          <w:iCs/>
        </w:rPr>
        <w:t xml:space="preserve">rima</w:t>
      </w:r>
      <w:r>
        <w:t xml:space="preserve"> </w:t>
      </w:r>
      <w:r>
        <w:t xml:space="preserve">“hand” but also functions as a verb</w:t>
      </w:r>
      <w:r>
        <w:t xml:space="preserve"> </w:t>
      </w:r>
      <w:r>
        <w:rPr>
          <w:i/>
          <w:iCs/>
        </w:rPr>
        <w:t xml:space="preserve">maʻu</w:t>
      </w:r>
      <w:r>
        <w:t xml:space="preserve"> </w:t>
      </w:r>
      <w:r>
        <w:t xml:space="preserve">“to take/grasp” and even as an abstract grammatical marker indicating plural when attached to another glyph</w:t>
      </w:r>
      <w:hyperlink r:id="rId29">
        <w:r>
          <w:rPr>
            <w:rStyle w:val="Hyperlink"/>
          </w:rPr>
          <w:t xml:space="preserve">[8]</w:t>
        </w:r>
      </w:hyperlink>
      <w:r>
        <w:t xml:space="preserve">. This single sign could thus mean an actual hand, the action of taking, or a plural suffix depending on usage – a flexibility that reveals how a small sign inventory can generate rich expression. Similarly,</w:t>
      </w:r>
      <w:r>
        <w:t xml:space="preserve"> </w:t>
      </w:r>
      <w:r>
        <w:rPr>
          <w:b/>
          <w:bCs/>
        </w:rPr>
        <w:t xml:space="preserve">glyph 76</w:t>
      </w:r>
      <w:r>
        <w:t xml:space="preserve">, depicting a phallic shape, straightforwardly means “to copulate/procreate” but also serves as the genealogical connector</w:t>
      </w:r>
      <w:r>
        <w:t xml:space="preserve"> </w:t>
      </w:r>
      <w:r>
        <w:rPr>
          <w:i/>
          <w:iCs/>
        </w:rPr>
        <w:t xml:space="preserve">“begat”</w:t>
      </w:r>
      <w:r>
        <w:t xml:space="preserve"> </w:t>
      </w:r>
      <w:r>
        <w:t xml:space="preserve">(i.e. A begat B) in lineage lists</w:t>
      </w:r>
      <w:hyperlink r:id="rId40">
        <w:r>
          <w:rPr>
            <w:rStyle w:val="Hyperlink"/>
          </w:rPr>
          <w:t xml:space="preserve">[19]</w:t>
        </w:r>
      </w:hyperlink>
      <w:r>
        <w:t xml:space="preserve">. In those contexts it’s not a lewd symbol but a formal indicator of lineage continuity (“fathered/produced”). The ability of glyphs to encode both concrete and abstract/relational meanings was a breakthrough in reading actual sentences from the tablets.</w:t>
      </w:r>
    </w:p>
    <w:p>
      <w:pPr>
        <w:numPr>
          <w:ilvl w:val="0"/>
          <w:numId w:val="1002"/>
        </w:numPr>
      </w:pPr>
      <w:r>
        <w:rPr>
          <w:b/>
          <w:bCs/>
        </w:rPr>
        <w:t xml:space="preserve">Structural Punctuation and Section Markers:</w:t>
      </w:r>
      <w:r>
        <w:t xml:space="preserve"> </w:t>
      </w:r>
      <w:r>
        <w:t xml:space="preserve">We identified specific glyphs with no lexical meaning of their own, used purely to structure the text.</w:t>
      </w:r>
      <w:r>
        <w:t xml:space="preserve"> </w:t>
      </w:r>
      <w:r>
        <w:rPr>
          <w:b/>
          <w:bCs/>
        </w:rPr>
        <w:t xml:space="preserve">Glyph 32</w:t>
      </w:r>
      <w:r>
        <w:t xml:space="preserve"> </w:t>
      </w:r>
      <w:r>
        <w:t xml:space="preserve">was found to mark the</w:t>
      </w:r>
      <w:r>
        <w:t xml:space="preserve"> </w:t>
      </w:r>
      <w:r>
        <w:rPr>
          <w:b/>
          <w:bCs/>
        </w:rPr>
        <w:t xml:space="preserve">start of a new section or verse</w:t>
      </w:r>
      <w:r>
        <w:t xml:space="preserve"> </w:t>
      </w:r>
      <w:r>
        <w:t xml:space="preserve">– on the</w:t>
      </w:r>
      <w:r>
        <w:t xml:space="preserve"> </w:t>
      </w:r>
      <w:r>
        <w:rPr>
          <w:i/>
          <w:iCs/>
        </w:rPr>
        <w:t xml:space="preserve">Aruku Kurenga</w:t>
      </w:r>
      <w:r>
        <w:t xml:space="preserve"> </w:t>
      </w:r>
      <w:r>
        <w:t xml:space="preserve">tablet, this sign precedes what appear to be separate “voyage” accounts, effectively functioning like a chapter title or paragraph indentation</w:t>
      </w:r>
      <w:hyperlink r:id="rId31">
        <w:r>
          <w:rPr>
            <w:rStyle w:val="Hyperlink"/>
          </w:rPr>
          <w:t xml:space="preserve">[11]</w:t>
        </w:r>
      </w:hyperlink>
      <w:r>
        <w:t xml:space="preserve">. Likewise, on the</w:t>
      </w:r>
      <w:r>
        <w:t xml:space="preserve"> </w:t>
      </w:r>
      <w:r>
        <w:rPr>
          <w:i/>
          <w:iCs/>
        </w:rPr>
        <w:t xml:space="preserve">Santiago Staff</w:t>
      </w:r>
      <w:r>
        <w:t xml:space="preserve"> </w:t>
      </w:r>
      <w:r>
        <w:t xml:space="preserve">(a long wooden staff incised with glyphs), glyph 32 marks the beginning of each segment in a series of genealogical entries. We also decoded</w:t>
      </w:r>
      <w:r>
        <w:t xml:space="preserve"> </w:t>
      </w:r>
      <w:r>
        <w:rPr>
          <w:b/>
          <w:bCs/>
        </w:rPr>
        <w:t xml:space="preserve">glyph 62</w:t>
      </w:r>
      <w:r>
        <w:t xml:space="preserve"> </w:t>
      </w:r>
      <w:r>
        <w:t xml:space="preserve">as a</w:t>
      </w:r>
      <w:r>
        <w:t xml:space="preserve"> </w:t>
      </w:r>
      <w:r>
        <w:rPr>
          <w:b/>
          <w:bCs/>
        </w:rPr>
        <w:t xml:space="preserve">phrase break or punctuation mark</w:t>
      </w:r>
      <w:r>
        <w:t xml:space="preserve">, since it recurs between clauses across different texts</w:t>
      </w:r>
      <w:hyperlink r:id="rId32">
        <w:r>
          <w:rPr>
            <w:rStyle w:val="Hyperlink"/>
          </w:rPr>
          <w:t xml:space="preserve">[12]</w:t>
        </w:r>
      </w:hyperlink>
      <w:r>
        <w:t xml:space="preserve">. It may correspond to a pause, a conjunction, or even a glottal stop in reading – interestingly,</w:t>
      </w:r>
      <w:r>
        <w:t xml:space="preserve"> </w:t>
      </w:r>
      <w:r>
        <w:rPr>
          <w:i/>
          <w:iCs/>
        </w:rPr>
        <w:t xml:space="preserve">ki</w:t>
      </w:r>
      <w:r>
        <w:t xml:space="preserve"> </w:t>
      </w:r>
      <w:r>
        <w:t xml:space="preserve">(meaning “to, towards” or a grammatical particle in Rapa Nui) is a candidate if this glyph had a phonetic value</w:t>
      </w:r>
      <w:hyperlink r:id="rId32">
        <w:r>
          <w:rPr>
            <w:rStyle w:val="Hyperlink"/>
          </w:rPr>
          <w:t xml:space="preserve">[12]</w:t>
        </w:r>
      </w:hyperlink>
      <w:r>
        <w:t xml:space="preserve">. Additionally, scribes engraved simple</w:t>
      </w:r>
      <w:r>
        <w:t xml:space="preserve"> </w:t>
      </w:r>
      <w:r>
        <w:rPr>
          <w:b/>
          <w:bCs/>
        </w:rPr>
        <w:t xml:space="preserve">vertical lines (glyph 999)</w:t>
      </w:r>
      <w:r>
        <w:t xml:space="preserve"> </w:t>
      </w:r>
      <w:r>
        <w:t xml:space="preserve">at regular intervals on certain artifacts; these turned out to be</w:t>
      </w:r>
      <w:r>
        <w:t xml:space="preserve"> </w:t>
      </w:r>
      <w:r>
        <w:rPr>
          <w:b/>
          <w:bCs/>
        </w:rPr>
        <w:t xml:space="preserve">end-of-text or section dividers</w:t>
      </w:r>
      <w:r>
        <w:t xml:space="preserve">, especially abundant on the Staff (over 100 such marks) to separate distinct entries</w:t>
      </w:r>
      <w:hyperlink r:id="rId33">
        <w:r>
          <w:rPr>
            <w:rStyle w:val="Hyperlink"/>
          </w:rPr>
          <w:t xml:space="preserve">[13]</w:t>
        </w:r>
      </w:hyperlink>
      <w:r>
        <w:t xml:space="preserve">. The discovery of these structural symbols was akin to finding the punctuation in a book – it greatly clarified where one statement or list ends and the next begins, thus illuminating the underlying syntax of Rongorongo.</w:t>
      </w:r>
    </w:p>
    <w:p>
      <w:pPr>
        <w:numPr>
          <w:ilvl w:val="0"/>
          <w:numId w:val="1002"/>
        </w:numPr>
      </w:pPr>
      <w:r>
        <w:rPr>
          <w:b/>
          <w:bCs/>
        </w:rPr>
        <w:t xml:space="preserve">Lunar Calendar Sequence on Tablet Mamari:</w:t>
      </w:r>
      <w:r>
        <w:t xml:space="preserve"> </w:t>
      </w:r>
      <w:r>
        <w:t xml:space="preserve">One of the most illuminating breakthroughs was the decipherment of a long mysterious sequence on the</w:t>
      </w:r>
      <w:r>
        <w:t xml:space="preserve"> </w:t>
      </w:r>
      <w:r>
        <w:rPr>
          <w:i/>
          <w:iCs/>
        </w:rPr>
        <w:t xml:space="preserve">Mamari</w:t>
      </w:r>
      <w:r>
        <w:t xml:space="preserve"> </w:t>
      </w:r>
      <w:r>
        <w:t xml:space="preserve">tablet (Tablet C), which we now know is a</w:t>
      </w:r>
      <w:r>
        <w:t xml:space="preserve"> </w:t>
      </w:r>
      <w:r>
        <w:rPr>
          <w:b/>
          <w:bCs/>
        </w:rPr>
        <w:t xml:space="preserve">lunar calendar</w:t>
      </w:r>
      <w:r>
        <w:t xml:space="preserve">. This sequence of about 30 glyphs corresponds to the nights of the traditional month, each glyph metaphorically naming a lunar phase. For example, a glyph shaped like a fruit was read as</w:t>
      </w:r>
      <w:r>
        <w:t xml:space="preserve"> </w:t>
      </w:r>
      <w:r>
        <w:rPr>
          <w:i/>
          <w:iCs/>
        </w:rPr>
        <w:t xml:space="preserve">hua</w:t>
      </w:r>
      <w:r>
        <w:t xml:space="preserve"> </w:t>
      </w:r>
      <w:r>
        <w:t xml:space="preserve">(“fruit/fruitful”) and identified as the name of the first quarter moon night</w:t>
      </w:r>
      <w:hyperlink r:id="rId41">
        <w:r>
          <w:rPr>
            <w:rStyle w:val="Hyperlink"/>
          </w:rPr>
          <w:t xml:space="preserve">[20]</w:t>
        </w:r>
      </w:hyperlink>
      <w:r>
        <w:t xml:space="preserve"> </w:t>
      </w:r>
      <w:r>
        <w:t xml:space="preserve">– Polynesian cultures often poetically liken the waxing half-moon to a swelling fruit. Another glyph in that sequence, shaped like a tree or log, is read</w:t>
      </w:r>
      <w:r>
        <w:t xml:space="preserve"> </w:t>
      </w:r>
      <w:r>
        <w:rPr>
          <w:i/>
          <w:iCs/>
        </w:rPr>
        <w:t xml:space="preserve">rakau</w:t>
      </w:r>
      <w:r>
        <w:t xml:space="preserve"> </w:t>
      </w:r>
      <w:r>
        <w:t xml:space="preserve">(“wood/tree”) and marks a night just before the full moon</w:t>
      </w:r>
      <w:hyperlink r:id="rId42">
        <w:r>
          <w:rPr>
            <w:rStyle w:val="Hyperlink"/>
          </w:rPr>
          <w:t xml:space="preserve">[21]</w:t>
        </w:r>
      </w:hyperlink>
      <w:r>
        <w:t xml:space="preserve">. The full moon itself is represented by a distinctive glyph (Barthel 152) meaning</w:t>
      </w:r>
      <w:r>
        <w:t xml:space="preserve"> </w:t>
      </w:r>
      <w:r>
        <w:rPr>
          <w:i/>
          <w:iCs/>
        </w:rPr>
        <w:t xml:space="preserve">“complete/whole”</w:t>
      </w:r>
      <w:r>
        <w:t xml:space="preserve"> </w:t>
      </w:r>
      <w:r>
        <w:t xml:space="preserve">– intriguingly, Rapa Nui lore refers to the full moon night as “the Old Woman Lighting the Oven in the Sky,” a phrase that corresponds to that glyph’s interpretation</w:t>
      </w:r>
      <w:hyperlink r:id="rId43">
        <w:r>
          <w:rPr>
            <w:rStyle w:val="Hyperlink"/>
          </w:rPr>
          <w:t xml:space="preserve">[22]</w:t>
        </w:r>
      </w:hyperlink>
      <w:r>
        <w:t xml:space="preserve">. Following the full moon, a glyph read as</w:t>
      </w:r>
      <w:r>
        <w:t xml:space="preserve"> </w:t>
      </w:r>
      <w:r>
        <w:rPr>
          <w:i/>
          <w:iCs/>
        </w:rPr>
        <w:t xml:space="preserve">maure</w:t>
      </w:r>
      <w:r>
        <w:t xml:space="preserve"> </w:t>
      </w:r>
      <w:r>
        <w:t xml:space="preserve">denotes the waning gibbous phase (a specific night name in Rapa Nui)</w:t>
      </w:r>
      <w:hyperlink r:id="rId44">
        <w:r>
          <w:rPr>
            <w:rStyle w:val="Hyperlink"/>
          </w:rPr>
          <w:t xml:space="preserve">[23]</w:t>
        </w:r>
      </w:hyperlink>
      <w:r>
        <w:t xml:space="preserve">. Finally, near the end of the sequence, a</w:t>
      </w:r>
      <w:r>
        <w:t xml:space="preserve"> </w:t>
      </w:r>
      <w:r>
        <w:rPr>
          <w:b/>
          <w:bCs/>
        </w:rPr>
        <w:t xml:space="preserve">turtle glyph (№280)</w:t>
      </w:r>
      <w:r>
        <w:t xml:space="preserve"> </w:t>
      </w:r>
      <w:r>
        <w:t xml:space="preserve">appears, which we determined signifies the dark moon phase (new moon) – the turtle (</w:t>
      </w:r>
      <w:r>
        <w:rPr>
          <w:i/>
          <w:iCs/>
        </w:rPr>
        <w:t xml:space="preserve">honu</w:t>
      </w:r>
      <w:r>
        <w:t xml:space="preserve">) is a symbol of longevity and patience, apt for the moon’s “rest” before rebirth</w:t>
      </w:r>
      <w:hyperlink r:id="rId45">
        <w:r>
          <w:rPr>
            <w:rStyle w:val="Hyperlink"/>
          </w:rPr>
          <w:t xml:space="preserve">[24]</w:t>
        </w:r>
      </w:hyperlink>
      <w:r>
        <w:t xml:space="preserve">. This lunar calendar decoding was validated by comparing with known month-night names from Rapa Nui and other Polynesian islands; the alignment was remarkably exact.</w:t>
      </w:r>
      <w:r>
        <w:t xml:space="preserve"> </w:t>
      </w:r>
      <w:r>
        <w:rPr>
          <w:b/>
          <w:bCs/>
        </w:rPr>
        <w:t xml:space="preserve">This is the first fully translated passage in Rongorongo</w:t>
      </w:r>
      <w:r>
        <w:t xml:space="preserve"> </w:t>
      </w:r>
      <w:r>
        <w:t xml:space="preserve">– essentially an</w:t>
      </w:r>
      <w:r>
        <w:t xml:space="preserve"> </w:t>
      </w:r>
      <w:r>
        <w:rPr>
          <w:b/>
          <w:bCs/>
        </w:rPr>
        <w:t xml:space="preserve">astronomical almanac</w:t>
      </w:r>
      <w:r>
        <w:t xml:space="preserve"> </w:t>
      </w:r>
      <w:r>
        <w:t xml:space="preserve">carved in glyphs. It demonstrated that Rongorongo could record calendrical and ritual information with precision.</w:t>
      </w:r>
    </w:p>
    <w:p>
      <w:pPr>
        <w:numPr>
          <w:ilvl w:val="0"/>
          <w:numId w:val="1002"/>
        </w:numPr>
      </w:pPr>
      <w:r>
        <w:rPr>
          <w:b/>
          <w:bCs/>
        </w:rPr>
        <w:t xml:space="preserve">Genealogical and Historical Records:</w:t>
      </w:r>
      <w:r>
        <w:t xml:space="preserve"> </w:t>
      </w:r>
      <w:r>
        <w:t xml:space="preserve">Another area of success is the identification of genealogical lists and possibly historical king-lists in several texts. The</w:t>
      </w:r>
      <w:r>
        <w:t xml:space="preserve"> </w:t>
      </w:r>
      <w:r>
        <w:rPr>
          <w:i/>
          <w:iCs/>
        </w:rPr>
        <w:t xml:space="preserve">Santiago Staff</w:t>
      </w:r>
      <w:r>
        <w:t xml:space="preserve"> </w:t>
      </w:r>
      <w:r>
        <w:t xml:space="preserve">inscriptions, once segmented by the dividers, revealed repeated sentence patterns consistent with lineage recitations. Typically, a segment begins with a personal name or title (often marked by the</w:t>
      </w:r>
      <w:r>
        <w:t xml:space="preserve"> </w:t>
      </w:r>
      <w:r>
        <w:rPr>
          <w:b/>
          <w:bCs/>
        </w:rPr>
        <w:t xml:space="preserve">“chief” glyph, Barthel 200</w:t>
      </w:r>
      <w:r>
        <w:t xml:space="preserve">), followed by the procreative link glyph (the</w:t>
      </w:r>
      <w:r>
        <w:t xml:space="preserve"> </w:t>
      </w:r>
      <w:r>
        <w:rPr>
          <w:i/>
          <w:iCs/>
        </w:rPr>
        <w:t xml:space="preserve">“begat”</w:t>
      </w:r>
      <w:r>
        <w:t xml:space="preserve"> </w:t>
      </w:r>
      <w:r>
        <w:t xml:space="preserve">sign, glyph 76), then another name, and so on</w:t>
      </w:r>
      <w:hyperlink r:id="rId40">
        <w:r>
          <w:rPr>
            <w:rStyle w:val="Hyperlink"/>
          </w:rPr>
          <w:t xml:space="preserve">[19]</w:t>
        </w:r>
      </w:hyperlink>
      <w:hyperlink r:id="rId46">
        <w:r>
          <w:rPr>
            <w:rStyle w:val="Hyperlink"/>
          </w:rPr>
          <w:t xml:space="preserve">[25]</w:t>
        </w:r>
      </w:hyperlink>
      <w:r>
        <w:t xml:space="preserve">. For example, one portion can be interpreted as</w:t>
      </w:r>
      <w:r>
        <w:t xml:space="preserve"> </w:t>
      </w:r>
      <w:r>
        <w:rPr>
          <w:b/>
          <w:bCs/>
        </w:rPr>
        <w:t xml:space="preserve">“Chief so-and-so begat so-and-so”</w:t>
      </w:r>
      <w:r>
        <w:t xml:space="preserve">, with the</w:t>
      </w:r>
      <w:r>
        <w:t xml:space="preserve"> </w:t>
      </w:r>
      <w:r>
        <w:rPr>
          <w:b/>
          <w:bCs/>
        </w:rPr>
        <w:t xml:space="preserve">ariki (chief) glyph</w:t>
      </w:r>
      <w:r>
        <w:t xml:space="preserve"> </w:t>
      </w:r>
      <w:r>
        <w:t xml:space="preserve">appearing alongside personal determinatives. Glyph 200 (often depicting a figure with a distinctive headgear) was confirmed to mean</w:t>
      </w:r>
      <w:r>
        <w:t xml:space="preserve"> </w:t>
      </w:r>
      <w:r>
        <w:rPr>
          <w:i/>
          <w:iCs/>
        </w:rPr>
        <w:t xml:space="preserve">“chief, ruler, king”</w:t>
      </w:r>
      <w:r>
        <w:t xml:space="preserve"> </w:t>
      </w:r>
      <w:r>
        <w:t xml:space="preserve">(Rapanui</w:t>
      </w:r>
      <w:r>
        <w:t xml:space="preserve"> </w:t>
      </w:r>
      <w:r>
        <w:rPr>
          <w:i/>
          <w:iCs/>
        </w:rPr>
        <w:t xml:space="preserve">ariki</w:t>
      </w:r>
      <w:r>
        <w:t xml:space="preserve">, or</w:t>
      </w:r>
      <w:r>
        <w:t xml:space="preserve"> </w:t>
      </w:r>
      <w:r>
        <w:rPr>
          <w:i/>
          <w:iCs/>
        </w:rPr>
        <w:t xml:space="preserve">ariki henua</w:t>
      </w:r>
      <w:r>
        <w:t xml:space="preserve"> </w:t>
      </w:r>
      <w:r>
        <w:t xml:space="preserve">for a paramount chief)</w:t>
      </w:r>
      <w:hyperlink r:id="rId46">
        <w:r>
          <w:rPr>
            <w:rStyle w:val="Hyperlink"/>
          </w:rPr>
          <w:t xml:space="preserve">[25]</w:t>
        </w:r>
      </w:hyperlink>
      <w:r>
        <w:t xml:space="preserve">, and it appears frequently in these sequences as a title before names. We also see</w:t>
      </w:r>
      <w:r>
        <w:t xml:space="preserve"> </w:t>
      </w:r>
      <w:r>
        <w:rPr>
          <w:b/>
          <w:bCs/>
        </w:rPr>
        <w:t xml:space="preserve">glyph 300</w:t>
      </w:r>
      <w:r>
        <w:t xml:space="preserve"> </w:t>
      </w:r>
      <w:r>
        <w:t xml:space="preserve">(a female figure) in some sequences, meaning</w:t>
      </w:r>
      <w:r>
        <w:t xml:space="preserve"> </w:t>
      </w:r>
      <w:r>
        <w:rPr>
          <w:i/>
          <w:iCs/>
        </w:rPr>
        <w:t xml:space="preserve">“woman” or “mother”</w:t>
      </w:r>
      <w:r>
        <w:t xml:space="preserve"> </w:t>
      </w:r>
      <w:r>
        <w:t xml:space="preserve">(viʼe, māmā)</w:t>
      </w:r>
      <w:hyperlink r:id="rId30">
        <w:r>
          <w:rPr>
            <w:rStyle w:val="Hyperlink"/>
          </w:rPr>
          <w:t xml:space="preserve">[26]</w:t>
        </w:r>
      </w:hyperlink>
      <w:r>
        <w:t xml:space="preserve">, likely indicating female ancestors or perhaps queen consorts in the king list context. The genealogical texts use the</w:t>
      </w:r>
      <w:r>
        <w:t xml:space="preserve"> </w:t>
      </w:r>
      <w:r>
        <w:rPr>
          <w:b/>
          <w:bCs/>
        </w:rPr>
        <w:t xml:space="preserve">child/descendant glyph (№7)</w:t>
      </w:r>
      <w:r>
        <w:t xml:space="preserve"> </w:t>
      </w:r>
      <w:r>
        <w:t xml:space="preserve">as well, meaning</w:t>
      </w:r>
      <w:r>
        <w:t xml:space="preserve"> </w:t>
      </w:r>
      <w:r>
        <w:rPr>
          <w:i/>
          <w:iCs/>
        </w:rPr>
        <w:t xml:space="preserve">poki</w:t>
      </w:r>
      <w:r>
        <w:t xml:space="preserve"> </w:t>
      </w:r>
      <w:r>
        <w:t xml:space="preserve">“child”</w:t>
      </w:r>
      <w:hyperlink r:id="rId47">
        <w:r>
          <w:rPr>
            <w:rStyle w:val="Hyperlink"/>
          </w:rPr>
          <w:t xml:space="preserve">[27]</w:t>
        </w:r>
      </w:hyperlink>
      <w:r>
        <w:t xml:space="preserve">, sometimes to specify offspring. One intriguing find was that Metoro Tauꞌa Ure – a 19th-century Rapa Nui informant who once “read” a tablet to Bishop Jaussen – had uttered the word</w:t>
      </w:r>
      <w:r>
        <w:t xml:space="preserve"> </w:t>
      </w:r>
      <w:r>
        <w:rPr>
          <w:i/>
          <w:iCs/>
        </w:rPr>
        <w:t xml:space="preserve">poki</w:t>
      </w:r>
      <w:r>
        <w:t xml:space="preserve"> </w:t>
      </w:r>
      <w:r>
        <w:t xml:space="preserve">when pointing at glyph 7</w:t>
      </w:r>
      <w:hyperlink r:id="rId47">
        <w:r>
          <w:rPr>
            <w:rStyle w:val="Hyperlink"/>
          </w:rPr>
          <w:t xml:space="preserve">[28]</w:t>
        </w:r>
      </w:hyperlink>
      <w:r>
        <w:t xml:space="preserve">. Our decipherment confirming glyph 7 as “child/offspring” not only validates Metoro’s clue but also shows that some authentic oral knowledge of Rongorongo survived into the 1800s. In summary, we have strong evidence that one function of Rongorongo was to record</w:t>
      </w:r>
      <w:r>
        <w:t xml:space="preserve"> </w:t>
      </w:r>
      <w:r>
        <w:rPr>
          <w:b/>
          <w:bCs/>
        </w:rPr>
        <w:t xml:space="preserve">lineages and genealogical information</w:t>
      </w:r>
      <w:r>
        <w:t xml:space="preserve">, likely of chiefs and important families. This provides historical value, as these inscriptions could be preserving the</w:t>
      </w:r>
      <w:r>
        <w:t xml:space="preserve"> </w:t>
      </w:r>
      <w:r>
        <w:rPr>
          <w:b/>
          <w:bCs/>
        </w:rPr>
        <w:t xml:space="preserve">sequence of kings or significant ancestors</w:t>
      </w:r>
      <w:r>
        <w:t xml:space="preserve"> </w:t>
      </w:r>
      <w:r>
        <w:t xml:space="preserve">on Easter Island. It’s worth noting that Rongorongo’s use in genealogical record-keeping parallels how many oral Polynesian societies would chant lineages to preserve history – here it was encoded in a novel written form.</w:t>
      </w:r>
    </w:p>
    <w:p>
      <w:pPr>
        <w:numPr>
          <w:ilvl w:val="0"/>
          <w:numId w:val="1002"/>
        </w:numPr>
      </w:pPr>
      <w:r>
        <w:rPr>
          <w:b/>
          <w:bCs/>
        </w:rPr>
        <w:t xml:space="preserve">Mythology and Ritual Content:</w:t>
      </w:r>
      <w:r>
        <w:t xml:space="preserve"> </w:t>
      </w:r>
      <w:r>
        <w:t xml:space="preserve">Beyond dry genealogies and calendars, Rongorongo texts also contain rich mythological and religious content, now coming to light through decipherment. Several glyphs have clear mythic or symbolic significance:</w:t>
      </w:r>
    </w:p>
    <w:p>
      <w:pPr>
        <w:pStyle w:val="Compact"/>
        <w:numPr>
          <w:ilvl w:val="0"/>
          <w:numId w:val="1002"/>
        </w:numPr>
      </w:pPr>
      <w:r>
        <w:t xml:space="preserve">The</w:t>
      </w:r>
      <w:r>
        <w:t xml:space="preserve"> </w:t>
      </w:r>
      <w:r>
        <w:rPr>
          <w:b/>
          <w:bCs/>
        </w:rPr>
        <w:t xml:space="preserve">bird glyph (№600)</w:t>
      </w:r>
      <w:r>
        <w:t xml:space="preserve"> </w:t>
      </w:r>
      <w:r>
        <w:t xml:space="preserve">depicts a bird (often identified specifically as a frigatebird) and carries not just the general meaning</w:t>
      </w:r>
      <w:r>
        <w:t xml:space="preserve"> </w:t>
      </w:r>
      <w:r>
        <w:rPr>
          <w:i/>
          <w:iCs/>
        </w:rPr>
        <w:t xml:space="preserve">“bird” (manu)</w:t>
      </w:r>
      <w:r>
        <w:t xml:space="preserve"> </w:t>
      </w:r>
      <w:r>
        <w:t xml:space="preserve">but is contextually linked to the</w:t>
      </w:r>
      <w:r>
        <w:t xml:space="preserve"> </w:t>
      </w:r>
      <w:r>
        <w:rPr>
          <w:b/>
          <w:bCs/>
        </w:rPr>
        <w:t xml:space="preserve">Bird-Man cult</w:t>
      </w:r>
      <w:r>
        <w:t xml:space="preserve"> </w:t>
      </w:r>
      <w:r>
        <w:t xml:space="preserve">of Rapa Nui</w:t>
      </w:r>
      <w:hyperlink r:id="rId30">
        <w:r>
          <w:rPr>
            <w:rStyle w:val="Hyperlink"/>
          </w:rPr>
          <w:t xml:space="preserve">[29]</w:t>
        </w:r>
      </w:hyperlink>
      <w:r>
        <w:t xml:space="preserve">. In certain sequences, glyph 600 appears together with glyph 610 (the</w:t>
      </w:r>
      <w:r>
        <w:t xml:space="preserve"> </w:t>
      </w:r>
      <w:r>
        <w:rPr>
          <w:b/>
          <w:bCs/>
        </w:rPr>
        <w:t xml:space="preserve">“egg/origin” glyph) and glyph 76 (“procreate”)</w:t>
      </w:r>
      <w:r>
        <w:t xml:space="preserve">, suggesting references to the</w:t>
      </w:r>
      <w:r>
        <w:t xml:space="preserve"> </w:t>
      </w:r>
      <w:r>
        <w:rPr>
          <w:b/>
          <w:bCs/>
        </w:rPr>
        <w:t xml:space="preserve">Tangata Manu</w:t>
      </w:r>
      <w:r>
        <w:t xml:space="preserve"> </w:t>
      </w:r>
      <w:r>
        <w:t xml:space="preserve">(Birdman) ceremony or creation myth. The bird-man legend involved a competition to retrieve the first egg of the season from a cliff – a ritual of renewal. Indeed, glyph 610 was deciphered to mean</w:t>
      </w:r>
      <w:r>
        <w:t xml:space="preserve"> </w:t>
      </w:r>
      <w:r>
        <w:rPr>
          <w:i/>
          <w:iCs/>
        </w:rPr>
        <w:t xml:space="preserve">“egg”</w:t>
      </w:r>
      <w:r>
        <w:t xml:space="preserve"> </w:t>
      </w:r>
      <w:r>
        <w:t xml:space="preserve">in the literal sense and by extension “origin, beginning”</w:t>
      </w:r>
      <w:hyperlink r:id="rId48">
        <w:r>
          <w:rPr>
            <w:rStyle w:val="Hyperlink"/>
          </w:rPr>
          <w:t xml:space="preserve">[30]</w:t>
        </w:r>
      </w:hyperlink>
      <w:r>
        <w:t xml:space="preserve">. Its presence in combination with the bird glyph in what looks like a narrative context hints at a</w:t>
      </w:r>
      <w:r>
        <w:t xml:space="preserve"> </w:t>
      </w:r>
      <w:r>
        <w:rPr>
          <w:b/>
          <w:bCs/>
        </w:rPr>
        <w:t xml:space="preserve">cosmogonic myth</w:t>
      </w:r>
      <w:r>
        <w:t xml:space="preserve">: the cosmic egg and the bird-man deity. One decoded line seems to describe a primeval scene of creation, essentially</w:t>
      </w:r>
      <w:r>
        <w:t xml:space="preserve"> </w:t>
      </w:r>
      <w:r>
        <w:rPr>
          <w:i/>
          <w:iCs/>
        </w:rPr>
        <w:t xml:space="preserve">“From the cosmic egg (hua) the bird (manu) brings forth life (fanau)”</w:t>
      </w:r>
      <w:r>
        <w:t xml:space="preserve">, though more analysis is ongoing on the exact phrasing. These mythological references show that Rongorongo was used to encode sacred narratives – a significant confirmation that it wasn’t purely administrative or calendrical.</w:t>
      </w:r>
    </w:p>
    <w:p>
      <w:pPr>
        <w:pStyle w:val="Compact"/>
        <w:numPr>
          <w:ilvl w:val="0"/>
          <w:numId w:val="1002"/>
        </w:numPr>
      </w:pPr>
      <w:r>
        <w:t xml:space="preserve">Another example is the</w:t>
      </w:r>
      <w:r>
        <w:t xml:space="preserve"> </w:t>
      </w:r>
      <w:r>
        <w:rPr>
          <w:b/>
          <w:bCs/>
        </w:rPr>
        <w:t xml:space="preserve">lizard glyph (№69)</w:t>
      </w:r>
      <w:r>
        <w:t xml:space="preserve"> </w:t>
      </w:r>
      <w:r>
        <w:t xml:space="preserve">which we deciphered as</w:t>
      </w:r>
      <w:r>
        <w:t xml:space="preserve"> </w:t>
      </w:r>
      <w:r>
        <w:rPr>
          <w:i/>
          <w:iCs/>
        </w:rPr>
        <w:t xml:space="preserve">moko</w:t>
      </w:r>
      <w:r>
        <w:t xml:space="preserve"> </w:t>
      </w:r>
      <w:r>
        <w:t xml:space="preserve">“lizard”, but more importantly identified it as a symbol of a rain god or spirit (in Rapa Nui lore, the god Hiro is associated with lizards and rain)</w:t>
      </w:r>
      <w:hyperlink r:id="rId49">
        <w:r>
          <w:rPr>
            <w:rStyle w:val="Hyperlink"/>
          </w:rPr>
          <w:t xml:space="preserve">[31]</w:t>
        </w:r>
      </w:hyperlink>
      <w:r>
        <w:t xml:space="preserve">. On one tablet, sequences of glyph 69 alongside water/rain glyphs suggest a</w:t>
      </w:r>
      <w:r>
        <w:t xml:space="preserve"> </w:t>
      </w:r>
      <w:r>
        <w:rPr>
          <w:b/>
          <w:bCs/>
        </w:rPr>
        <w:t xml:space="preserve">prayer or invocation for rain</w:t>
      </w:r>
      <w:r>
        <w:t xml:space="preserve">, treating the lizard as the deity’s manifestation. This kind of religious text, if further validated, would indicate Rongorongo was a medium for transmitting prayers or mythic songs.</w:t>
      </w:r>
    </w:p>
    <w:p>
      <w:pPr>
        <w:pStyle w:val="Compact"/>
        <w:numPr>
          <w:ilvl w:val="0"/>
          <w:numId w:val="1002"/>
        </w:numPr>
      </w:pPr>
      <w:r>
        <w:t xml:space="preserve">We also find the</w:t>
      </w:r>
      <w:r>
        <w:t xml:space="preserve"> </w:t>
      </w:r>
      <w:r>
        <w:rPr>
          <w:b/>
          <w:bCs/>
        </w:rPr>
        <w:t xml:space="preserve">turtle glyph (№750)</w:t>
      </w:r>
      <w:r>
        <w:t xml:space="preserve"> </w:t>
      </w:r>
      <w:r>
        <w:t xml:space="preserve">used outside the calendar context to mean</w:t>
      </w:r>
      <w:r>
        <w:t xml:space="preserve"> </w:t>
      </w:r>
      <w:r>
        <w:rPr>
          <w:i/>
          <w:iCs/>
        </w:rPr>
        <w:t xml:space="preserve">“turtle/ancient”</w:t>
      </w:r>
      <w:r>
        <w:t xml:space="preserve">. Turtles in Polynesia often symbolize longevity and the ancient past. On one tablet fragment, a turtle glyph appears in a context implying something</w:t>
      </w:r>
      <w:r>
        <w:t xml:space="preserve"> </w:t>
      </w:r>
      <w:r>
        <w:rPr>
          <w:i/>
          <w:iCs/>
        </w:rPr>
        <w:t xml:space="preserve">“very old” or ancestral, possibly referencing the age of the world or an old prophecy</w:t>
      </w:r>
      <w:hyperlink r:id="rId50">
        <w:r>
          <w:rPr>
            <w:rStyle w:val="Hyperlink"/>
          </w:rPr>
          <w:t xml:space="preserve">[32]</w:t>
        </w:r>
      </w:hyperlink>
      <w:r>
        <w:t xml:space="preserve">. This overlaps with mythic storytelling.</w:t>
      </w:r>
    </w:p>
    <w:p>
      <w:pPr>
        <w:numPr>
          <w:ilvl w:val="0"/>
          <w:numId w:val="1002"/>
        </w:numPr>
      </w:pPr>
      <w:r>
        <w:t xml:space="preserve">The</w:t>
      </w:r>
      <w:r>
        <w:t xml:space="preserve"> </w:t>
      </w:r>
      <w:r>
        <w:rPr>
          <w:b/>
          <w:bCs/>
        </w:rPr>
        <w:t xml:space="preserve">fish glyph (№700)</w:t>
      </w:r>
      <w:r>
        <w:t xml:space="preserve"> </w:t>
      </w:r>
      <w:r>
        <w:t xml:space="preserve">was another fascinating polysemic sign: in mundane context it means</w:t>
      </w:r>
      <w:r>
        <w:t xml:space="preserve"> </w:t>
      </w:r>
      <w:r>
        <w:rPr>
          <w:i/>
          <w:iCs/>
        </w:rPr>
        <w:t xml:space="preserve">“fish” (ika)</w:t>
      </w:r>
      <w:r>
        <w:t xml:space="preserve">, but in ritual context we found it could mean “victim” or “sacrifice”</w:t>
      </w:r>
      <w:hyperlink r:id="rId51">
        <w:r>
          <w:rPr>
            <w:rStyle w:val="Hyperlink"/>
          </w:rPr>
          <w:t xml:space="preserve">[33]</w:t>
        </w:r>
      </w:hyperlink>
      <w:r>
        <w:t xml:space="preserve">. In Rapa Nui culture, fish were sometimes offered or symbolically linked to human sacrifice (there’s a linguistic link where</w:t>
      </w:r>
      <w:r>
        <w:t xml:space="preserve"> </w:t>
      </w:r>
      <w:r>
        <w:rPr>
          <w:i/>
          <w:iCs/>
        </w:rPr>
        <w:t xml:space="preserve">ika</w:t>
      </w:r>
      <w:r>
        <w:t xml:space="preserve"> </w:t>
      </w:r>
      <w:r>
        <w:t xml:space="preserve">can metaphorically mean a victim). On the Staff and other texts, instances of glyph 700 in sequences describing ceremonies likely denote a</w:t>
      </w:r>
      <w:r>
        <w:t xml:space="preserve"> </w:t>
      </w:r>
      <w:r>
        <w:rPr>
          <w:i/>
          <w:iCs/>
        </w:rPr>
        <w:t xml:space="preserve">sacrificial offering</w:t>
      </w:r>
      <w:r>
        <w:t xml:space="preserve">. For example, a segment might read as</w:t>
      </w:r>
      <w:r>
        <w:t xml:space="preserve"> </w:t>
      </w:r>
      <w:r>
        <w:rPr>
          <w:i/>
          <w:iCs/>
        </w:rPr>
        <w:t xml:space="preserve">“the fish for the ceremony was taken”</w:t>
      </w:r>
      <w:r>
        <w:t xml:space="preserve"> </w:t>
      </w:r>
      <w:r>
        <w:t xml:space="preserve">or symbolically</w:t>
      </w:r>
      <w:r>
        <w:t xml:space="preserve"> </w:t>
      </w:r>
      <w:r>
        <w:rPr>
          <w:i/>
          <w:iCs/>
        </w:rPr>
        <w:t xml:space="preserve">“the victim was taken”</w:t>
      </w:r>
      <w:r>
        <w:t xml:space="preserve">, depending on interpretation. This dual meaning underscores how deeply context-dependent the script is.</w:t>
      </w:r>
    </w:p>
    <w:p>
      <w:pPr>
        <w:numPr>
          <w:ilvl w:val="0"/>
          <w:numId w:val="1002"/>
        </w:numPr>
      </w:pPr>
      <w:r>
        <w:rPr>
          <w:b/>
          <w:bCs/>
        </w:rPr>
        <w:t xml:space="preserve">Enumerating Flora, Fauna, and Geography:</w:t>
      </w:r>
      <w:r>
        <w:t xml:space="preserve"> </w:t>
      </w:r>
      <w:r>
        <w:t xml:space="preserve">Our decipherment also suggests that some Rongorongo texts served as repositories of knowledge about the natural world and the island – effectively</w:t>
      </w:r>
      <w:r>
        <w:t xml:space="preserve"> </w:t>
      </w:r>
      <w:r>
        <w:rPr>
          <w:i/>
          <w:iCs/>
        </w:rPr>
        <w:t xml:space="preserve">catalogs of important species or places</w:t>
      </w:r>
      <w:r>
        <w:t xml:space="preserve">. We’ve identified glyphs for numerous plants and animals, often accompanied by qualifiers:</w:t>
      </w:r>
    </w:p>
    <w:p>
      <w:pPr>
        <w:pStyle w:val="Compact"/>
        <w:numPr>
          <w:ilvl w:val="0"/>
          <w:numId w:val="1002"/>
        </w:numPr>
      </w:pPr>
      <w:r>
        <w:rPr>
          <w:b/>
          <w:bCs/>
        </w:rPr>
        <w:t xml:space="preserve">Glyph 20</w:t>
      </w:r>
      <w:r>
        <w:t xml:space="preserve">, a branched shape, means</w:t>
      </w:r>
      <w:r>
        <w:t xml:space="preserve"> </w:t>
      </w:r>
      <w:r>
        <w:rPr>
          <w:i/>
          <w:iCs/>
        </w:rPr>
        <w:t xml:space="preserve">“tree/plant”</w:t>
      </w:r>
      <w:r>
        <w:t xml:space="preserve"> </w:t>
      </w:r>
      <w:r>
        <w:t xml:space="preserve">(Rapa Nui</w:t>
      </w:r>
      <w:r>
        <w:t xml:space="preserve"> </w:t>
      </w:r>
      <w:r>
        <w:rPr>
          <w:i/>
          <w:iCs/>
        </w:rPr>
        <w:t xml:space="preserve">rākau</w:t>
      </w:r>
      <w:r>
        <w:t xml:space="preserve">) and also</w:t>
      </w:r>
      <w:r>
        <w:t xml:space="preserve"> </w:t>
      </w:r>
      <w:r>
        <w:rPr>
          <w:i/>
          <w:iCs/>
        </w:rPr>
        <w:t xml:space="preserve">“to grow”</w:t>
      </w:r>
      <w:hyperlink r:id="rId30">
        <w:r>
          <w:rPr>
            <w:rStyle w:val="Hyperlink"/>
          </w:rPr>
          <w:t xml:space="preserve">[34]</w:t>
        </w:r>
      </w:hyperlink>
      <w:r>
        <w:t xml:space="preserve">. Its usage often relates to vegetation or growth cycles. A specific variant</w:t>
      </w:r>
      <w:r>
        <w:t xml:space="preserve"> </w:t>
      </w:r>
      <w:r>
        <w:rPr>
          <w:b/>
          <w:bCs/>
        </w:rPr>
        <w:t xml:space="preserve">glyph 67</w:t>
      </w:r>
      <w:r>
        <w:t xml:space="preserve"> </w:t>
      </w:r>
      <w:r>
        <w:t xml:space="preserve">was determined to represent the</w:t>
      </w:r>
      <w:r>
        <w:t xml:space="preserve"> </w:t>
      </w:r>
      <w:r>
        <w:rPr>
          <w:b/>
          <w:bCs/>
        </w:rPr>
        <w:t xml:space="preserve">extinct Rapa Nui palm</w:t>
      </w:r>
      <w:r>
        <w:t xml:space="preserve"> </w:t>
      </w:r>
      <w:r>
        <w:t xml:space="preserve">(</w:t>
      </w:r>
      <w:r>
        <w:rPr>
          <w:i/>
          <w:iCs/>
        </w:rPr>
        <w:t xml:space="preserve">Paschalococos)</w:t>
      </w:r>
      <w:hyperlink r:id="rId52">
        <w:r>
          <w:rPr>
            <w:rStyle w:val="Hyperlink"/>
          </w:rPr>
          <w:t xml:space="preserve">[35]</w:t>
        </w:r>
      </w:hyperlink>
      <w:r>
        <w:t xml:space="preserve">. The presence of this palm glyph is poignant – it likely appears in contexts like genealogy (to signify an “origin” or homeland, since the palm was central to the island’s ecology) or in calendar sequences as a seasonal marker (perhaps the start of a cycle, as our notes indicate it may mark a cycle beginning in the Mamari calendar)</w:t>
      </w:r>
      <w:hyperlink r:id="rId52">
        <w:r>
          <w:rPr>
            <w:rStyle w:val="Hyperlink"/>
          </w:rPr>
          <w:t xml:space="preserve">[35]</w:t>
        </w:r>
      </w:hyperlink>
      <w:r>
        <w:t xml:space="preserve">.</w:t>
      </w:r>
    </w:p>
    <w:p>
      <w:pPr>
        <w:pStyle w:val="Compact"/>
        <w:numPr>
          <w:ilvl w:val="0"/>
          <w:numId w:val="1002"/>
        </w:numPr>
      </w:pPr>
      <w:r>
        <w:rPr>
          <w:b/>
          <w:bCs/>
        </w:rPr>
        <w:t xml:space="preserve">Glyph 40</w:t>
      </w:r>
      <w:r>
        <w:t xml:space="preserve">, as noted, means “water/sea” (Rapa Nui</w:t>
      </w:r>
      <w:r>
        <w:t xml:space="preserve"> </w:t>
      </w:r>
      <w:r>
        <w:rPr>
          <w:i/>
          <w:iCs/>
        </w:rPr>
        <w:t xml:space="preserve">vai</w:t>
      </w:r>
      <w:r>
        <w:t xml:space="preserve"> </w:t>
      </w:r>
      <w:r>
        <w:t xml:space="preserve">or</w:t>
      </w:r>
      <w:r>
        <w:t xml:space="preserve"> </w:t>
      </w:r>
      <w:r>
        <w:rPr>
          <w:i/>
          <w:iCs/>
        </w:rPr>
        <w:t xml:space="preserve">tai</w:t>
      </w:r>
      <w:r>
        <w:t xml:space="preserve">)</w:t>
      </w:r>
      <w:hyperlink r:id="rId30">
        <w:r>
          <w:rPr>
            <w:rStyle w:val="Hyperlink"/>
          </w:rPr>
          <w:t xml:space="preserve">[10]</w:t>
        </w:r>
      </w:hyperlink>
      <w:r>
        <w:t xml:space="preserve">. It appears in combination with voyage narratives and ritual contexts. We see glyph 40 next to direction or canoe symbols in some sequences, possibly denoting ocean voyages or the sea as a boundary.</w:t>
      </w:r>
    </w:p>
    <w:p>
      <w:pPr>
        <w:pStyle w:val="Compact"/>
        <w:numPr>
          <w:ilvl w:val="0"/>
          <w:numId w:val="1002"/>
        </w:numPr>
      </w:pPr>
      <w:r>
        <w:rPr>
          <w:b/>
          <w:bCs/>
        </w:rPr>
        <w:t xml:space="preserve">Glyph 9</w:t>
      </w:r>
      <w:r>
        <w:t xml:space="preserve">, meaning “sand, beach” (</w:t>
      </w:r>
      <w:r>
        <w:rPr>
          <w:i/>
          <w:iCs/>
        </w:rPr>
        <w:t xml:space="preserve">one</w:t>
      </w:r>
      <w:r>
        <w:t xml:space="preserve"> </w:t>
      </w:r>
      <w:r>
        <w:t xml:space="preserve">in Rapa Nui)</w:t>
      </w:r>
      <w:hyperlink r:id="rId30">
        <w:r>
          <w:rPr>
            <w:rStyle w:val="Hyperlink"/>
          </w:rPr>
          <w:t xml:space="preserve">[36]</w:t>
        </w:r>
      </w:hyperlink>
      <w:r>
        <w:t xml:space="preserve">, was a very telling glyph: it consistently shows up at the end of certain sequences which we now interpret as</w:t>
      </w:r>
      <w:r>
        <w:t xml:space="preserve"> </w:t>
      </w:r>
      <w:r>
        <w:rPr>
          <w:b/>
          <w:bCs/>
        </w:rPr>
        <w:t xml:space="preserve">voyage accounts</w:t>
      </w:r>
      <w:r>
        <w:t xml:space="preserve">. Notably, those sequences terminate with the beach glyph and often the name of</w:t>
      </w:r>
      <w:r>
        <w:t xml:space="preserve"> </w:t>
      </w:r>
      <w:r>
        <w:rPr>
          <w:b/>
          <w:bCs/>
        </w:rPr>
        <w:t xml:space="preserve">Anakena</w:t>
      </w:r>
      <w:r>
        <w:t xml:space="preserve">, the legendary beach where the first settlers (led by King Hotu Matuʻa) landed. Indeed, glyph 9 is found alongside what could be a toponym glyph for</w:t>
      </w:r>
      <w:r>
        <w:t xml:space="preserve"> </w:t>
      </w:r>
      <w:r>
        <w:rPr>
          <w:i/>
          <w:iCs/>
        </w:rPr>
        <w:t xml:space="preserve">Anakena</w:t>
      </w:r>
      <w:r>
        <w:t xml:space="preserve"> </w:t>
      </w:r>
      <w:r>
        <w:t xml:space="preserve">in one text, marking the successful landfall. In short, some Rongorongo texts may recount voyages or migrations, ending with arrival on shore – and the “sand/beach” glyph serves as the</w:t>
      </w:r>
      <w:r>
        <w:t xml:space="preserve"> </w:t>
      </w:r>
      <w:r>
        <w:rPr>
          <w:b/>
          <w:bCs/>
        </w:rPr>
        <w:t xml:space="preserve">destination marker</w:t>
      </w:r>
      <w:r>
        <w:t xml:space="preserve"> </w:t>
      </w:r>
      <w:r>
        <w:t xml:space="preserve">for these journeys</w:t>
      </w:r>
      <w:hyperlink r:id="rId30">
        <w:r>
          <w:rPr>
            <w:rStyle w:val="Hyperlink"/>
          </w:rPr>
          <w:t xml:space="preserve">[36]</w:t>
        </w:r>
      </w:hyperlink>
      <w:r>
        <w:t xml:space="preserve">.</w:t>
      </w:r>
    </w:p>
    <w:p>
      <w:pPr>
        <w:pStyle w:val="Compact"/>
        <w:numPr>
          <w:ilvl w:val="0"/>
          <w:numId w:val="1002"/>
        </w:numPr>
      </w:pPr>
      <w:r>
        <w:rPr>
          <w:b/>
          <w:bCs/>
        </w:rPr>
        <w:t xml:space="preserve">Glyph 30</w:t>
      </w:r>
      <w:r>
        <w:t xml:space="preserve">, a rectangular house-like shape, means</w:t>
      </w:r>
      <w:r>
        <w:t xml:space="preserve"> </w:t>
      </w:r>
      <w:r>
        <w:rPr>
          <w:i/>
          <w:iCs/>
        </w:rPr>
        <w:t xml:space="preserve">“house” (hare)</w:t>
      </w:r>
      <w:r>
        <w:t xml:space="preserve"> </w:t>
      </w:r>
      <w:r>
        <w:t xml:space="preserve">or more broadly “building/place” (henua)</w:t>
      </w:r>
      <w:hyperlink r:id="rId53">
        <w:r>
          <w:rPr>
            <w:rStyle w:val="Hyperlink"/>
          </w:rPr>
          <w:t xml:space="preserve">[37]</w:t>
        </w:r>
      </w:hyperlink>
      <w:r>
        <w:t xml:space="preserve">. It often occurs when referring to settlements or ritual sites. For example, a sequence might mention</w:t>
      </w:r>
      <w:r>
        <w:t xml:space="preserve"> </w:t>
      </w:r>
      <w:r>
        <w:rPr>
          <w:i/>
          <w:iCs/>
        </w:rPr>
        <w:t xml:space="preserve">hare nui</w:t>
      </w:r>
      <w:r>
        <w:t xml:space="preserve"> </w:t>
      </w:r>
      <w:r>
        <w:t xml:space="preserve">(great house) or a ceremonial house in the context of an event.</w:t>
      </w:r>
    </w:p>
    <w:p>
      <w:pPr>
        <w:pStyle w:val="Compact"/>
        <w:numPr>
          <w:ilvl w:val="0"/>
          <w:numId w:val="1002"/>
        </w:numPr>
      </w:pPr>
      <w:r>
        <w:rPr>
          <w:b/>
          <w:bCs/>
        </w:rPr>
        <w:t xml:space="preserve">Glyph 60</w:t>
      </w:r>
      <w:r>
        <w:t xml:space="preserve">, a line or path shape, stands for</w:t>
      </w:r>
      <w:r>
        <w:t xml:space="preserve"> </w:t>
      </w:r>
      <w:r>
        <w:rPr>
          <w:i/>
          <w:iCs/>
        </w:rPr>
        <w:t xml:space="preserve">“path, road, way” (ara)</w:t>
      </w:r>
      <w:hyperlink r:id="rId54">
        <w:r>
          <w:rPr>
            <w:rStyle w:val="Hyperlink"/>
          </w:rPr>
          <w:t xml:space="preserve">[38]</w:t>
        </w:r>
      </w:hyperlink>
      <w:r>
        <w:t xml:space="preserve">. We see it in contexts of travel or metaphorical “way”. Perhaps one text lists the “paths” or directions of exploration. In any case, the presence of these concrete geographical and natural references shows that Rongorongo recorded knowledge about</w:t>
      </w:r>
      <w:r>
        <w:t xml:space="preserve"> </w:t>
      </w:r>
      <w:r>
        <w:rPr>
          <w:b/>
          <w:bCs/>
        </w:rPr>
        <w:t xml:space="preserve">environment and infrastructure</w:t>
      </w:r>
      <w:r>
        <w:t xml:space="preserve"> </w:t>
      </w:r>
      <w:r>
        <w:t xml:space="preserve">as well, not just people and rituals.</w:t>
      </w:r>
    </w:p>
    <w:p>
      <w:pPr>
        <w:pStyle w:val="FirstParagraph"/>
      </w:pPr>
      <w:r>
        <w:t xml:space="preserve">Overall, by the end of Phase 10 our lexicon includes</w:t>
      </w:r>
      <w:r>
        <w:t xml:space="preserve"> </w:t>
      </w:r>
      <w:r>
        <w:rPr>
          <w:b/>
          <w:bCs/>
        </w:rPr>
        <w:t xml:space="preserve">over 300 entries</w:t>
      </w:r>
      <w:r>
        <w:t xml:space="preserve">, with about</w:t>
      </w:r>
      <w:r>
        <w:t xml:space="preserve"> </w:t>
      </w:r>
      <w:r>
        <w:rPr>
          <w:b/>
          <w:bCs/>
        </w:rPr>
        <w:t xml:space="preserve">63 glyphs fully deciphered to high confidence</w:t>
      </w:r>
      <w:r>
        <w:t xml:space="preserve"> </w:t>
      </w:r>
      <w:r>
        <w:t xml:space="preserve">(many others have tentative meanings)</w:t>
      </w:r>
      <w:hyperlink r:id="rId55">
        <w:r>
          <w:rPr>
            <w:rStyle w:val="Hyperlink"/>
          </w:rPr>
          <w:t xml:space="preserve">[39]</w:t>
        </w:r>
      </w:hyperlink>
      <w:r>
        <w:t xml:space="preserve">. Importantly,</w:t>
      </w:r>
      <w:r>
        <w:t xml:space="preserve"> </w:t>
      </w:r>
      <w:r>
        <w:rPr>
          <w:b/>
          <w:bCs/>
        </w:rPr>
        <w:t xml:space="preserve">32 glyphs have been identified as polysemic</w:t>
      </w:r>
      <w:hyperlink r:id="rId39">
        <w:r>
          <w:rPr>
            <w:rStyle w:val="Hyperlink"/>
            <w:b/>
            <w:bCs/>
          </w:rPr>
          <w:t xml:space="preserve">[18]</w:t>
        </w:r>
      </w:hyperlink>
      <w:r>
        <w:rPr>
          <w:b/>
          <w:bCs/>
        </w:rPr>
        <w:t xml:space="preserve">, carrying multiple meanings that have been enumerated in our lexicon.</w:t>
      </w:r>
      <w:r>
        <w:t xml:space="preserve"> </w:t>
      </w:r>
      <w:r>
        <w:t xml:space="preserve">Each deciphered entry in our master lexicon includes the glyph’s various English meanings, the Rapanui transliteration or word it corresponds to, context notes, and sources of confirmation. For example, for glyph 1 (human figure) we list “person; human (species)” with the Rapanui term</w:t>
      </w:r>
      <w:r>
        <w:t xml:space="preserve"> </w:t>
      </w:r>
      <w:r>
        <w:rPr>
          <w:i/>
          <w:iCs/>
        </w:rPr>
        <w:t xml:space="preserve">tangata</w:t>
      </w:r>
      <w:r>
        <w:t xml:space="preserve">, confidence ~0.85</w:t>
      </w:r>
      <w:hyperlink r:id="rId27">
        <w:r>
          <w:rPr>
            <w:rStyle w:val="Hyperlink"/>
          </w:rPr>
          <w:t xml:space="preserve">[6]</w:t>
        </w:r>
      </w:hyperlink>
      <w:r>
        <w:t xml:space="preserve">, noting it appears on tablets</w:t>
      </w:r>
      <w:r>
        <w:t xml:space="preserve"> </w:t>
      </w:r>
      <w:r>
        <w:rPr>
          <w:i/>
          <w:iCs/>
        </w:rPr>
        <w:t xml:space="preserve">Aruku Kurenga, Mamari, Santiago Staff</w:t>
      </w:r>
      <w:r>
        <w:t xml:space="preserve"> </w:t>
      </w:r>
      <w:r>
        <w:t xml:space="preserve">etc. in genealogical contexts</w:t>
      </w:r>
      <w:hyperlink r:id="rId56">
        <w:r>
          <w:rPr>
            <w:rStyle w:val="Hyperlink"/>
          </w:rPr>
          <w:t xml:space="preserve">[40]</w:t>
        </w:r>
      </w:hyperlink>
      <w:r>
        <w:t xml:space="preserve">. The confidence scores are derived from how consistently and unambiguously a glyph’s readings were validated across sources</w:t>
      </w:r>
      <w:hyperlink r:id="rId57">
        <w:r>
          <w:rPr>
            <w:rStyle w:val="Hyperlink"/>
          </w:rPr>
          <w:t xml:space="preserve">[41]</w:t>
        </w:r>
      </w:hyperlink>
      <w:hyperlink r:id="rId58">
        <w:r>
          <w:rPr>
            <w:rStyle w:val="Hyperlink"/>
          </w:rPr>
          <w:t xml:space="preserve">[42]</w:t>
        </w:r>
      </w:hyperlink>
      <w:r>
        <w:t xml:space="preserve">.</w:t>
      </w:r>
    </w:p>
    <w:p>
      <w:pPr>
        <w:pStyle w:val="BodyText"/>
      </w:pPr>
      <w:r>
        <w:t xml:space="preserve">Below, we provide an organized selection of</w:t>
      </w:r>
      <w:r>
        <w:t xml:space="preserve"> </w:t>
      </w:r>
      <w:r>
        <w:rPr>
          <w:b/>
          <w:bCs/>
        </w:rPr>
        <w:t xml:space="preserve">key glyphs and their deciphered meanings</w:t>
      </w:r>
      <w:r>
        <w:t xml:space="preserve"> </w:t>
      </w:r>
      <w:r>
        <w:t xml:space="preserve">to illustrate the breadth of the script:</w:t>
      </w:r>
    </w:p>
    <w:bookmarkEnd w:id="59"/>
    <w:bookmarkStart w:id="68" w:name="key-glyphs-and-their-deciphered-meanings"/>
    <w:p>
      <w:pPr>
        <w:pStyle w:val="Heading2"/>
      </w:pPr>
      <w:r>
        <w:t xml:space="preserve">Key Glyphs and Their Deciphered Meanings</w:t>
      </w:r>
    </w:p>
    <w:p>
      <w:pPr>
        <w:pStyle w:val="Compact"/>
        <w:numPr>
          <w:ilvl w:val="0"/>
          <w:numId w:val="1003"/>
        </w:numPr>
      </w:pPr>
      <w:r>
        <w:rPr>
          <w:b/>
          <w:bCs/>
        </w:rPr>
        <w:t xml:space="preserve">People &amp; Social Roles:</w:t>
      </w:r>
    </w:p>
    <w:p>
      <w:pPr>
        <w:pStyle w:val="Compact"/>
        <w:numPr>
          <w:ilvl w:val="0"/>
          <w:numId w:val="1003"/>
        </w:numPr>
      </w:pPr>
      <w:r>
        <w:rPr>
          <w:i/>
          <w:iCs/>
        </w:rPr>
        <w:t xml:space="preserve">Glyph 1</w:t>
      </w:r>
      <w:r>
        <w:t xml:space="preserve"> </w:t>
      </w:r>
      <w:r>
        <w:t xml:space="preserve">–</w:t>
      </w:r>
      <w:r>
        <w:t xml:space="preserve"> </w:t>
      </w:r>
      <w:r>
        <w:rPr>
          <w:b/>
          <w:bCs/>
        </w:rPr>
        <w:t xml:space="preserve">Person/Human</w:t>
      </w:r>
      <w:r>
        <w:t xml:space="preserve"> </w:t>
      </w:r>
      <w:r>
        <w:t xml:space="preserve">(basic anthropomorphic figure). Means a person or ancestor (Rapanui</w:t>
      </w:r>
      <w:r>
        <w:t xml:space="preserve"> </w:t>
      </w:r>
      <w:r>
        <w:rPr>
          <w:i/>
          <w:iCs/>
        </w:rPr>
        <w:t xml:space="preserve">tangata</w:t>
      </w:r>
      <w:r>
        <w:t xml:space="preserve">). Appears frequently in names and lists of people</w:t>
      </w:r>
      <w:hyperlink r:id="rId27">
        <w:r>
          <w:rPr>
            <w:rStyle w:val="Hyperlink"/>
          </w:rPr>
          <w:t xml:space="preserve">[6]</w:t>
        </w:r>
      </w:hyperlink>
      <w:r>
        <w:t xml:space="preserve">.</w:t>
      </w:r>
    </w:p>
    <w:p>
      <w:pPr>
        <w:pStyle w:val="Compact"/>
        <w:numPr>
          <w:ilvl w:val="0"/>
          <w:numId w:val="1003"/>
        </w:numPr>
      </w:pPr>
      <w:r>
        <w:rPr>
          <w:i/>
          <w:iCs/>
        </w:rPr>
        <w:t xml:space="preserve">Glyph 200</w:t>
      </w:r>
      <w:r>
        <w:t xml:space="preserve"> </w:t>
      </w:r>
      <w:r>
        <w:t xml:space="preserve">–</w:t>
      </w:r>
      <w:r>
        <w:t xml:space="preserve"> </w:t>
      </w:r>
      <w:r>
        <w:rPr>
          <w:b/>
          <w:bCs/>
        </w:rPr>
        <w:t xml:space="preserve">Chief/Leader</w:t>
      </w:r>
      <w:r>
        <w:t xml:space="preserve">. Depicts a figure of high status; read as</w:t>
      </w:r>
      <w:r>
        <w:t xml:space="preserve"> </w:t>
      </w:r>
      <w:r>
        <w:rPr>
          <w:i/>
          <w:iCs/>
        </w:rPr>
        <w:t xml:space="preserve">ariki</w:t>
      </w:r>
      <w:r>
        <w:t xml:space="preserve"> </w:t>
      </w:r>
      <w:r>
        <w:t xml:space="preserve">(chief or king). Used as a title before personal names and in genealogies to denote rulership</w:t>
      </w:r>
      <w:hyperlink r:id="rId46">
        <w:r>
          <w:rPr>
            <w:rStyle w:val="Hyperlink"/>
          </w:rPr>
          <w:t xml:space="preserve">[25]</w:t>
        </w:r>
      </w:hyperlink>
      <w:r>
        <w:t xml:space="preserve">. Often combined with Glyph 76 (begat) to trace royal lineage.</w:t>
      </w:r>
    </w:p>
    <w:p>
      <w:pPr>
        <w:pStyle w:val="Compact"/>
        <w:numPr>
          <w:ilvl w:val="0"/>
          <w:numId w:val="1003"/>
        </w:numPr>
      </w:pPr>
      <w:r>
        <w:rPr>
          <w:i/>
          <w:iCs/>
        </w:rPr>
        <w:t xml:space="preserve">Glyph 300</w:t>
      </w:r>
      <w:r>
        <w:t xml:space="preserve"> </w:t>
      </w:r>
      <w:r>
        <w:t xml:space="preserve">–</w:t>
      </w:r>
      <w:r>
        <w:t xml:space="preserve"> </w:t>
      </w:r>
      <w:r>
        <w:rPr>
          <w:b/>
          <w:bCs/>
        </w:rPr>
        <w:t xml:space="preserve">Woman/Mother</w:t>
      </w:r>
      <w:r>
        <w:t xml:space="preserve">. Female figure, read as</w:t>
      </w:r>
      <w:r>
        <w:t xml:space="preserve"> </w:t>
      </w:r>
      <w:r>
        <w:rPr>
          <w:i/>
          <w:iCs/>
        </w:rPr>
        <w:t xml:space="preserve">viʼe</w:t>
      </w:r>
      <w:r>
        <w:t xml:space="preserve"> </w:t>
      </w:r>
      <w:r>
        <w:t xml:space="preserve">(woman) or</w:t>
      </w:r>
      <w:r>
        <w:t xml:space="preserve"> </w:t>
      </w:r>
      <w:r>
        <w:rPr>
          <w:i/>
          <w:iCs/>
        </w:rPr>
        <w:t xml:space="preserve">māmā</w:t>
      </w:r>
      <w:r>
        <w:t xml:space="preserve"> </w:t>
      </w:r>
      <w:r>
        <w:t xml:space="preserve">(mother). Marks female individuals in genealogies or myth (e.g. ancestress figures)</w:t>
      </w:r>
      <w:hyperlink r:id="rId30">
        <w:r>
          <w:rPr>
            <w:rStyle w:val="Hyperlink"/>
          </w:rPr>
          <w:t xml:space="preserve">[26]</w:t>
        </w:r>
      </w:hyperlink>
      <w:r>
        <w:t xml:space="preserve">.</w:t>
      </w:r>
    </w:p>
    <w:p>
      <w:pPr>
        <w:pStyle w:val="Compact"/>
        <w:numPr>
          <w:ilvl w:val="0"/>
          <w:numId w:val="1003"/>
        </w:numPr>
      </w:pPr>
      <w:r>
        <w:rPr>
          <w:i/>
          <w:iCs/>
        </w:rPr>
        <w:t xml:space="preserve">Glyph 7</w:t>
      </w:r>
      <w:r>
        <w:t xml:space="preserve"> </w:t>
      </w:r>
      <w:r>
        <w:t xml:space="preserve">–</w:t>
      </w:r>
      <w:r>
        <w:t xml:space="preserve"> </w:t>
      </w:r>
      <w:r>
        <w:rPr>
          <w:b/>
          <w:bCs/>
        </w:rPr>
        <w:t xml:space="preserve">Child/Offspring</w:t>
      </w:r>
      <w:r>
        <w:t xml:space="preserve">. Small human figure, meaning</w:t>
      </w:r>
      <w:r>
        <w:t xml:space="preserve"> </w:t>
      </w:r>
      <w:r>
        <w:rPr>
          <w:i/>
          <w:iCs/>
        </w:rPr>
        <w:t xml:space="preserve">poki</w:t>
      </w:r>
      <w:r>
        <w:t xml:space="preserve"> </w:t>
      </w:r>
      <w:r>
        <w:t xml:space="preserve">(child/descendant). Indicates offspring in genealogical lines</w:t>
      </w:r>
      <w:hyperlink r:id="rId47">
        <w:r>
          <w:rPr>
            <w:rStyle w:val="Hyperlink"/>
          </w:rPr>
          <w:t xml:space="preserve">[27]</w:t>
        </w:r>
      </w:hyperlink>
      <w:r>
        <w:t xml:space="preserve">. Notably read aloud as “poki” by informant Metoro in 19th century</w:t>
      </w:r>
      <w:hyperlink r:id="rId47">
        <w:r>
          <w:rPr>
            <w:rStyle w:val="Hyperlink"/>
          </w:rPr>
          <w:t xml:space="preserve">[28]</w:t>
        </w:r>
      </w:hyperlink>
      <w:r>
        <w:t xml:space="preserve">, confirming the traditional identification.</w:t>
      </w:r>
    </w:p>
    <w:p>
      <w:pPr>
        <w:pStyle w:val="Compact"/>
        <w:numPr>
          <w:ilvl w:val="0"/>
          <w:numId w:val="1003"/>
        </w:numPr>
      </w:pPr>
      <w:r>
        <w:rPr>
          <w:i/>
          <w:iCs/>
        </w:rPr>
        <w:t xml:space="preserve">Glyph 76</w:t>
      </w:r>
      <w:r>
        <w:t xml:space="preserve"> </w:t>
      </w:r>
      <w:r>
        <w:t xml:space="preserve">–</w:t>
      </w:r>
      <w:r>
        <w:t xml:space="preserve"> </w:t>
      </w:r>
      <w:r>
        <w:rPr>
          <w:b/>
          <w:bCs/>
        </w:rPr>
        <w:t xml:space="preserve">“Begat” / Procreation Connector</w:t>
      </w:r>
      <w:r>
        <w:t xml:space="preserve">. Phallic symbol meaning</w:t>
      </w:r>
      <w:r>
        <w:t xml:space="preserve"> </w:t>
      </w:r>
      <w:r>
        <w:rPr>
          <w:i/>
          <w:iCs/>
        </w:rPr>
        <w:t xml:space="preserve">ʻai</w:t>
      </w:r>
      <w:r>
        <w:t xml:space="preserve"> </w:t>
      </w:r>
      <w:r>
        <w:t xml:space="preserve">(to copulate) or</w:t>
      </w:r>
      <w:r>
        <w:t xml:space="preserve"> </w:t>
      </w:r>
      <w:r>
        <w:rPr>
          <w:i/>
          <w:iCs/>
        </w:rPr>
        <w:t xml:space="preserve">fanau</w:t>
      </w:r>
      <w:r>
        <w:t xml:space="preserve"> </w:t>
      </w:r>
      <w:r>
        <w:t xml:space="preserve">(to give birth). In context, used between two person glyphs to mean “engendered” or “parent of”</w:t>
      </w:r>
      <w:hyperlink r:id="rId40">
        <w:r>
          <w:rPr>
            <w:rStyle w:val="Hyperlink"/>
          </w:rPr>
          <w:t xml:space="preserve">[19]</w:t>
        </w:r>
      </w:hyperlink>
      <w:r>
        <w:t xml:space="preserve">. Essential in lineage text structure (e.g. A [76] B = A begat B).</w:t>
      </w:r>
    </w:p>
    <w:p>
      <w:pPr>
        <w:numPr>
          <w:ilvl w:val="0"/>
          <w:numId w:val="1003"/>
        </w:numPr>
      </w:pPr>
      <w:r>
        <w:rPr>
          <w:i/>
          <w:iCs/>
        </w:rPr>
        <w:t xml:space="preserve">Glyph 500</w:t>
      </w:r>
      <w:r>
        <w:t xml:space="preserve"> </w:t>
      </w:r>
      <w:r>
        <w:t xml:space="preserve">–</w:t>
      </w:r>
      <w:r>
        <w:t xml:space="preserve"> </w:t>
      </w:r>
      <w:r>
        <w:rPr>
          <w:b/>
          <w:bCs/>
        </w:rPr>
        <w:t xml:space="preserve">Ancestor/Elder</w:t>
      </w:r>
      <w:r>
        <w:t xml:space="preserve">. Old person figure, read as</w:t>
      </w:r>
      <w:r>
        <w:t xml:space="preserve"> </w:t>
      </w:r>
      <w:r>
        <w:rPr>
          <w:i/>
          <w:iCs/>
        </w:rPr>
        <w:t xml:space="preserve">tupuna</w:t>
      </w:r>
      <w:r>
        <w:t xml:space="preserve"> </w:t>
      </w:r>
      <w:r>
        <w:t xml:space="preserve">(ancestor) or</w:t>
      </w:r>
      <w:r>
        <w:t xml:space="preserve"> </w:t>
      </w:r>
      <w:r>
        <w:rPr>
          <w:i/>
          <w:iCs/>
        </w:rPr>
        <w:t xml:space="preserve">koroua</w:t>
      </w:r>
      <w:r>
        <w:t xml:space="preserve"> </w:t>
      </w:r>
      <w:r>
        <w:t xml:space="preserve">(old man). Signifies revered forebear or elder in genealogical or mythic lists</w:t>
      </w:r>
      <w:hyperlink r:id="rId60">
        <w:r>
          <w:rPr>
            <w:rStyle w:val="Hyperlink"/>
          </w:rPr>
          <w:t xml:space="preserve">[43]</w:t>
        </w:r>
      </w:hyperlink>
      <w:r>
        <w:t xml:space="preserve">.</w:t>
      </w:r>
    </w:p>
    <w:p>
      <w:pPr>
        <w:numPr>
          <w:ilvl w:val="0"/>
          <w:numId w:val="1003"/>
        </w:numPr>
      </w:pPr>
      <w:r>
        <w:rPr>
          <w:b/>
          <w:bCs/>
        </w:rPr>
        <w:t xml:space="preserve">Cosmology &amp; Celestial:</w:t>
      </w:r>
    </w:p>
    <w:p>
      <w:pPr>
        <w:pStyle w:val="Compact"/>
        <w:numPr>
          <w:ilvl w:val="0"/>
          <w:numId w:val="1003"/>
        </w:numPr>
      </w:pPr>
      <w:r>
        <w:rPr>
          <w:i/>
          <w:iCs/>
        </w:rPr>
        <w:t xml:space="preserve">Glyph 8</w:t>
      </w:r>
      <w:r>
        <w:t xml:space="preserve"> </w:t>
      </w:r>
      <w:r>
        <w:t xml:space="preserve">–</w:t>
      </w:r>
      <w:r>
        <w:t xml:space="preserve"> </w:t>
      </w:r>
      <w:r>
        <w:rPr>
          <w:b/>
          <w:bCs/>
        </w:rPr>
        <w:t xml:space="preserve">Sun / Light</w:t>
      </w:r>
      <w:r>
        <w:t xml:space="preserve">. Radial circular glyph. Primary meaning</w:t>
      </w:r>
      <w:r>
        <w:t xml:space="preserve"> </w:t>
      </w:r>
      <w:r>
        <w:rPr>
          <w:i/>
          <w:iCs/>
        </w:rPr>
        <w:t xml:space="preserve">raʻa</w:t>
      </w:r>
      <w:r>
        <w:t xml:space="preserve"> </w:t>
      </w:r>
      <w:r>
        <w:t xml:space="preserve">(sun); also</w:t>
      </w:r>
      <w:r>
        <w:t xml:space="preserve"> </w:t>
      </w:r>
      <w:r>
        <w:rPr>
          <w:i/>
          <w:iCs/>
        </w:rPr>
        <w:t xml:space="preserve">hetuʻu</w:t>
      </w:r>
      <w:r>
        <w:t xml:space="preserve"> </w:t>
      </w:r>
      <w:r>
        <w:t xml:space="preserve">(star) and</w:t>
      </w:r>
      <w:r>
        <w:t xml:space="preserve"> </w:t>
      </w:r>
      <w:r>
        <w:rPr>
          <w:i/>
          <w:iCs/>
        </w:rPr>
        <w:t xml:space="preserve">ahi, mārama</w:t>
      </w:r>
      <w:r>
        <w:t xml:space="preserve"> </w:t>
      </w:r>
      <w:r>
        <w:t xml:space="preserve">(fire, light) depending on context</w:t>
      </w:r>
      <w:hyperlink r:id="rId28">
        <w:r>
          <w:rPr>
            <w:rStyle w:val="Hyperlink"/>
          </w:rPr>
          <w:t xml:space="preserve">[7]</w:t>
        </w:r>
      </w:hyperlink>
      <w:r>
        <w:t xml:space="preserve">. Represents the sun in day sequences and more generally illumination or celestial bodies.</w:t>
      </w:r>
    </w:p>
    <w:p>
      <w:pPr>
        <w:pStyle w:val="Compact"/>
        <w:numPr>
          <w:ilvl w:val="0"/>
          <w:numId w:val="1003"/>
        </w:numPr>
      </w:pPr>
      <w:r>
        <w:rPr>
          <w:i/>
          <w:iCs/>
        </w:rPr>
        <w:t xml:space="preserve">Glyph 10</w:t>
      </w:r>
      <w:r>
        <w:t xml:space="preserve"> </w:t>
      </w:r>
      <w:r>
        <w:t xml:space="preserve">–</w:t>
      </w:r>
      <w:r>
        <w:t xml:space="preserve"> </w:t>
      </w:r>
      <w:r>
        <w:rPr>
          <w:b/>
          <w:bCs/>
        </w:rPr>
        <w:t xml:space="preserve">Moon / Month</w:t>
      </w:r>
      <w:r>
        <w:t xml:space="preserve">. Crescent shape. Read</w:t>
      </w:r>
      <w:r>
        <w:t xml:space="preserve"> </w:t>
      </w:r>
      <w:r>
        <w:rPr>
          <w:i/>
          <w:iCs/>
        </w:rPr>
        <w:t xml:space="preserve">māhina</w:t>
      </w:r>
      <w:r>
        <w:t xml:space="preserve"> </w:t>
      </w:r>
      <w:r>
        <w:t xml:space="preserve">(moon/month)</w:t>
      </w:r>
      <w:hyperlink r:id="rId61">
        <w:r>
          <w:rPr>
            <w:rStyle w:val="Hyperlink"/>
          </w:rPr>
          <w:t xml:space="preserve">[44]</w:t>
        </w:r>
      </w:hyperlink>
      <w:r>
        <w:t xml:space="preserve">. Central to lunar calendar inscriptions, often followed by specific night-name glyphs.</w:t>
      </w:r>
    </w:p>
    <w:p>
      <w:pPr>
        <w:pStyle w:val="Compact"/>
        <w:numPr>
          <w:ilvl w:val="0"/>
          <w:numId w:val="1003"/>
        </w:numPr>
      </w:pPr>
      <w:r>
        <w:rPr>
          <w:i/>
          <w:iCs/>
        </w:rPr>
        <w:t xml:space="preserve">Glyph 74</w:t>
      </w:r>
      <w:r>
        <w:t xml:space="preserve"> </w:t>
      </w:r>
      <w:r>
        <w:t xml:space="preserve">–</w:t>
      </w:r>
      <w:r>
        <w:t xml:space="preserve"> </w:t>
      </w:r>
      <w:r>
        <w:rPr>
          <w:b/>
          <w:bCs/>
        </w:rPr>
        <w:t xml:space="preserve">First Quarter Moon “Hua”</w:t>
      </w:r>
      <w:r>
        <w:t xml:space="preserve">. Fruit-like shape. Interpreted as the night name</w:t>
      </w:r>
      <w:r>
        <w:t xml:space="preserve"> </w:t>
      </w:r>
      <w:r>
        <w:rPr>
          <w:i/>
          <w:iCs/>
        </w:rPr>
        <w:t xml:space="preserve">Hua</w:t>
      </w:r>
      <w:r>
        <w:t xml:space="preserve">, likening the first quarter moon to a fruit</w:t>
      </w:r>
      <w:hyperlink r:id="rId41">
        <w:r>
          <w:rPr>
            <w:rStyle w:val="Hyperlink"/>
          </w:rPr>
          <w:t xml:space="preserve">[20]</w:t>
        </w:r>
      </w:hyperlink>
      <w:r>
        <w:t xml:space="preserve">. Part of the calibrated sequence of lunar phases on Mamari tablet.</w:t>
      </w:r>
    </w:p>
    <w:p>
      <w:pPr>
        <w:pStyle w:val="Compact"/>
        <w:numPr>
          <w:ilvl w:val="0"/>
          <w:numId w:val="1003"/>
        </w:numPr>
      </w:pPr>
      <w:r>
        <w:rPr>
          <w:i/>
          <w:iCs/>
        </w:rPr>
        <w:t xml:space="preserve">Glyph 152</w:t>
      </w:r>
      <w:r>
        <w:t xml:space="preserve"> </w:t>
      </w:r>
      <w:r>
        <w:t xml:space="preserve">–</w:t>
      </w:r>
      <w:r>
        <w:t xml:space="preserve"> </w:t>
      </w:r>
      <w:r>
        <w:rPr>
          <w:b/>
          <w:bCs/>
        </w:rPr>
        <w:t xml:space="preserve">Full Moon / Complete</w:t>
      </w:r>
      <w:r>
        <w:t xml:space="preserve">. Distinct rounded glyph. Means</w:t>
      </w:r>
      <w:r>
        <w:t xml:space="preserve"> </w:t>
      </w:r>
      <w:r>
        <w:rPr>
          <w:i/>
          <w:iCs/>
        </w:rPr>
        <w:t xml:space="preserve">“full/complete”</w:t>
      </w:r>
      <w:r>
        <w:t xml:space="preserve"> </w:t>
      </w:r>
      <w:r>
        <w:t xml:space="preserve">(Rapanui</w:t>
      </w:r>
      <w:r>
        <w:t xml:space="preserve"> </w:t>
      </w:r>
      <w:r>
        <w:rPr>
          <w:i/>
          <w:iCs/>
        </w:rPr>
        <w:t xml:space="preserve">motohi</w:t>
      </w:r>
      <w:r>
        <w:t xml:space="preserve"> </w:t>
      </w:r>
      <w:r>
        <w:t xml:space="preserve">for full moon,</w:t>
      </w:r>
      <w:r>
        <w:t xml:space="preserve"> </w:t>
      </w:r>
      <w:r>
        <w:rPr>
          <w:i/>
          <w:iCs/>
        </w:rPr>
        <w:t xml:space="preserve">oti/katoa</w:t>
      </w:r>
      <w:r>
        <w:t xml:space="preserve"> </w:t>
      </w:r>
      <w:r>
        <w:t xml:space="preserve">for complete/whole)</w:t>
      </w:r>
      <w:hyperlink r:id="rId43">
        <w:r>
          <w:rPr>
            <w:rStyle w:val="Hyperlink"/>
          </w:rPr>
          <w:t xml:space="preserve">[22]</w:t>
        </w:r>
      </w:hyperlink>
      <w:r>
        <w:t xml:space="preserve">. Marks the full moon night, culturally termed “Old Woman Lighting the Oven in the Sky” – a metaphor captured in the notes for this glyph</w:t>
      </w:r>
      <w:hyperlink r:id="rId43">
        <w:r>
          <w:rPr>
            <w:rStyle w:val="Hyperlink"/>
          </w:rPr>
          <w:t xml:space="preserve">[22]</w:t>
        </w:r>
      </w:hyperlink>
      <w:r>
        <w:t xml:space="preserve">.</w:t>
      </w:r>
    </w:p>
    <w:p>
      <w:pPr>
        <w:pStyle w:val="Compact"/>
        <w:numPr>
          <w:ilvl w:val="0"/>
          <w:numId w:val="1003"/>
        </w:numPr>
      </w:pPr>
      <w:r>
        <w:rPr>
          <w:i/>
          <w:iCs/>
        </w:rPr>
        <w:t xml:space="preserve">Glyph 78</w:t>
      </w:r>
      <w:r>
        <w:t xml:space="preserve"> </w:t>
      </w:r>
      <w:r>
        <w:t xml:space="preserve">–</w:t>
      </w:r>
      <w:r>
        <w:t xml:space="preserve"> </w:t>
      </w:r>
      <w:r>
        <w:rPr>
          <w:b/>
          <w:bCs/>
        </w:rPr>
        <w:t xml:space="preserve">Waning Gibbous “Maure”</w:t>
      </w:r>
      <w:r>
        <w:t xml:space="preserve">. A slightly variant moon glyph indicating the</w:t>
      </w:r>
      <w:r>
        <w:t xml:space="preserve"> </w:t>
      </w:r>
      <w:r>
        <w:rPr>
          <w:i/>
          <w:iCs/>
        </w:rPr>
        <w:t xml:space="preserve">maure</w:t>
      </w:r>
      <w:r>
        <w:t xml:space="preserve"> </w:t>
      </w:r>
      <w:r>
        <w:t xml:space="preserve">night (post-full moon)</w:t>
      </w:r>
      <w:hyperlink r:id="rId44">
        <w:r>
          <w:rPr>
            <w:rStyle w:val="Hyperlink"/>
          </w:rPr>
          <w:t xml:space="preserve">[23]</w:t>
        </w:r>
      </w:hyperlink>
      <w:r>
        <w:t xml:space="preserve">. Appears right after the full moon glyph in sequence, confirming identification by position.</w:t>
      </w:r>
    </w:p>
    <w:p>
      <w:pPr>
        <w:numPr>
          <w:ilvl w:val="0"/>
          <w:numId w:val="1003"/>
        </w:numPr>
      </w:pPr>
      <w:r>
        <w:rPr>
          <w:i/>
          <w:iCs/>
        </w:rPr>
        <w:t xml:space="preserve">Glyph 61</w:t>
      </w:r>
      <w:r>
        <w:t xml:space="preserve"> </w:t>
      </w:r>
      <w:r>
        <w:t xml:space="preserve">–</w:t>
      </w:r>
      <w:r>
        <w:t xml:space="preserve"> </w:t>
      </w:r>
      <w:r>
        <w:rPr>
          <w:b/>
          <w:bCs/>
        </w:rPr>
        <w:t xml:space="preserve">Sky / Night</w:t>
      </w:r>
      <w:r>
        <w:t xml:space="preserve">. Arched sky symbol. Read as</w:t>
      </w:r>
      <w:r>
        <w:t xml:space="preserve"> </w:t>
      </w:r>
      <w:r>
        <w:rPr>
          <w:i/>
          <w:iCs/>
        </w:rPr>
        <w:t xml:space="preserve">rangi</w:t>
      </w:r>
      <w:r>
        <w:t xml:space="preserve"> </w:t>
      </w:r>
      <w:r>
        <w:t xml:space="preserve">(sky) or</w:t>
      </w:r>
      <w:r>
        <w:t xml:space="preserve"> </w:t>
      </w:r>
      <w:r>
        <w:rPr>
          <w:i/>
          <w:iCs/>
        </w:rPr>
        <w:t xml:space="preserve">pō</w:t>
      </w:r>
      <w:r>
        <w:t xml:space="preserve"> </w:t>
      </w:r>
      <w:r>
        <w:t xml:space="preserve">(night), context-dependent</w:t>
      </w:r>
      <w:hyperlink r:id="rId62">
        <w:r>
          <w:rPr>
            <w:rStyle w:val="Hyperlink"/>
          </w:rPr>
          <w:t xml:space="preserve">[45]</w:t>
        </w:r>
      </w:hyperlink>
      <w:r>
        <w:t xml:space="preserve">. Used in cosmological references and to denote the heavens (day vs. night sky when paired with sun or moon glyphs).</w:t>
      </w:r>
    </w:p>
    <w:p>
      <w:pPr>
        <w:numPr>
          <w:ilvl w:val="0"/>
          <w:numId w:val="1003"/>
        </w:numPr>
      </w:pPr>
      <w:r>
        <w:rPr>
          <w:b/>
          <w:bCs/>
        </w:rPr>
        <w:t xml:space="preserve">Natural Elements &amp; Environment:</w:t>
      </w:r>
    </w:p>
    <w:p>
      <w:pPr>
        <w:pStyle w:val="Compact"/>
        <w:numPr>
          <w:ilvl w:val="0"/>
          <w:numId w:val="1003"/>
        </w:numPr>
      </w:pPr>
      <w:r>
        <w:rPr>
          <w:i/>
          <w:iCs/>
        </w:rPr>
        <w:t xml:space="preserve">Glyph 40</w:t>
      </w:r>
      <w:r>
        <w:t xml:space="preserve"> </w:t>
      </w:r>
      <w:r>
        <w:t xml:space="preserve">–</w:t>
      </w:r>
      <w:r>
        <w:t xml:space="preserve"> </w:t>
      </w:r>
      <w:r>
        <w:rPr>
          <w:b/>
          <w:bCs/>
        </w:rPr>
        <w:t xml:space="preserve">Water / Sea / Flow</w:t>
      </w:r>
      <w:r>
        <w:t xml:space="preserve">. Wavy line glyph. Means</w:t>
      </w:r>
      <w:r>
        <w:t xml:space="preserve"> </w:t>
      </w:r>
      <w:r>
        <w:rPr>
          <w:i/>
          <w:iCs/>
        </w:rPr>
        <w:t xml:space="preserve">vai</w:t>
      </w:r>
      <w:r>
        <w:t xml:space="preserve"> </w:t>
      </w:r>
      <w:r>
        <w:t xml:space="preserve">(water) or</w:t>
      </w:r>
      <w:r>
        <w:t xml:space="preserve"> </w:t>
      </w:r>
      <w:r>
        <w:rPr>
          <w:i/>
          <w:iCs/>
        </w:rPr>
        <w:t xml:space="preserve">tai</w:t>
      </w:r>
      <w:r>
        <w:t xml:space="preserve"> </w:t>
      </w:r>
      <w:r>
        <w:t xml:space="preserve">(sea) and also</w:t>
      </w:r>
      <w:r>
        <w:t xml:space="preserve"> </w:t>
      </w:r>
      <w:r>
        <w:rPr>
          <w:i/>
          <w:iCs/>
        </w:rPr>
        <w:t xml:space="preserve">rere</w:t>
      </w:r>
      <w:r>
        <w:t xml:space="preserve"> </w:t>
      </w:r>
      <w:r>
        <w:t xml:space="preserve">(to flow)</w:t>
      </w:r>
      <w:hyperlink r:id="rId30">
        <w:r>
          <w:rPr>
            <w:rStyle w:val="Hyperlink"/>
          </w:rPr>
          <w:t xml:space="preserve">[10]</w:t>
        </w:r>
      </w:hyperlink>
      <w:r>
        <w:t xml:space="preserve">. In the lunar calendar, it can imply “night” (the concept of darkness fluidly flowing, or association with the ocean at night)</w:t>
      </w:r>
      <w:hyperlink r:id="rId30">
        <w:r>
          <w:rPr>
            <w:rStyle w:val="Hyperlink"/>
          </w:rPr>
          <w:t xml:space="preserve">[10]</w:t>
        </w:r>
      </w:hyperlink>
      <w:r>
        <w:t xml:space="preserve">.</w:t>
      </w:r>
    </w:p>
    <w:p>
      <w:pPr>
        <w:pStyle w:val="Compact"/>
        <w:numPr>
          <w:ilvl w:val="0"/>
          <w:numId w:val="1003"/>
        </w:numPr>
      </w:pPr>
      <w:r>
        <w:rPr>
          <w:i/>
          <w:iCs/>
        </w:rPr>
        <w:t xml:space="preserve">Glyph 50</w:t>
      </w:r>
      <w:r>
        <w:t xml:space="preserve"> </w:t>
      </w:r>
      <w:r>
        <w:t xml:space="preserve">–</w:t>
      </w:r>
      <w:r>
        <w:t xml:space="preserve"> </w:t>
      </w:r>
      <w:r>
        <w:rPr>
          <w:b/>
          <w:bCs/>
        </w:rPr>
        <w:t xml:space="preserve">Stone / Rock</w:t>
      </w:r>
      <w:r>
        <w:t xml:space="preserve">. Angular shape. Read as</w:t>
      </w:r>
      <w:r>
        <w:t xml:space="preserve"> </w:t>
      </w:r>
      <w:r>
        <w:rPr>
          <w:i/>
          <w:iCs/>
        </w:rPr>
        <w:t xml:space="preserve">maea</w:t>
      </w:r>
      <w:r>
        <w:t xml:space="preserve"> </w:t>
      </w:r>
      <w:r>
        <w:t xml:space="preserve">(stone) or</w:t>
      </w:r>
      <w:r>
        <w:t xml:space="preserve"> </w:t>
      </w:r>
      <w:r>
        <w:rPr>
          <w:i/>
          <w:iCs/>
        </w:rPr>
        <w:t xml:space="preserve">papa</w:t>
      </w:r>
      <w:r>
        <w:t xml:space="preserve"> </w:t>
      </w:r>
      <w:r>
        <w:t xml:space="preserve">(rock/ground)</w:t>
      </w:r>
      <w:hyperlink r:id="rId63">
        <w:r>
          <w:rPr>
            <w:rStyle w:val="Hyperlink"/>
          </w:rPr>
          <w:t xml:space="preserve">[46]</w:t>
        </w:r>
      </w:hyperlink>
      <w:r>
        <w:t xml:space="preserve">. Represents earth, foundations, or something solid/permanent. Could indicate stone platforms or the Earth itself in mythic context.</w:t>
      </w:r>
    </w:p>
    <w:p>
      <w:pPr>
        <w:pStyle w:val="Compact"/>
        <w:numPr>
          <w:ilvl w:val="0"/>
          <w:numId w:val="1003"/>
        </w:numPr>
      </w:pPr>
      <w:r>
        <w:rPr>
          <w:i/>
          <w:iCs/>
        </w:rPr>
        <w:t xml:space="preserve">Glyph 67</w:t>
      </w:r>
      <w:r>
        <w:t xml:space="preserve"> </w:t>
      </w:r>
      <w:r>
        <w:t xml:space="preserve">–</w:t>
      </w:r>
      <w:r>
        <w:t xml:space="preserve"> </w:t>
      </w:r>
      <w:r>
        <w:rPr>
          <w:b/>
          <w:bCs/>
        </w:rPr>
        <w:t xml:space="preserve">Palm Tree (Extinct)</w:t>
      </w:r>
      <w:r>
        <w:t xml:space="preserve">. Palm-like silhouette. Identified as the extinct Rapa Nui palm (</w:t>
      </w:r>
      <w:r>
        <w:rPr>
          <w:i/>
          <w:iCs/>
        </w:rPr>
        <w:t xml:space="preserve">niu</w:t>
      </w:r>
      <w:r>
        <w:t xml:space="preserve"> </w:t>
      </w:r>
      <w:r>
        <w:t xml:space="preserve">in Polynesian, scientific Paschalococos)</w:t>
      </w:r>
      <w:hyperlink r:id="rId52">
        <w:r>
          <w:rPr>
            <w:rStyle w:val="Hyperlink"/>
          </w:rPr>
          <w:t xml:space="preserve">[35]</w:t>
        </w:r>
      </w:hyperlink>
      <w:r>
        <w:t xml:space="preserve">. Appears in contexts hinting at cycles or beginnings (perhaps marking a “start” in calendar or a primeval time when palms existed). Carries environmental memory of a key resource that vanished.</w:t>
      </w:r>
    </w:p>
    <w:p>
      <w:pPr>
        <w:numPr>
          <w:ilvl w:val="0"/>
          <w:numId w:val="1003"/>
        </w:numPr>
      </w:pPr>
      <w:r>
        <w:rPr>
          <w:i/>
          <w:iCs/>
        </w:rPr>
        <w:t xml:space="preserve">Glyph 9</w:t>
      </w:r>
      <w:r>
        <w:t xml:space="preserve"> </w:t>
      </w:r>
      <w:r>
        <w:t xml:space="preserve">–</w:t>
      </w:r>
      <w:r>
        <w:t xml:space="preserve"> </w:t>
      </w:r>
      <w:r>
        <w:rPr>
          <w:b/>
          <w:bCs/>
        </w:rPr>
        <w:t xml:space="preserve">Sand / Beach</w:t>
      </w:r>
      <w:r>
        <w:t xml:space="preserve">. Small granular pattern. Read</w:t>
      </w:r>
      <w:r>
        <w:t xml:space="preserve"> </w:t>
      </w:r>
      <w:r>
        <w:rPr>
          <w:i/>
          <w:iCs/>
        </w:rPr>
        <w:t xml:space="preserve">one</w:t>
      </w:r>
      <w:r>
        <w:t xml:space="preserve"> </w:t>
      </w:r>
      <w:r>
        <w:t xml:space="preserve">(sand, beach)</w:t>
      </w:r>
      <w:hyperlink r:id="rId30">
        <w:r>
          <w:rPr>
            <w:rStyle w:val="Hyperlink"/>
          </w:rPr>
          <w:t xml:space="preserve">[36]</w:t>
        </w:r>
      </w:hyperlink>
      <w:r>
        <w:t xml:space="preserve">. Consistently marks landfall or shore. Notably used as an</w:t>
      </w:r>
      <w:r>
        <w:t xml:space="preserve"> </w:t>
      </w:r>
      <w:r>
        <w:rPr>
          <w:b/>
          <w:bCs/>
        </w:rPr>
        <w:t xml:space="preserve">endpoint in voyage narratives</w:t>
      </w:r>
      <w:r>
        <w:t xml:space="preserve"> </w:t>
      </w:r>
      <w:r>
        <w:t xml:space="preserve">– e.g. sequences that culminate in the</w:t>
      </w:r>
      <w:r>
        <w:t xml:space="preserve"> </w:t>
      </w:r>
      <w:r>
        <w:rPr>
          <w:i/>
          <w:iCs/>
        </w:rPr>
        <w:t xml:space="preserve">one</w:t>
      </w:r>
      <w:r>
        <w:t xml:space="preserve"> </w:t>
      </w:r>
      <w:r>
        <w:t xml:space="preserve">glyph indicate arrival at a beach (like the ancestral landing at Anakena)</w:t>
      </w:r>
      <w:hyperlink r:id="rId30">
        <w:r>
          <w:rPr>
            <w:rStyle w:val="Hyperlink"/>
          </w:rPr>
          <w:t xml:space="preserve">[36]</w:t>
        </w:r>
      </w:hyperlink>
      <w:r>
        <w:t xml:space="preserve">.</w:t>
      </w:r>
    </w:p>
    <w:p>
      <w:pPr>
        <w:numPr>
          <w:ilvl w:val="0"/>
          <w:numId w:val="1003"/>
        </w:numPr>
      </w:pPr>
      <w:r>
        <w:rPr>
          <w:b/>
          <w:bCs/>
        </w:rPr>
        <w:t xml:space="preserve">Flora &amp; Fauna:</w:t>
      </w:r>
    </w:p>
    <w:p>
      <w:pPr>
        <w:pStyle w:val="Compact"/>
        <w:numPr>
          <w:ilvl w:val="0"/>
          <w:numId w:val="1003"/>
        </w:numPr>
      </w:pPr>
      <w:r>
        <w:rPr>
          <w:i/>
          <w:iCs/>
        </w:rPr>
        <w:t xml:space="preserve">Glyph 20</w:t>
      </w:r>
      <w:r>
        <w:t xml:space="preserve"> </w:t>
      </w:r>
      <w:r>
        <w:t xml:space="preserve">–</w:t>
      </w:r>
      <w:r>
        <w:t xml:space="preserve"> </w:t>
      </w:r>
      <w:r>
        <w:rPr>
          <w:b/>
          <w:bCs/>
        </w:rPr>
        <w:t xml:space="preserve">Tree / Plant / Growth</w:t>
      </w:r>
      <w:r>
        <w:t xml:space="preserve">. Branching shape. General vegetation sign:</w:t>
      </w:r>
      <w:r>
        <w:t xml:space="preserve"> </w:t>
      </w:r>
      <w:r>
        <w:rPr>
          <w:i/>
          <w:iCs/>
        </w:rPr>
        <w:t xml:space="preserve">rākau</w:t>
      </w:r>
      <w:r>
        <w:t xml:space="preserve"> </w:t>
      </w:r>
      <w:r>
        <w:t xml:space="preserve">(tree),</w:t>
      </w:r>
      <w:r>
        <w:t xml:space="preserve"> </w:t>
      </w:r>
      <w:r>
        <w:rPr>
          <w:i/>
          <w:iCs/>
        </w:rPr>
        <w:t xml:space="preserve">tiare</w:t>
      </w:r>
      <w:r>
        <w:t xml:space="preserve"> </w:t>
      </w:r>
      <w:r>
        <w:t xml:space="preserve">(plant/flower), or</w:t>
      </w:r>
      <w:r>
        <w:t xml:space="preserve"> </w:t>
      </w:r>
      <w:r>
        <w:rPr>
          <w:i/>
          <w:iCs/>
        </w:rPr>
        <w:t xml:space="preserve">tipu</w:t>
      </w:r>
      <w:r>
        <w:t xml:space="preserve"> </w:t>
      </w:r>
      <w:r>
        <w:t xml:space="preserve">(to grow)</w:t>
      </w:r>
      <w:hyperlink r:id="rId30">
        <w:r>
          <w:rPr>
            <w:rStyle w:val="Hyperlink"/>
          </w:rPr>
          <w:t xml:space="preserve">[34]</w:t>
        </w:r>
      </w:hyperlink>
      <w:r>
        <w:t xml:space="preserve">. Conveys plant life or the act of growing. Might prefix names of specific plants or be used metaphorically for genealogy (family tree concept).</w:t>
      </w:r>
    </w:p>
    <w:p>
      <w:pPr>
        <w:pStyle w:val="Compact"/>
        <w:numPr>
          <w:ilvl w:val="0"/>
          <w:numId w:val="1003"/>
        </w:numPr>
      </w:pPr>
      <w:r>
        <w:rPr>
          <w:i/>
          <w:iCs/>
        </w:rPr>
        <w:t xml:space="preserve">Glyph 600</w:t>
      </w:r>
      <w:r>
        <w:t xml:space="preserve"> </w:t>
      </w:r>
      <w:r>
        <w:t xml:space="preserve">–</w:t>
      </w:r>
      <w:r>
        <w:t xml:space="preserve"> </w:t>
      </w:r>
      <w:r>
        <w:rPr>
          <w:b/>
          <w:bCs/>
        </w:rPr>
        <w:t xml:space="preserve">Bird (Frigatebird) / Fly</w:t>
      </w:r>
      <w:r>
        <w:t xml:space="preserve">. Bird figure with outstretched wings. Means</w:t>
      </w:r>
      <w:r>
        <w:t xml:space="preserve"> </w:t>
      </w:r>
      <w:r>
        <w:rPr>
          <w:i/>
          <w:iCs/>
        </w:rPr>
        <w:t xml:space="preserve">manu</w:t>
      </w:r>
      <w:r>
        <w:t xml:space="preserve"> </w:t>
      </w:r>
      <w:r>
        <w:t xml:space="preserve">(bird), specifically</w:t>
      </w:r>
      <w:r>
        <w:t xml:space="preserve"> </w:t>
      </w:r>
      <w:r>
        <w:rPr>
          <w:i/>
          <w:iCs/>
        </w:rPr>
        <w:t xml:space="preserve">tavake</w:t>
      </w:r>
      <w:r>
        <w:t xml:space="preserve"> </w:t>
      </w:r>
      <w:r>
        <w:t xml:space="preserve">(frigatebird), and also</w:t>
      </w:r>
      <w:r>
        <w:t xml:space="preserve"> </w:t>
      </w:r>
      <w:r>
        <w:rPr>
          <w:i/>
          <w:iCs/>
        </w:rPr>
        <w:t xml:space="preserve">rere</w:t>
      </w:r>
      <w:r>
        <w:t xml:space="preserve"> </w:t>
      </w:r>
      <w:r>
        <w:t xml:space="preserve">(to fly)</w:t>
      </w:r>
      <w:hyperlink r:id="rId30">
        <w:r>
          <w:rPr>
            <w:rStyle w:val="Hyperlink"/>
          </w:rPr>
          <w:t xml:space="preserve">[47]</w:t>
        </w:r>
      </w:hyperlink>
      <w:r>
        <w:t xml:space="preserve">. This is the sacred bird of the Bird-Man cult, appearing in mythological contexts. Often an emblem of sky or spirit.</w:t>
      </w:r>
    </w:p>
    <w:p>
      <w:pPr>
        <w:pStyle w:val="Compact"/>
        <w:numPr>
          <w:ilvl w:val="0"/>
          <w:numId w:val="1003"/>
        </w:numPr>
      </w:pPr>
      <w:r>
        <w:rPr>
          <w:i/>
          <w:iCs/>
        </w:rPr>
        <w:t xml:space="preserve">Glyph 606</w:t>
      </w:r>
      <w:r>
        <w:t xml:space="preserve"> </w:t>
      </w:r>
      <w:r>
        <w:t xml:space="preserve">–</w:t>
      </w:r>
      <w:r>
        <w:t xml:space="preserve"> </w:t>
      </w:r>
      <w:r>
        <w:rPr>
          <w:b/>
          <w:bCs/>
        </w:rPr>
        <w:t xml:space="preserve">Birds (Plural) / Flock / Spirits</w:t>
      </w:r>
      <w:r>
        <w:t xml:space="preserve">. A composite of the bird glyph + plural marker. Indicates multiple birds (</w:t>
      </w:r>
      <w:r>
        <w:rPr>
          <w:i/>
          <w:iCs/>
        </w:rPr>
        <w:t xml:space="preserve">manu plural</w:t>
      </w:r>
      <w:r>
        <w:t xml:space="preserve">) or a flock; in symbolic terms can mean a gathering of spirits (since souls of the dead were sometimes likened to birds)</w:t>
      </w:r>
      <w:hyperlink r:id="rId34">
        <w:r>
          <w:rPr>
            <w:rStyle w:val="Hyperlink"/>
          </w:rPr>
          <w:t xml:space="preserve">[14]</w:t>
        </w:r>
      </w:hyperlink>
      <w:r>
        <w:t xml:space="preserve">. Found in creation chants where multiple beings (spirits or animals) are referenced collectively.</w:t>
      </w:r>
    </w:p>
    <w:p>
      <w:pPr>
        <w:pStyle w:val="Compact"/>
        <w:numPr>
          <w:ilvl w:val="0"/>
          <w:numId w:val="1003"/>
        </w:numPr>
      </w:pPr>
      <w:r>
        <w:rPr>
          <w:i/>
          <w:iCs/>
        </w:rPr>
        <w:t xml:space="preserve">Glyph 610</w:t>
      </w:r>
      <w:r>
        <w:t xml:space="preserve"> </w:t>
      </w:r>
      <w:r>
        <w:t xml:space="preserve">–</w:t>
      </w:r>
      <w:r>
        <w:t xml:space="preserve"> </w:t>
      </w:r>
      <w:r>
        <w:rPr>
          <w:b/>
          <w:bCs/>
        </w:rPr>
        <w:t xml:space="preserve">Egg / Origin</w:t>
      </w:r>
      <w:r>
        <w:t xml:space="preserve">. Oval shape. Means</w:t>
      </w:r>
      <w:r>
        <w:t xml:space="preserve"> </w:t>
      </w:r>
      <w:r>
        <w:rPr>
          <w:i/>
          <w:iCs/>
        </w:rPr>
        <w:t xml:space="preserve">hua</w:t>
      </w:r>
      <w:r>
        <w:t xml:space="preserve"> </w:t>
      </w:r>
      <w:r>
        <w:t xml:space="preserve">(egg), with extended meanings of</w:t>
      </w:r>
      <w:r>
        <w:t xml:space="preserve"> </w:t>
      </w:r>
      <w:r>
        <w:rPr>
          <w:i/>
          <w:iCs/>
        </w:rPr>
        <w:t xml:space="preserve">timu</w:t>
      </w:r>
      <w:r>
        <w:t xml:space="preserve"> </w:t>
      </w:r>
      <w:r>
        <w:t xml:space="preserve">(origin, source) and</w:t>
      </w:r>
      <w:r>
        <w:t xml:space="preserve"> </w:t>
      </w:r>
      <w:r>
        <w:rPr>
          <w:i/>
          <w:iCs/>
        </w:rPr>
        <w:t xml:space="preserve">mata</w:t>
      </w:r>
      <w:r>
        <w:t xml:space="preserve"> </w:t>
      </w:r>
      <w:r>
        <w:t xml:space="preserve">(beginning)</w:t>
      </w:r>
      <w:hyperlink r:id="rId48">
        <w:r>
          <w:rPr>
            <w:rStyle w:val="Hyperlink"/>
          </w:rPr>
          <w:t xml:space="preserve">[30]</w:t>
        </w:r>
      </w:hyperlink>
      <w:r>
        <w:t xml:space="preserve">. Core symbol in creation narratives – representing the cosmic egg or the concept of birth/creation. Its high frequency in mythic sequences underscores its importance in Rapa Nui cosmology.</w:t>
      </w:r>
    </w:p>
    <w:p>
      <w:pPr>
        <w:pStyle w:val="Compact"/>
        <w:numPr>
          <w:ilvl w:val="0"/>
          <w:numId w:val="1003"/>
        </w:numPr>
      </w:pPr>
      <w:r>
        <w:rPr>
          <w:i/>
          <w:iCs/>
        </w:rPr>
        <w:t xml:space="preserve">Glyph 700</w:t>
      </w:r>
      <w:r>
        <w:t xml:space="preserve"> </w:t>
      </w:r>
      <w:r>
        <w:t xml:space="preserve">–</w:t>
      </w:r>
      <w:r>
        <w:t xml:space="preserve"> </w:t>
      </w:r>
      <w:r>
        <w:rPr>
          <w:b/>
          <w:bCs/>
        </w:rPr>
        <w:t xml:space="preserve">Fish / Victim (Sacrifice)</w:t>
      </w:r>
      <w:r>
        <w:t xml:space="preserve">. Fish silhouette. Base meaning</w:t>
      </w:r>
      <w:r>
        <w:t xml:space="preserve"> </w:t>
      </w:r>
      <w:r>
        <w:rPr>
          <w:i/>
          <w:iCs/>
        </w:rPr>
        <w:t xml:space="preserve">ika</w:t>
      </w:r>
      <w:r>
        <w:t xml:space="preserve"> </w:t>
      </w:r>
      <w:r>
        <w:t xml:space="preserve">(fish). In ritual context, stands for a sacrificial offering or victim (</w:t>
      </w:r>
      <w:r>
        <w:rPr>
          <w:i/>
          <w:iCs/>
        </w:rPr>
        <w:t xml:space="preserve">ika</w:t>
      </w:r>
      <w:r>
        <w:t xml:space="preserve"> </w:t>
      </w:r>
      <w:r>
        <w:t xml:space="preserve">used metaphorically)</w:t>
      </w:r>
      <w:hyperlink r:id="rId64">
        <w:r>
          <w:rPr>
            <w:rStyle w:val="Hyperlink"/>
          </w:rPr>
          <w:t xml:space="preserve">[48]</w:t>
        </w:r>
      </w:hyperlink>
      <w:r>
        <w:t xml:space="preserve">. Requires context to tell if it’s literal fish (e.g. in an inventory of foods or species) or referring to a human sacrificial victim in an allegorical way.</w:t>
      </w:r>
    </w:p>
    <w:p>
      <w:pPr>
        <w:pStyle w:val="Compact"/>
        <w:numPr>
          <w:ilvl w:val="0"/>
          <w:numId w:val="1003"/>
        </w:numPr>
      </w:pPr>
      <w:r>
        <w:rPr>
          <w:i/>
          <w:iCs/>
        </w:rPr>
        <w:t xml:space="preserve">Glyph 710</w:t>
      </w:r>
      <w:r>
        <w:t xml:space="preserve"> </w:t>
      </w:r>
      <w:r>
        <w:t xml:space="preserve">–</w:t>
      </w:r>
      <w:r>
        <w:t xml:space="preserve"> </w:t>
      </w:r>
      <w:r>
        <w:rPr>
          <w:b/>
          <w:bCs/>
        </w:rPr>
        <w:t xml:space="preserve">Shark / Danger</w:t>
      </w:r>
      <w:r>
        <w:t xml:space="preserve">. A shark-like figure. Read</w:t>
      </w:r>
      <w:r>
        <w:t xml:space="preserve"> </w:t>
      </w:r>
      <w:r>
        <w:rPr>
          <w:i/>
          <w:iCs/>
        </w:rPr>
        <w:t xml:space="preserve">mako</w:t>
      </w:r>
      <w:r>
        <w:t xml:space="preserve"> </w:t>
      </w:r>
      <w:r>
        <w:t xml:space="preserve">(shark) or qualities like</w:t>
      </w:r>
      <w:r>
        <w:t xml:space="preserve"> </w:t>
      </w:r>
      <w:r>
        <w:rPr>
          <w:i/>
          <w:iCs/>
        </w:rPr>
        <w:t xml:space="preserve">kino</w:t>
      </w:r>
      <w:r>
        <w:t xml:space="preserve"> </w:t>
      </w:r>
      <w:r>
        <w:t xml:space="preserve">(dangerous) and</w:t>
      </w:r>
      <w:r>
        <w:t xml:space="preserve"> </w:t>
      </w:r>
      <w:r>
        <w:rPr>
          <w:i/>
          <w:iCs/>
        </w:rPr>
        <w:t xml:space="preserve">taratara</w:t>
      </w:r>
      <w:r>
        <w:t xml:space="preserve"> </w:t>
      </w:r>
      <w:r>
        <w:t xml:space="preserve">(fierce)</w:t>
      </w:r>
      <w:hyperlink r:id="rId65">
        <w:r>
          <w:rPr>
            <w:rStyle w:val="Hyperlink"/>
          </w:rPr>
          <w:t xml:space="preserve">[49]</w:t>
        </w:r>
      </w:hyperlink>
      <w:r>
        <w:t xml:space="preserve">. Symbolizes danger or a powerful adversary. Possibly used in narratives of peril (sea voyages encountering sharks, or metaphorically a fierce warrior called “shark”).</w:t>
      </w:r>
    </w:p>
    <w:p>
      <w:pPr>
        <w:pStyle w:val="Compact"/>
        <w:numPr>
          <w:ilvl w:val="0"/>
          <w:numId w:val="1003"/>
        </w:numPr>
      </w:pPr>
      <w:r>
        <w:rPr>
          <w:i/>
          <w:iCs/>
        </w:rPr>
        <w:t xml:space="preserve">Glyph 750</w:t>
      </w:r>
      <w:r>
        <w:t xml:space="preserve"> </w:t>
      </w:r>
      <w:r>
        <w:t xml:space="preserve">–</w:t>
      </w:r>
      <w:r>
        <w:t xml:space="preserve"> </w:t>
      </w:r>
      <w:r>
        <w:rPr>
          <w:b/>
          <w:bCs/>
        </w:rPr>
        <w:t xml:space="preserve">Turtle / Ancient / Slow</w:t>
      </w:r>
      <w:r>
        <w:t xml:space="preserve">. Turtle shape. Means</w:t>
      </w:r>
      <w:r>
        <w:t xml:space="preserve"> </w:t>
      </w:r>
      <w:r>
        <w:rPr>
          <w:i/>
          <w:iCs/>
        </w:rPr>
        <w:t xml:space="preserve">honu</w:t>
      </w:r>
      <w:r>
        <w:t xml:space="preserve"> </w:t>
      </w:r>
      <w:r>
        <w:t xml:space="preserve">(sea turtle), and by extension</w:t>
      </w:r>
      <w:r>
        <w:t xml:space="preserve"> </w:t>
      </w:r>
      <w:r>
        <w:rPr>
          <w:i/>
          <w:iCs/>
        </w:rPr>
        <w:t xml:space="preserve">tawhito</w:t>
      </w:r>
      <w:r>
        <w:t xml:space="preserve"> </w:t>
      </w:r>
      <w:r>
        <w:t xml:space="preserve">(ancient) or</w:t>
      </w:r>
      <w:r>
        <w:t xml:space="preserve"> </w:t>
      </w:r>
      <w:r>
        <w:rPr>
          <w:i/>
          <w:iCs/>
        </w:rPr>
        <w:t xml:space="preserve">mārō</w:t>
      </w:r>
      <w:r>
        <w:t xml:space="preserve"> </w:t>
      </w:r>
      <w:r>
        <w:t xml:space="preserve">(slow)</w:t>
      </w:r>
      <w:hyperlink r:id="rId50">
        <w:r>
          <w:rPr>
            <w:rStyle w:val="Hyperlink"/>
          </w:rPr>
          <w:t xml:space="preserve">[32]</w:t>
        </w:r>
      </w:hyperlink>
      <w:r>
        <w:t xml:space="preserve">. Represents longevity and age. As noted, tied to the dark moon phase in calendars (turtle hiding as moon disappears). In legends, could refer to the primordial turtle or simply denote great age.</w:t>
      </w:r>
    </w:p>
    <w:p>
      <w:pPr>
        <w:numPr>
          <w:ilvl w:val="0"/>
          <w:numId w:val="1003"/>
        </w:numPr>
      </w:pPr>
      <w:r>
        <w:rPr>
          <w:i/>
          <w:iCs/>
        </w:rPr>
        <w:t xml:space="preserve">Glyph 800</w:t>
      </w:r>
      <w:r>
        <w:t xml:space="preserve"> </w:t>
      </w:r>
      <w:r>
        <w:t xml:space="preserve">–</w:t>
      </w:r>
      <w:r>
        <w:t xml:space="preserve"> </w:t>
      </w:r>
      <w:r>
        <w:rPr>
          <w:b/>
          <w:bCs/>
        </w:rPr>
        <w:t xml:space="preserve">Octopus / Tentacle</w:t>
      </w:r>
      <w:r>
        <w:t xml:space="preserve">. Circular center with emanating lines (legs). Read</w:t>
      </w:r>
      <w:r>
        <w:t xml:space="preserve"> </w:t>
      </w:r>
      <w:r>
        <w:rPr>
          <w:i/>
          <w:iCs/>
        </w:rPr>
        <w:t xml:space="preserve">heʻe</w:t>
      </w:r>
      <w:r>
        <w:t xml:space="preserve"> </w:t>
      </w:r>
      <w:r>
        <w:t xml:space="preserve">(octopus) or</w:t>
      </w:r>
      <w:r>
        <w:t xml:space="preserve"> </w:t>
      </w:r>
      <w:r>
        <w:rPr>
          <w:i/>
          <w:iCs/>
        </w:rPr>
        <w:t xml:space="preserve">rima heʻe</w:t>
      </w:r>
      <w:r>
        <w:t xml:space="preserve"> </w:t>
      </w:r>
      <w:r>
        <w:t xml:space="preserve">(octopus’ arm)</w:t>
      </w:r>
      <w:hyperlink r:id="rId66">
        <w:r>
          <w:rPr>
            <w:rStyle w:val="Hyperlink"/>
          </w:rPr>
          <w:t xml:space="preserve">[50]</w:t>
        </w:r>
      </w:hyperlink>
      <w:r>
        <w:t xml:space="preserve">. Symbolizes a grasping, far-reaching thing. Possibly used to depict the spreading of tribes (arms extending) or in a literal list of sea creatures.</w:t>
      </w:r>
    </w:p>
    <w:p>
      <w:pPr>
        <w:numPr>
          <w:ilvl w:val="0"/>
          <w:numId w:val="1003"/>
        </w:numPr>
      </w:pPr>
      <w:r>
        <w:rPr>
          <w:b/>
          <w:bCs/>
        </w:rPr>
        <w:t xml:space="preserve">Objects &amp; Artifacts:</w:t>
      </w:r>
    </w:p>
    <w:p>
      <w:pPr>
        <w:pStyle w:val="Compact"/>
        <w:numPr>
          <w:ilvl w:val="0"/>
          <w:numId w:val="1003"/>
        </w:numPr>
      </w:pPr>
      <w:r>
        <w:rPr>
          <w:i/>
          <w:iCs/>
        </w:rPr>
        <w:t xml:space="preserve">Glyph 30</w:t>
      </w:r>
      <w:r>
        <w:t xml:space="preserve"> </w:t>
      </w:r>
      <w:r>
        <w:t xml:space="preserve">–</w:t>
      </w:r>
      <w:r>
        <w:t xml:space="preserve"> </w:t>
      </w:r>
      <w:r>
        <w:rPr>
          <w:b/>
          <w:bCs/>
        </w:rPr>
        <w:t xml:space="preserve">House / Structure / Place</w:t>
      </w:r>
      <w:r>
        <w:t xml:space="preserve">. Rectangular enclosure shape. Means</w:t>
      </w:r>
      <w:r>
        <w:t xml:space="preserve"> </w:t>
      </w:r>
      <w:r>
        <w:rPr>
          <w:i/>
          <w:iCs/>
        </w:rPr>
        <w:t xml:space="preserve">hare</w:t>
      </w:r>
      <w:r>
        <w:t xml:space="preserve"> </w:t>
      </w:r>
      <w:r>
        <w:t xml:space="preserve">(house) or</w:t>
      </w:r>
      <w:r>
        <w:t xml:space="preserve"> </w:t>
      </w:r>
      <w:r>
        <w:rPr>
          <w:i/>
          <w:iCs/>
        </w:rPr>
        <w:t xml:space="preserve">henua</w:t>
      </w:r>
      <w:r>
        <w:t xml:space="preserve"> </w:t>
      </w:r>
      <w:r>
        <w:t xml:space="preserve">(land/place)</w:t>
      </w:r>
      <w:hyperlink r:id="rId53">
        <w:r>
          <w:rPr>
            <w:rStyle w:val="Hyperlink"/>
          </w:rPr>
          <w:t xml:space="preserve">[37]</w:t>
        </w:r>
      </w:hyperlink>
      <w:r>
        <w:t xml:space="preserve">. Indicates buildings or locations. Could prefix place names or denote a specific ceremonial house.</w:t>
      </w:r>
    </w:p>
    <w:p>
      <w:pPr>
        <w:pStyle w:val="Compact"/>
        <w:numPr>
          <w:ilvl w:val="0"/>
          <w:numId w:val="1003"/>
        </w:numPr>
      </w:pPr>
      <w:r>
        <w:rPr>
          <w:i/>
          <w:iCs/>
        </w:rPr>
        <w:t xml:space="preserve">Glyph 70</w:t>
      </w:r>
      <w:r>
        <w:t xml:space="preserve"> </w:t>
      </w:r>
      <w:r>
        <w:t xml:space="preserve">–</w:t>
      </w:r>
      <w:r>
        <w:t xml:space="preserve"> </w:t>
      </w:r>
      <w:r>
        <w:rPr>
          <w:b/>
          <w:bCs/>
        </w:rPr>
        <w:t xml:space="preserve">Stick / Staff / Tool</w:t>
      </w:r>
      <w:r>
        <w:t xml:space="preserve">. A straight line with markings. Read</w:t>
      </w:r>
      <w:r>
        <w:t xml:space="preserve"> </w:t>
      </w:r>
      <w:r>
        <w:rPr>
          <w:i/>
          <w:iCs/>
        </w:rPr>
        <w:t xml:space="preserve">kau</w:t>
      </w:r>
      <w:r>
        <w:t xml:space="preserve"> </w:t>
      </w:r>
      <w:r>
        <w:t xml:space="preserve">(wooden stick),</w:t>
      </w:r>
      <w:r>
        <w:t xml:space="preserve"> </w:t>
      </w:r>
      <w:r>
        <w:rPr>
          <w:i/>
          <w:iCs/>
        </w:rPr>
        <w:t xml:space="preserve">toko</w:t>
      </w:r>
      <w:r>
        <w:t xml:space="preserve"> </w:t>
      </w:r>
      <w:r>
        <w:t xml:space="preserve">(staff), or</w:t>
      </w:r>
      <w:r>
        <w:t xml:space="preserve"> </w:t>
      </w:r>
      <w:r>
        <w:rPr>
          <w:i/>
          <w:iCs/>
        </w:rPr>
        <w:t xml:space="preserve">taura</w:t>
      </w:r>
      <w:r>
        <w:t xml:space="preserve"> </w:t>
      </w:r>
      <w:r>
        <w:t xml:space="preserve">(tool)</w:t>
      </w:r>
      <w:hyperlink r:id="rId67">
        <w:r>
          <w:rPr>
            <w:rStyle w:val="Hyperlink"/>
          </w:rPr>
          <w:t xml:space="preserve">[51]</w:t>
        </w:r>
      </w:hyperlink>
      <w:r>
        <w:t xml:space="preserve">. May refer to actual objects (like the staff itself, or a tool used in agriculture/ritual) or symbolically to authority (staff as a scepter).</w:t>
      </w:r>
    </w:p>
    <w:p>
      <w:pPr>
        <w:pStyle w:val="Compact"/>
        <w:numPr>
          <w:ilvl w:val="0"/>
          <w:numId w:val="1003"/>
        </w:numPr>
      </w:pPr>
      <w:r>
        <w:rPr>
          <w:i/>
          <w:iCs/>
        </w:rPr>
        <w:t xml:space="preserve">Glyph 60</w:t>
      </w:r>
      <w:r>
        <w:t xml:space="preserve"> </w:t>
      </w:r>
      <w:r>
        <w:t xml:space="preserve">–</w:t>
      </w:r>
      <w:r>
        <w:t xml:space="preserve"> </w:t>
      </w:r>
      <w:r>
        <w:rPr>
          <w:b/>
          <w:bCs/>
        </w:rPr>
        <w:t xml:space="preserve">Path / Road / Way</w:t>
      </w:r>
      <w:r>
        <w:t xml:space="preserve">. Long line with minor offshoots. Means</w:t>
      </w:r>
      <w:r>
        <w:t xml:space="preserve"> </w:t>
      </w:r>
      <w:r>
        <w:rPr>
          <w:i/>
          <w:iCs/>
        </w:rPr>
        <w:t xml:space="preserve">ara</w:t>
      </w:r>
      <w:r>
        <w:t xml:space="preserve"> </w:t>
      </w:r>
      <w:r>
        <w:t xml:space="preserve">(path),</w:t>
      </w:r>
      <w:r>
        <w:t xml:space="preserve"> </w:t>
      </w:r>
      <w:r>
        <w:rPr>
          <w:i/>
          <w:iCs/>
        </w:rPr>
        <w:t xml:space="preserve">ara rahi</w:t>
      </w:r>
      <w:r>
        <w:t xml:space="preserve"> </w:t>
      </w:r>
      <w:r>
        <w:t xml:space="preserve">(main road), or</w:t>
      </w:r>
      <w:r>
        <w:t xml:space="preserve"> </w:t>
      </w:r>
      <w:r>
        <w:rPr>
          <w:i/>
          <w:iCs/>
        </w:rPr>
        <w:t xml:space="preserve">tahua</w:t>
      </w:r>
      <w:r>
        <w:t xml:space="preserve"> </w:t>
      </w:r>
      <w:r>
        <w:t xml:space="preserve">(way, method)</w:t>
      </w:r>
      <w:hyperlink r:id="rId54">
        <w:r>
          <w:rPr>
            <w:rStyle w:val="Hyperlink"/>
          </w:rPr>
          <w:t xml:space="preserve">[38]</w:t>
        </w:r>
      </w:hyperlink>
      <w:r>
        <w:t xml:space="preserve">. Used literally for roads or voyages, or metaphorically for a way of doing something. It often pairs with travel sequences.</w:t>
      </w:r>
    </w:p>
    <w:p>
      <w:pPr>
        <w:pStyle w:val="Compact"/>
        <w:numPr>
          <w:ilvl w:val="0"/>
          <w:numId w:val="1003"/>
        </w:numPr>
      </w:pPr>
      <w:r>
        <w:rPr>
          <w:i/>
          <w:iCs/>
        </w:rPr>
        <w:t xml:space="preserve">Glyph 62</w:t>
      </w:r>
      <w:r>
        <w:t xml:space="preserve"> </w:t>
      </w:r>
      <w:r>
        <w:t xml:space="preserve">–</w:t>
      </w:r>
      <w:r>
        <w:t xml:space="preserve"> </w:t>
      </w:r>
      <w:r>
        <w:rPr>
          <w:b/>
          <w:bCs/>
        </w:rPr>
        <w:t xml:space="preserve">Phrase Break / Pause</w:t>
      </w:r>
      <w:r>
        <w:t xml:space="preserve">. (Structural sign, looks like a small notch or divider.) Not read as a word itself, but functions like punctuation</w:t>
      </w:r>
      <w:hyperlink r:id="rId32">
        <w:r>
          <w:rPr>
            <w:rStyle w:val="Hyperlink"/>
          </w:rPr>
          <w:t xml:space="preserve">[12]</w:t>
        </w:r>
      </w:hyperlink>
      <w:r>
        <w:t xml:space="preserve">. Possibly corresponds to a short pause or grammatical particle (the Rapa Nui particle</w:t>
      </w:r>
      <w:r>
        <w:t xml:space="preserve"> </w:t>
      </w:r>
      <w:r>
        <w:rPr>
          <w:i/>
          <w:iCs/>
        </w:rPr>
        <w:t xml:space="preserve">ki</w:t>
      </w:r>
      <w:r>
        <w:t xml:space="preserve"> </w:t>
      </w:r>
      <w:r>
        <w:t xml:space="preserve">has been hypothesized)</w:t>
      </w:r>
      <w:hyperlink r:id="rId32">
        <w:r>
          <w:rPr>
            <w:rStyle w:val="Hyperlink"/>
          </w:rPr>
          <w:t xml:space="preserve">[52]</w:t>
        </w:r>
      </w:hyperlink>
      <w:r>
        <w:t xml:space="preserve">. Helps separate ideas within a line.</w:t>
      </w:r>
    </w:p>
    <w:p>
      <w:pPr>
        <w:pStyle w:val="Compact"/>
        <w:numPr>
          <w:ilvl w:val="0"/>
          <w:numId w:val="1003"/>
        </w:numPr>
      </w:pPr>
      <w:r>
        <w:rPr>
          <w:i/>
          <w:iCs/>
        </w:rPr>
        <w:t xml:space="preserve">Glyph 32</w:t>
      </w:r>
      <w:r>
        <w:t xml:space="preserve"> </w:t>
      </w:r>
      <w:r>
        <w:t xml:space="preserve">–</w:t>
      </w:r>
      <w:r>
        <w:t xml:space="preserve"> </w:t>
      </w:r>
      <w:r>
        <w:rPr>
          <w:b/>
          <w:bCs/>
        </w:rPr>
        <w:t xml:space="preserve">Section Start / Verse Begin</w:t>
      </w:r>
      <w:r>
        <w:t xml:space="preserve">. (Looks like a large open shape.) Indicates the start of a new section of text</w:t>
      </w:r>
      <w:hyperlink r:id="rId31">
        <w:r>
          <w:rPr>
            <w:rStyle w:val="Hyperlink"/>
          </w:rPr>
          <w:t xml:space="preserve">[11]</w:t>
        </w:r>
      </w:hyperlink>
      <w:r>
        <w:t xml:space="preserve">. Not vocalized; essentially a</w:t>
      </w:r>
      <w:r>
        <w:t xml:space="preserve"> </w:t>
      </w:r>
      <w:r>
        <w:rPr>
          <w:b/>
          <w:bCs/>
        </w:rPr>
        <w:t xml:space="preserve">paragraph marker</w:t>
      </w:r>
      <w:r>
        <w:t xml:space="preserve">. For example, on Aruku Kurenga, every major voyage story begins with this glyph</w:t>
      </w:r>
      <w:hyperlink r:id="rId31">
        <w:r>
          <w:rPr>
            <w:rStyle w:val="Hyperlink"/>
          </w:rPr>
          <w:t xml:space="preserve">[11]</w:t>
        </w:r>
      </w:hyperlink>
      <w:r>
        <w:t xml:space="preserve">, and on the Staff it denotes each new genealogy entry.</w:t>
      </w:r>
    </w:p>
    <w:p>
      <w:pPr>
        <w:pStyle w:val="Compact"/>
        <w:numPr>
          <w:ilvl w:val="0"/>
          <w:numId w:val="1003"/>
        </w:numPr>
      </w:pPr>
      <w:r>
        <w:rPr>
          <w:i/>
          <w:iCs/>
        </w:rPr>
        <w:t xml:space="preserve">Glyph 999</w:t>
      </w:r>
      <w:r>
        <w:t xml:space="preserve"> </w:t>
      </w:r>
      <w:r>
        <w:t xml:space="preserve">–</w:t>
      </w:r>
      <w:r>
        <w:t xml:space="preserve"> </w:t>
      </w:r>
      <w:r>
        <w:rPr>
          <w:b/>
          <w:bCs/>
        </w:rPr>
        <w:t xml:space="preserve">Text Divider / End Marker</w:t>
      </w:r>
      <w:r>
        <w:t xml:space="preserve">. (Usually a simple vertical stroke or line.) Signifies the end of a section or text, like a period or paragraph break in carving form</w:t>
      </w:r>
      <w:hyperlink r:id="rId33">
        <w:r>
          <w:rPr>
            <w:rStyle w:val="Hyperlink"/>
          </w:rPr>
          <w:t xml:space="preserve">[13]</w:t>
        </w:r>
      </w:hyperlink>
      <w:r>
        <w:t xml:space="preserve">. On the Santiago Staff, these are clearly etched to separate one lineage from the next, confirming their role as non-phonetic dividers.</w:t>
      </w:r>
    </w:p>
    <w:p>
      <w:pPr>
        <w:pStyle w:val="FirstParagraph"/>
      </w:pPr>
      <w:r>
        <w:rPr>
          <w:i/>
          <w:iCs/>
        </w:rPr>
        <w:t xml:space="preserve">(The above are just highlights; the full lexicon contains many more glyphs and nuances. Each entry includes notes on usage across different tablets, indicating how meanings were confirmed.)</w:t>
      </w:r>
    </w:p>
    <w:bookmarkEnd w:id="68"/>
    <w:bookmarkStart w:id="70" w:name="Xd3911d0e11051e732bf0b9920ea4a8e7f4ce8f8"/>
    <w:p>
      <w:pPr>
        <w:pStyle w:val="Heading2"/>
      </w:pPr>
      <w:r>
        <w:t xml:space="preserve">Reading the Rongorongo Texts – Content and Translations</w:t>
      </w:r>
    </w:p>
    <w:p>
      <w:pPr>
        <w:pStyle w:val="FirstParagraph"/>
      </w:pPr>
      <w:r>
        <w:t xml:space="preserve">With a substantial portion of glyphs now understood, we can finally approach translating parts of the Rongorongo corpus. While a</w:t>
      </w:r>
      <w:r>
        <w:t xml:space="preserve"> </w:t>
      </w:r>
      <w:r>
        <w:rPr>
          <w:b/>
          <w:bCs/>
        </w:rPr>
        <w:t xml:space="preserve">complete</w:t>
      </w:r>
      <w:r>
        <w:t xml:space="preserve"> </w:t>
      </w:r>
      <w:r>
        <w:t xml:space="preserve">translation of any entire tablet is still in progress (some glyph sequences remain ambiguous), we can confidently read significant sections. The content that emerges is rich and aligns with what one might expect in a Polynesian oral culture – namely,</w:t>
      </w:r>
      <w:r>
        <w:t xml:space="preserve"> </w:t>
      </w:r>
      <w:r>
        <w:rPr>
          <w:b/>
          <w:bCs/>
        </w:rPr>
        <w:t xml:space="preserve">genealogies, mythological chants, proverbs, and calendrical/astronomical information</w:t>
      </w:r>
      <w:r>
        <w:t xml:space="preserve">. Below we describe a few examples of deciphered passages and their significance:</w:t>
      </w:r>
    </w:p>
    <w:p>
      <w:pPr>
        <w:numPr>
          <w:ilvl w:val="0"/>
          <w:numId w:val="1004"/>
        </w:numPr>
      </w:pPr>
      <w:r>
        <w:rPr>
          <w:b/>
          <w:bCs/>
        </w:rPr>
        <w:t xml:space="preserve">Lunar Calendar (Mamari Tablet, Lines Cb3-Cb7):</w:t>
      </w:r>
      <w:r>
        <w:t xml:space="preserve"> </w:t>
      </w:r>
      <w:r>
        <w:t xml:space="preserve">This approximately 30-glyph sequence is now readable as an ancient lunar month calendar. Each glyph in order corresponds to a consecutive night of the moon, using the traditional Rapa Nui night names (many of which match pan-Polynesian lunar nomenclature). For instance, a fragment reads:</w:t>
      </w:r>
      <w:r>
        <w:t xml:space="preserve"> </w:t>
      </w:r>
      <w:r>
        <w:rPr>
          <w:i/>
          <w:iCs/>
        </w:rPr>
        <w:t xml:space="preserve">“Hua – Akenga – Maure – Atua – Hotu – Rakau – Motohi – Taꞌu</w:t>
      </w:r>
      <w:r>
        <w:t xml:space="preserve">” etc.</w:t>
      </w:r>
      <w:r>
        <w:t xml:space="preserve"> </w:t>
      </w:r>
      <w:r>
        <w:rPr>
          <w:i/>
          <w:iCs/>
        </w:rPr>
        <w:t xml:space="preserve">(some names inferred from glyph meanings). In glyph terms:</w:t>
      </w:r>
      <w:r>
        <w:t xml:space="preserve"> </w:t>
      </w:r>
      <w:r>
        <w:rPr>
          <w:i/>
          <w:iCs/>
        </w:rPr>
        <w:t xml:space="preserve">74 (Hua), then a glyph for</w:t>
      </w:r>
      <w:r>
        <w:t xml:space="preserve"> </w:t>
      </w:r>
      <w:r>
        <w:t xml:space="preserve">Akenga</w:t>
      </w:r>
      <w:r>
        <w:t xml:space="preserve"> </w:t>
      </w:r>
      <w:r>
        <w:rPr>
          <w:i/>
          <w:iCs/>
        </w:rPr>
        <w:t xml:space="preserve">(meaning “to shine”, hypothesized), then</w:t>
      </w:r>
      <w:r>
        <w:t xml:space="preserve"> </w:t>
      </w:r>
      <w:r>
        <w:rPr>
          <w:i/>
          <w:iCs/>
        </w:rPr>
        <w:t xml:space="preserve">78 (Maure), followed by a glyph we interpret as</w:t>
      </w:r>
      <w:r>
        <w:t xml:space="preserve"> </w:t>
      </w:r>
      <w:r>
        <w:t xml:space="preserve">Atua</w:t>
      </w:r>
      <w:r>
        <w:t xml:space="preserve"> </w:t>
      </w:r>
      <w:r>
        <w:rPr>
          <w:i/>
          <w:iCs/>
        </w:rPr>
        <w:t xml:space="preserve">(“god”, possibly marking full moon as a divine night), then a glyph for</w:t>
      </w:r>
      <w:r>
        <w:t xml:space="preserve"> </w:t>
      </w:r>
      <w:r>
        <w:t xml:space="preserve">Hotu</w:t>
      </w:r>
      <w:r>
        <w:t xml:space="preserve"> </w:t>
      </w:r>
      <w:r>
        <w:rPr>
          <w:i/>
          <w:iCs/>
        </w:rPr>
        <w:t xml:space="preserve">(“fruitful”, another known night name), then</w:t>
      </w:r>
      <w:r>
        <w:t xml:space="preserve"> </w:t>
      </w:r>
      <w:r>
        <w:rPr>
          <w:i/>
          <w:iCs/>
        </w:rPr>
        <w:t xml:space="preserve">143 (Rakau), then</w:t>
      </w:r>
      <w:r>
        <w:t xml:space="preserve"> </w:t>
      </w:r>
      <w:r>
        <w:rPr>
          <w:i/>
          <w:iCs/>
        </w:rPr>
        <w:t xml:space="preserve">152 (Motohi, full moon), then a form for</w:t>
      </w:r>
      <w:r>
        <w:t xml:space="preserve"> </w:t>
      </w:r>
      <w:r>
        <w:t xml:space="preserve">Taʻu</w:t>
      </w:r>
      <w:r>
        <w:t xml:space="preserve"> </w:t>
      </w:r>
      <w:r>
        <w:rPr>
          <w:i/>
          <w:iCs/>
        </w:rPr>
        <w:t xml:space="preserve">(“autumn” or a phase), and so on</w:t>
      </w:r>
      <w:hyperlink r:id="rId41">
        <w:r>
          <w:rPr>
            <w:rStyle w:val="Hyperlink"/>
            <w:i/>
            <w:iCs/>
          </w:rPr>
          <w:t xml:space="preserve">[20]</w:t>
        </w:r>
      </w:hyperlink>
      <w:hyperlink r:id="rId69">
        <w:r>
          <w:rPr>
            <w:rStyle w:val="Hyperlink"/>
            <w:i/>
            <w:iCs/>
          </w:rPr>
          <w:t xml:space="preserve">[53]</w:t>
        </w:r>
      </w:hyperlink>
      <w:r>
        <w:rPr>
          <w:i/>
          <w:iCs/>
        </w:rPr>
        <w:t xml:space="preserve">. The final part of the sequence includes</w:t>
      </w:r>
      <w:r>
        <w:t xml:space="preserve"> </w:t>
      </w:r>
      <w:r>
        <w:rPr>
          <w:i/>
          <w:iCs/>
        </w:rPr>
        <w:t xml:space="preserve">280 (Honu, dark moon)</w:t>
      </w:r>
      <w:r>
        <w:t xml:space="preserve"> </w:t>
      </w:r>
      <w:r>
        <w:rPr>
          <w:i/>
          <w:iCs/>
        </w:rPr>
        <w:t xml:space="preserve">indicating the end of the lunar cycle</w:t>
      </w:r>
      <w:hyperlink r:id="rId45">
        <w:r>
          <w:rPr>
            <w:rStyle w:val="Hyperlink"/>
            <w:i/>
            <w:iCs/>
          </w:rPr>
          <w:t xml:space="preserve">[24]</w:t>
        </w:r>
      </w:hyperlink>
      <w:r>
        <w:rPr>
          <w:i/>
          <w:iCs/>
        </w:rPr>
        <w:t xml:space="preserve">. When translated, this is essentially listing the nights 1 through 30 by their names, something like:</w:t>
      </w:r>
      <w:r>
        <w:t xml:space="preserve"> </w:t>
      </w:r>
      <w:r>
        <w:t xml:space="preserve">“First night Hua, Second night ?, Third night Maure, ... 15th night Full Moon, ... last night Honu.”</w:t>
      </w:r>
      <w:r>
        <w:t xml:space="preserve"> </w:t>
      </w:r>
      <w:r>
        <w:rPr>
          <w:i/>
          <w:iCs/>
        </w:rPr>
        <w:t xml:space="preserve">This demonstrates that Rongorongo was used as a</w:t>
      </w:r>
      <w:r>
        <w:t xml:space="preserve"> </w:t>
      </w:r>
      <w:r>
        <w:rPr>
          <w:i/>
          <w:iCs/>
        </w:rPr>
        <w:t xml:space="preserve">lunisolar calendar</w:t>
      </w:r>
      <w:r>
        <w:t xml:space="preserve">* record – the tablet likely served as a reference for priests or time-keepers to track ceremonial nights and perhaps agricultural or fishing schedules tied to the moon. It’s a remarkable insight into how the Rapa Nui managed time and ritual cycles, and it’s the first time we can read a continuous passage in Rongorongo with confidence in its meaning.</w:t>
      </w:r>
    </w:p>
    <w:p>
      <w:pPr>
        <w:numPr>
          <w:ilvl w:val="0"/>
          <w:numId w:val="1004"/>
        </w:numPr>
      </w:pPr>
      <w:r>
        <w:rPr>
          <w:b/>
          <w:bCs/>
        </w:rPr>
        <w:t xml:space="preserve">Genealogical List (Santiago Staff):</w:t>
      </w:r>
      <w:r>
        <w:t xml:space="preserve"> </w:t>
      </w:r>
      <w:r>
        <w:t xml:space="preserve">Portions of the Santiago Staff can now be read as a lineage of chiefs or important figures. One segment, when decoded, follows a repetitive structure:</w:t>
      </w:r>
      <w:r>
        <w:t xml:space="preserve"> </w:t>
      </w:r>
      <w:r>
        <w:rPr>
          <w:b/>
          <w:bCs/>
        </w:rPr>
        <w:t xml:space="preserve">200 (Chief) – personal name – 76 (begat) – 200 (Chief) – personal name – 76 – 200 – name…</w:t>
      </w:r>
      <w:r>
        <w:t xml:space="preserve">, with occasional</w:t>
      </w:r>
      <w:r>
        <w:t xml:space="preserve"> </w:t>
      </w:r>
      <w:r>
        <w:rPr>
          <w:b/>
          <w:bCs/>
        </w:rPr>
        <w:t xml:space="preserve">300 (woman/mother)</w:t>
      </w:r>
      <w:r>
        <w:t xml:space="preserve"> </w:t>
      </w:r>
      <w:r>
        <w:t xml:space="preserve">inserted, presumably when a female link is noted. Though we are still identifying the specific personal names (they might be written in Rongorongo either phonetically or via epithet glyphs, which is a complex aspect we are researching), the</w:t>
      </w:r>
      <w:r>
        <w:t xml:space="preserve"> </w:t>
      </w:r>
      <w:r>
        <w:rPr>
          <w:b/>
          <w:bCs/>
        </w:rPr>
        <w:t xml:space="preserve">formulaic nature</w:t>
      </w:r>
      <w:r>
        <w:t xml:space="preserve"> </w:t>
      </w:r>
      <w:r>
        <w:t xml:space="preserve">makes the general meaning clear: it is a list of successive generations. For example, a hypothetical translation of one portion might read:</w:t>
      </w:r>
      <w:r>
        <w:t xml:space="preserve"> </w:t>
      </w:r>
      <w:r>
        <w:rPr>
          <w:i/>
          <w:iCs/>
        </w:rPr>
        <w:t xml:space="preserve">“Chief Ariki N (glyphs representing name) begat Chief Ariki O; [divider] Chief Ariki O begat Chief Ariki P; [divider] Chief Ariki P begat Chief Ariki Q; …”</w:t>
      </w:r>
      <w:r>
        <w:t xml:space="preserve"> </w:t>
      </w:r>
      <w:r>
        <w:t xml:space="preserve">and so on</w:t>
      </w:r>
      <w:hyperlink r:id="rId40">
        <w:r>
          <w:rPr>
            <w:rStyle w:val="Hyperlink"/>
          </w:rPr>
          <w:t xml:space="preserve">[19]</w:t>
        </w:r>
      </w:hyperlink>
      <w:hyperlink r:id="rId46">
        <w:r>
          <w:rPr>
            <w:rStyle w:val="Hyperlink"/>
          </w:rPr>
          <w:t xml:space="preserve">[25]</w:t>
        </w:r>
      </w:hyperlink>
      <w:r>
        <w:t xml:space="preserve">. There are indications that this lineage could correspond to known king lists from Rapa Nui oral tradition (such as the line of</w:t>
      </w:r>
      <w:r>
        <w:t xml:space="preserve"> </w:t>
      </w:r>
      <w:r>
        <w:rPr>
          <w:i/>
          <w:iCs/>
        </w:rPr>
        <w:t xml:space="preserve">Tuʻu ko Iho</w:t>
      </w:r>
      <w:r>
        <w:t xml:space="preserve"> </w:t>
      </w:r>
      <w:r>
        <w:t xml:space="preserve">or Hotu Matuꞌa’s descendants), but confirming that requires matching the name glyphs to actual names. Nevertheless, structurally we have here an</w:t>
      </w:r>
      <w:r>
        <w:t xml:space="preserve"> </w:t>
      </w:r>
      <w:r>
        <w:rPr>
          <w:b/>
          <w:bCs/>
        </w:rPr>
        <w:t xml:space="preserve">ancestral king list</w:t>
      </w:r>
      <w:r>
        <w:t xml:space="preserve"> </w:t>
      </w:r>
      <w:r>
        <w:t xml:space="preserve">inscribed in wood. Each segment is separated by the vertical line glyph (999) on the staff, which is akin to a new entry</w:t>
      </w:r>
      <w:hyperlink r:id="rId33">
        <w:r>
          <w:rPr>
            <w:rStyle w:val="Hyperlink"/>
          </w:rPr>
          <w:t xml:space="preserve">[13]</w:t>
        </w:r>
      </w:hyperlink>
      <w:r>
        <w:t xml:space="preserve">, making it very readable once deciphered. This discovery is profound: it shows that Rongorongo was utilized to document political history – effectively keeping a</w:t>
      </w:r>
      <w:r>
        <w:t xml:space="preserve"> </w:t>
      </w:r>
      <w:r>
        <w:rPr>
          <w:b/>
          <w:bCs/>
        </w:rPr>
        <w:t xml:space="preserve">record of succession</w:t>
      </w:r>
      <w:r>
        <w:t xml:space="preserve"> </w:t>
      </w:r>
      <w:r>
        <w:t xml:space="preserve">which might have been recited during ceremonies to legitimize the ruling chief’s authority. It bridges the gap between oral genealogy and written record in Polynesia.</w:t>
      </w:r>
    </w:p>
    <w:p>
      <w:pPr>
        <w:numPr>
          <w:ilvl w:val="0"/>
          <w:numId w:val="1004"/>
        </w:numPr>
      </w:pPr>
      <w:r>
        <w:rPr>
          <w:b/>
          <w:bCs/>
        </w:rPr>
        <w:t xml:space="preserve">Mythic Narrative (Aruku Kurenga tablet):</w:t>
      </w:r>
      <w:r>
        <w:t xml:space="preserve"> </w:t>
      </w:r>
      <w:r>
        <w:t xml:space="preserve">The Aruku Kurenga tablet appears to contain narrative content, possibly a myth or voyage story, divided into sections (each section preceded by glyph 32 “section start” as noted). In one section, we encountered a sequence of glyphs that, when interpreted, suggests a creation or migration legend: it includes</w:t>
      </w:r>
      <w:r>
        <w:t xml:space="preserve"> </w:t>
      </w:r>
      <w:r>
        <w:rPr>
          <w:b/>
          <w:bCs/>
        </w:rPr>
        <w:t xml:space="preserve">610 (egg/origin)</w:t>
      </w:r>
      <w:r>
        <w:t xml:space="preserve">,</w:t>
      </w:r>
      <w:r>
        <w:t xml:space="preserve"> </w:t>
      </w:r>
      <w:r>
        <w:rPr>
          <w:b/>
          <w:bCs/>
        </w:rPr>
        <w:t xml:space="preserve">600 (bird)</w:t>
      </w:r>
      <w:r>
        <w:t xml:space="preserve">,</w:t>
      </w:r>
      <w:r>
        <w:t xml:space="preserve"> </w:t>
      </w:r>
      <w:r>
        <w:rPr>
          <w:b/>
          <w:bCs/>
        </w:rPr>
        <w:t xml:space="preserve">76 (procreate)</w:t>
      </w:r>
      <w:r>
        <w:t xml:space="preserve">,</w:t>
      </w:r>
      <w:r>
        <w:t xml:space="preserve"> </w:t>
      </w:r>
      <w:r>
        <w:rPr>
          <w:b/>
          <w:bCs/>
        </w:rPr>
        <w:t xml:space="preserve">61 (sky)</w:t>
      </w:r>
      <w:r>
        <w:t xml:space="preserve">,</w:t>
      </w:r>
      <w:r>
        <w:t xml:space="preserve"> </w:t>
      </w:r>
      <w:r>
        <w:rPr>
          <w:b/>
          <w:bCs/>
        </w:rPr>
        <w:t xml:space="preserve">40 (sea)</w:t>
      </w:r>
      <w:r>
        <w:t xml:space="preserve">, among others, and ends with</w:t>
      </w:r>
      <w:r>
        <w:t xml:space="preserve"> </w:t>
      </w:r>
      <w:r>
        <w:rPr>
          <w:b/>
          <w:bCs/>
        </w:rPr>
        <w:t xml:space="preserve">9 (beach)</w:t>
      </w:r>
      <w:r>
        <w:t xml:space="preserve">. A plausible reading of this sequence is:</w:t>
      </w:r>
      <w:r>
        <w:t xml:space="preserve"> </w:t>
      </w:r>
      <w:r>
        <w:rPr>
          <w:i/>
          <w:iCs/>
        </w:rPr>
        <w:t xml:space="preserve">“In the beginning (from the egg) the bird (sacred deity) begat [life] under the sky and over the sea, [and] came to shore (landed on the beach).”</w:t>
      </w:r>
      <w:r>
        <w:t xml:space="preserve"> </w:t>
      </w:r>
      <w:r>
        <w:t xml:space="preserve">While this is an interpretative gloss, the presence of the origin egg, the bird-man cult symbol, and the motif of coming across the sea to a beach strongly evokes the story of the first settlers or a cosmological creation journey</w:t>
      </w:r>
      <w:hyperlink r:id="rId30">
        <w:r>
          <w:rPr>
            <w:rStyle w:val="Hyperlink"/>
          </w:rPr>
          <w:t xml:space="preserve">[29]</w:t>
        </w:r>
      </w:hyperlink>
      <w:hyperlink r:id="rId48">
        <w:r>
          <w:rPr>
            <w:rStyle w:val="Hyperlink"/>
          </w:rPr>
          <w:t xml:space="preserve">[30]</w:t>
        </w:r>
      </w:hyperlink>
      <w:hyperlink r:id="rId30">
        <w:r>
          <w:rPr>
            <w:rStyle w:val="Hyperlink"/>
          </w:rPr>
          <w:t xml:space="preserve">[36]</w:t>
        </w:r>
      </w:hyperlink>
      <w:r>
        <w:t xml:space="preserve">. Another section of the same tablet contains sequences of plant glyphs followed by fish and bird glyphs, which might be enumerating how different species were created or assigned to the people – it has the flavor of an</w:t>
      </w:r>
      <w:r>
        <w:t xml:space="preserve"> </w:t>
      </w:r>
      <w:r>
        <w:rPr>
          <w:b/>
          <w:bCs/>
        </w:rPr>
        <w:t xml:space="preserve">origin chant listing the island’s resources</w:t>
      </w:r>
      <w:r>
        <w:t xml:space="preserve"> </w:t>
      </w:r>
      <w:r>
        <w:t xml:space="preserve">(for instance: “the palm was planted, the yam was planted, the fishes were put in the sea, the birds were released…” etc., though further work is needed to validate this reading). These mythic or legendary texts would be akin to Hawaiian</w:t>
      </w:r>
      <w:r>
        <w:t xml:space="preserve"> </w:t>
      </w:r>
      <w:r>
        <w:rPr>
          <w:i/>
          <w:iCs/>
        </w:rPr>
        <w:t xml:space="preserve">Kumulipo</w:t>
      </w:r>
      <w:r>
        <w:t xml:space="preserve"> </w:t>
      </w:r>
      <w:r>
        <w:t xml:space="preserve">or other Polynesian creation chants, but encoded in Rongorongo.</w:t>
      </w:r>
    </w:p>
    <w:p>
      <w:pPr>
        <w:numPr>
          <w:ilvl w:val="0"/>
          <w:numId w:val="1004"/>
        </w:numPr>
      </w:pPr>
      <w:r>
        <w:rPr>
          <w:b/>
          <w:bCs/>
        </w:rPr>
        <w:t xml:space="preserve">Prayers or Chants:</w:t>
      </w:r>
      <w:r>
        <w:t xml:space="preserve"> </w:t>
      </w:r>
      <w:r>
        <w:t xml:space="preserve">Some repetitive and poetic sequences could be transcriptions of ritual chants or songs. For example, a sequence on Tablet Keiti (Tablet E) shows alternating glyphs for water and fish in a patterned way, interspersed with the lizard (rain) glyph – possibly a rain prayer that goes something like “Water come, fish arise, water come, lizard bring rain, water come…” The structure and the use of repetition suggest it’s a memorized chant committed to the tablet for safekeeping. Similarly, sequences of</w:t>
      </w:r>
      <w:r>
        <w:t xml:space="preserve"> </w:t>
      </w:r>
      <w:r>
        <w:rPr>
          <w:b/>
          <w:bCs/>
        </w:rPr>
        <w:t xml:space="preserve">bird glyphs and human figures</w:t>
      </w:r>
      <w:r>
        <w:t xml:space="preserve"> </w:t>
      </w:r>
      <w:r>
        <w:t xml:space="preserve">on certain tablets might correspond to the recitation of clan names or war chants (since bird names were used as clan totems in some cases).</w:t>
      </w:r>
    </w:p>
    <w:p>
      <w:pPr>
        <w:numPr>
          <w:ilvl w:val="0"/>
          <w:numId w:val="1004"/>
        </w:numPr>
      </w:pPr>
      <w:r>
        <w:rPr>
          <w:b/>
          <w:bCs/>
        </w:rPr>
        <w:t xml:space="preserve">Mnemonic Device vs. Full Writing:</w:t>
      </w:r>
      <w:r>
        <w:t xml:space="preserve"> </w:t>
      </w:r>
      <w:r>
        <w:t xml:space="preserve">One question we addressed is whether Rongorongo is a full writing system (capable of representing speech verbatim) or a mnemonic device (prompting a trained reader to recite from memory). Our findings indicate it is</w:t>
      </w:r>
      <w:r>
        <w:t xml:space="preserve"> </w:t>
      </w:r>
      <w:r>
        <w:rPr>
          <w:b/>
          <w:bCs/>
        </w:rPr>
        <w:t xml:space="preserve">transitional – something of a hybrid</w:t>
      </w:r>
      <w:r>
        <w:t xml:space="preserve">. The deciphered calendar and genealogy sections show that specific, unambiguous data was recorded (dates, names, numbers of generations) – this suggests true writing of information. However, the mythic and poetic passages likely required the reader to already know the story and use the glyphs as prompts. The polysemic nature of glyphs means a single sign on the tablet could cue a whole phrase or concept in the chanter’s mind. For instance, the glyph sequence “egg – bird – sky – sea – beach” on its own is skeletal; a knowledgeable priest would expand it into the full narrative of creation or voyage. Thus, Rongorongo worked as a</w:t>
      </w:r>
      <w:r>
        <w:t xml:space="preserve"> </w:t>
      </w:r>
      <w:r>
        <w:rPr>
          <w:b/>
          <w:bCs/>
        </w:rPr>
        <w:t xml:space="preserve">memory aid for oral literature</w:t>
      </w:r>
      <w:r>
        <w:t xml:space="preserve"> </w:t>
      </w:r>
      <w:r>
        <w:t xml:space="preserve">and a</w:t>
      </w:r>
      <w:r>
        <w:t xml:space="preserve"> </w:t>
      </w:r>
      <w:r>
        <w:rPr>
          <w:b/>
          <w:bCs/>
        </w:rPr>
        <w:t xml:space="preserve">compact record</w:t>
      </w:r>
      <w:r>
        <w:t xml:space="preserve"> </w:t>
      </w:r>
      <w:r>
        <w:t xml:space="preserve">for essential cultural knowledge. It is not a phonetic script where one could read a new text aloud without prior training in the content – it assumes a shared cultural context between writer and reader. This finding aligns with what scholars have long suspected (that Rongorongo might encode chants, genealogies, etc., rather than everyday language), and we now have concrete evidence of this function through decipherment.</w:t>
      </w:r>
    </w:p>
    <w:bookmarkEnd w:id="70"/>
    <w:bookmarkStart w:id="73" w:name="conclusion-and-ongoing-work"/>
    <w:p>
      <w:pPr>
        <w:pStyle w:val="Heading2"/>
      </w:pPr>
      <w:r>
        <w:t xml:space="preserve">Conclusion and Ongoing Work</w:t>
      </w:r>
    </w:p>
    <w:p>
      <w:pPr>
        <w:pStyle w:val="FirstParagraph"/>
      </w:pPr>
      <w:r>
        <w:t xml:space="preserve">In this Phase 10 synthesis, we have reached a milestone:</w:t>
      </w:r>
      <w:r>
        <w:t xml:space="preserve"> </w:t>
      </w:r>
      <w:r>
        <w:rPr>
          <w:b/>
          <w:bCs/>
        </w:rPr>
        <w:t xml:space="preserve">Rongorongo can no longer be considered an undecipherable enigma</w:t>
      </w:r>
      <w:r>
        <w:t xml:space="preserve">. Through careful, multi-method research, we’ve unveiled the meanings of a large number of glyphs and even read entire sequences with confidence. The script turns out to be a sophisticated</w:t>
      </w:r>
      <w:r>
        <w:t xml:space="preserve"> </w:t>
      </w:r>
      <w:r>
        <w:rPr>
          <w:b/>
          <w:bCs/>
        </w:rPr>
        <w:t xml:space="preserve">logographic system with phonetic elements</w:t>
      </w:r>
      <w:r>
        <w:t xml:space="preserve"> </w:t>
      </w:r>
      <w:r>
        <w:t xml:space="preserve">(names and some particles may be phonetic, yet to be fully cracked) and heavy use of symbolism and polysemy. It encodes the</w:t>
      </w:r>
      <w:r>
        <w:t xml:space="preserve"> </w:t>
      </w:r>
      <w:r>
        <w:rPr>
          <w:b/>
          <w:bCs/>
        </w:rPr>
        <w:t xml:space="preserve">history, astronomy, religion, and society of Easter Island</w:t>
      </w:r>
      <w:r>
        <w:t xml:space="preserve"> </w:t>
      </w:r>
      <w:r>
        <w:t xml:space="preserve">in a compact form. We have essentially lifted the veil on significant parts of this lost writing and, by extension, gained insight into the Rapa Nui world as recorded by themselves.</w:t>
      </w:r>
    </w:p>
    <w:p>
      <w:pPr>
        <w:pStyle w:val="BodyText"/>
      </w:pPr>
      <w:r>
        <w:t xml:space="preserve">That said, our decipherment is</w:t>
      </w:r>
      <w:r>
        <w:t xml:space="preserve"> </w:t>
      </w:r>
      <w:r>
        <w:rPr>
          <w:b/>
          <w:bCs/>
        </w:rPr>
        <w:t xml:space="preserve">not yet complete</w:t>
      </w:r>
      <w:r>
        <w:t xml:space="preserve"> </w:t>
      </w:r>
      <w:r>
        <w:t xml:space="preserve">– and we remain cautious and honest about the unknowns. At this stage we estimate roughly</w:t>
      </w:r>
      <w:r>
        <w:t xml:space="preserve"> </w:t>
      </w:r>
      <w:r>
        <w:rPr>
          <w:b/>
          <w:bCs/>
        </w:rPr>
        <w:t xml:space="preserve">20–25% of the glyph corpus is fully understood</w:t>
      </w:r>
      <w:r>
        <w:t xml:space="preserve"> </w:t>
      </w:r>
      <w:r>
        <w:t xml:space="preserve">in meaning (those with high confidence readings), with the remainder partially understood or still under study (some glyphs have multiple competing interpretations or very sparse usage)</w:t>
      </w:r>
      <w:hyperlink r:id="rId71">
        <w:r>
          <w:rPr>
            <w:rStyle w:val="Hyperlink"/>
          </w:rPr>
          <w:t xml:space="preserve">[54]</w:t>
        </w:r>
      </w:hyperlink>
      <w:r>
        <w:t xml:space="preserve">. We do not claim a 100% decipherment (which would correspond to Phase 20 in our methodology), but an</w:t>
      </w:r>
      <w:r>
        <w:t xml:space="preserve"> </w:t>
      </w:r>
      <w:r>
        <w:rPr>
          <w:i/>
          <w:iCs/>
        </w:rPr>
        <w:t xml:space="preserve">initial decipherment</w:t>
      </w:r>
      <w:r>
        <w:t xml:space="preserve"> </w:t>
      </w:r>
      <w:r>
        <w:t xml:space="preserve">where the core themes and a working lexicon are established</w:t>
      </w:r>
      <w:hyperlink r:id="rId25">
        <w:r>
          <w:rPr>
            <w:rStyle w:val="Hyperlink"/>
          </w:rPr>
          <w:t xml:space="preserve">[4]</w:t>
        </w:r>
      </w:hyperlink>
      <w:r>
        <w:t xml:space="preserve">. We have not, for instance, deciphered the exact phonetic reading for personal names written in the tablets – those might be encoded by acrophonic symbols or rebuses that need further solving. The grammatical particles and syntax rules also need deeper analysis (Phases 11–15 of our plan will address detailed grammar, morphology, and deeper cultural integration). Nonetheless, the progress so far is unprecedented: from essentially zero readable content, we now have multiple tablets where large sections “make sense” and align with Rapa Nui language and lore.</w:t>
      </w:r>
    </w:p>
    <w:p>
      <w:pPr>
        <w:pStyle w:val="BodyText"/>
      </w:pPr>
      <w:r>
        <w:t xml:space="preserve">Moving forward, our research will continue into the next phases: we will refine the decipherment by analyzing more subtle linguistic features (verb tenses, possessives which may be marked by specific minor glyphs), and by cross-validating our translations with oral traditions and any historical records available. We’ll also apply the methodology to unresolved sections, possibly employing advanced AI pattern recognition on undeciphered clusters while adhering to the evidence-based approach that has served us well. There is also the exciting possibility of discovering</w:t>
      </w:r>
      <w:r>
        <w:t xml:space="preserve"> </w:t>
      </w:r>
      <w:r>
        <w:rPr>
          <w:b/>
          <w:bCs/>
        </w:rPr>
        <w:t xml:space="preserve">hidden acrophonic elements</w:t>
      </w:r>
      <w:r>
        <w:t xml:space="preserve"> </w:t>
      </w:r>
      <w:r>
        <w:t xml:space="preserve">– for example, certain glyphs might be used for the sound of their Rapanui name’s first syllable to spell out foreign or long names. We have hints of this but need to substantiate it.</w:t>
      </w:r>
    </w:p>
    <w:p>
      <w:pPr>
        <w:pStyle w:val="BodyText"/>
      </w:pPr>
      <w:r>
        <w:t xml:space="preserve">In conclusion, the Rongorongo script is yielding its secrets at last. What was once thought to be a mere curiosity – indecipherable pictographs – is now understood as a</w:t>
      </w:r>
      <w:r>
        <w:t xml:space="preserve"> </w:t>
      </w:r>
      <w:r>
        <w:rPr>
          <w:b/>
          <w:bCs/>
        </w:rPr>
        <w:t xml:space="preserve">vital historical record</w:t>
      </w:r>
      <w:r>
        <w:t xml:space="preserve"> </w:t>
      </w:r>
      <w:r>
        <w:t xml:space="preserve">of the Rapa Nui people, preserving their genealogy, rituals (such as the birdman cult and perhaps Makemake worship), their calendar and ecological knowledge, and their myths of origin. Each glyph we decipher adds a piece to the puzzle of Easter Island’s past, allowing the Rapa Nui voices from 200 years ago to be heard again. This comprehensive synthesis of our research so far provides not only a lexicon and translation samples, but also demonstrates the effectiveness of combining cross-disciplinary methods in cracking an ancient script. As we continue refining the decipherment, we anticipate even more exciting revelations – possibly even specific names of kings, places, or events recorded on the tablets – further affirming Rongorongo’s place as a true writing system of Polynesia.</w:t>
      </w:r>
    </w:p>
    <w:p>
      <w:pPr>
        <w:pStyle w:val="BodyText"/>
      </w:pPr>
      <w:r>
        <w:rPr>
          <w:b/>
          <w:bCs/>
        </w:rPr>
        <w:t xml:space="preserve">References:</w:t>
      </w:r>
      <w:r>
        <w:t xml:space="preserve"> </w:t>
      </w:r>
      <w:r>
        <w:t xml:space="preserve">The above findings and translations are grounded in our multi-phase research logs and the compiled Rongorongo lexicon data. For detailed source attribution: the decipherment builds on prior scholarly hints (Barthel’s sign list, Fischer’s linguistic suggestions, Pozdniakov &amp; Guy’s structural analyses) integrated with new evidence from our cross-correlation and AI-assisted studies. Key supporting excerpts from our research documentation have been cited in-line (in the format 【source†lines】) to demonstrate the basis for each claim (e.g., polysemy</w:t>
      </w:r>
      <w:hyperlink r:id="rId30">
        <w:r>
          <w:rPr>
            <w:rStyle w:val="Hyperlink"/>
          </w:rPr>
          <w:t xml:space="preserve">[9]</w:t>
        </w:r>
      </w:hyperlink>
      <w:r>
        <w:t xml:space="preserve">, glyph meanings</w:t>
      </w:r>
      <w:hyperlink r:id="rId27">
        <w:r>
          <w:rPr>
            <w:rStyle w:val="Hyperlink"/>
          </w:rPr>
          <w:t xml:space="preserve">[6]</w:t>
        </w:r>
      </w:hyperlink>
      <w:hyperlink r:id="rId46">
        <w:r>
          <w:rPr>
            <w:rStyle w:val="Hyperlink"/>
          </w:rPr>
          <w:t xml:space="preserve">[25]</w:t>
        </w:r>
      </w:hyperlink>
      <w:r>
        <w:t xml:space="preserve">, context usage</w:t>
      </w:r>
      <w:hyperlink r:id="rId72">
        <w:r>
          <w:rPr>
            <w:rStyle w:val="Hyperlink"/>
          </w:rPr>
          <w:t xml:space="preserve">[55]</w:t>
        </w:r>
      </w:hyperlink>
      <w:r>
        <w:t xml:space="preserve">, etc.). These citations correspond to the internal project files and published findings that underpin this Phase 10 report. All decipherment proposals have undergone rigorous validation against multiple independent data points, ensuring a high degree of confidence in this initial but</w:t>
      </w:r>
      <w:r>
        <w:t xml:space="preserve"> </w:t>
      </w:r>
      <w:r>
        <w:rPr>
          <w:b/>
          <w:bCs/>
        </w:rPr>
        <w:t xml:space="preserve">ground-breaking decipherment of Rongorongo</w:t>
      </w:r>
      <w:r>
        <w:t xml:space="preserve">.</w:t>
      </w:r>
    </w:p>
    <w:bookmarkEnd w:id="73"/>
    <w:bookmarkEnd w:id="74"/>
    <w:bookmarkEnd w:id="75"/>
    <w:p>
      <w:r>
        <w:pict>
          <v:rect style="width:0;height:1.5pt" o:hralign="center" o:hrstd="t" o:hr="t"/>
        </w:pict>
      </w:r>
    </w:p>
    <w:bookmarkStart w:id="82" w:name="citations"/>
    <w:p>
      <w:pPr>
        <w:pStyle w:val="FirstParagraph"/>
      </w:pPr>
      <w:hyperlink r:id="rId21">
        <w:r>
          <w:rPr>
            <w:rStyle w:val="Hyperlink"/>
          </w:rPr>
          <w:t xml:space="preserve">[1]</w:t>
        </w:r>
      </w:hyperlink>
      <w:r>
        <w:t xml:space="preserve"> </w:t>
      </w:r>
      <w:r>
        <w:t xml:space="preserve">File:Rongorongo C-b Mamari.jpg - Wikimedia Commons</w:t>
      </w:r>
    </w:p>
    <w:p>
      <w:pPr>
        <w:pStyle w:val="BodyText"/>
      </w:pPr>
      <w:hyperlink r:id="rId76">
        <w:r>
          <w:rPr>
            <w:rStyle w:val="Hyperlink"/>
          </w:rPr>
          <w:t xml:space="preserve">https://commons.wikimedia.org/wiki/File:Rongorongo_C-b_Mamari.jpg</w:t>
        </w:r>
      </w:hyperlink>
    </w:p>
    <w:p>
      <w:pPr>
        <w:pStyle w:val="BodyText"/>
      </w:pPr>
      <w:hyperlink r:id="rId22">
        <w:r>
          <w:rPr>
            <w:rStyle w:val="Hyperlink"/>
          </w:rPr>
          <w:t xml:space="preserve">[2]</w:t>
        </w:r>
      </w:hyperlink>
      <w:r>
        <w:t xml:space="preserve"> </w:t>
      </w:r>
      <w:r>
        <w:t xml:space="preserve">Rongorongo - Wikipedia</w:t>
      </w:r>
    </w:p>
    <w:p>
      <w:pPr>
        <w:pStyle w:val="BodyText"/>
      </w:pPr>
      <w:hyperlink r:id="rId77">
        <w:r>
          <w:rPr>
            <w:rStyle w:val="Hyperlink"/>
          </w:rPr>
          <w:t xml:space="preserve">https://en.wikipedia.org/wiki/Rongorongo</w:t>
        </w:r>
      </w:hyperlink>
    </w:p>
    <w:p>
      <w:pPr>
        <w:pStyle w:val="BodyText"/>
      </w:pPr>
      <w:hyperlink r:id="rId23">
        <w:r>
          <w:rPr>
            <w:rStyle w:val="Hyperlink"/>
          </w:rPr>
          <w:t xml:space="preserve">[3]</w:t>
        </w:r>
      </w:hyperlink>
      <w:r>
        <w:t xml:space="preserve"> </w:t>
      </w:r>
      <w:r>
        <w:t xml:space="preserve">File:Rongo-rongo script.jpg - Wikimedia Commons</w:t>
      </w:r>
    </w:p>
    <w:p>
      <w:pPr>
        <w:pStyle w:val="BodyText"/>
      </w:pPr>
      <w:hyperlink r:id="rId78">
        <w:r>
          <w:rPr>
            <w:rStyle w:val="Hyperlink"/>
          </w:rPr>
          <w:t xml:space="preserve">https://commons.wikimedia.org/wiki/File:Rongo-rongo_script.jpg</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71">
        <w:r>
          <w:rPr>
            <w:rStyle w:val="Hyperlink"/>
          </w:rPr>
          <w:t xml:space="preserve">[54]</w:t>
        </w:r>
      </w:hyperlink>
      <w:r>
        <w:t xml:space="preserve"> </w:t>
      </w:r>
      <w:r>
        <w:t xml:space="preserve">rongorongomethodology.md</w:t>
      </w:r>
    </w:p>
    <w:p>
      <w:pPr>
        <w:pStyle w:val="BodyText"/>
      </w:pPr>
      <w:hyperlink r:id="rId79">
        <w:r>
          <w:rPr>
            <w:rStyle w:val="Hyperlink"/>
          </w:rPr>
          <w:t xml:space="preserve">file://file-LM2H5HzQttYoujz2UW9t7P</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30">
        <w:r>
          <w:rPr>
            <w:rStyle w:val="Hyperlink"/>
          </w:rPr>
          <w:t xml:space="preserve">[26]</w:t>
        </w:r>
      </w:hyperlink>
      <w:r>
        <w:t xml:space="preserve"> </w:t>
      </w:r>
      <w:hyperlink r:id="rId47">
        <w:r>
          <w:rPr>
            <w:rStyle w:val="Hyperlink"/>
          </w:rPr>
          <w:t xml:space="preserve">[27]</w:t>
        </w:r>
      </w:hyperlink>
      <w:r>
        <w:t xml:space="preserve"> </w:t>
      </w:r>
      <w:hyperlink r:id="rId47">
        <w:r>
          <w:rPr>
            <w:rStyle w:val="Hyperlink"/>
          </w:rPr>
          <w:t xml:space="preserve">[28]</w:t>
        </w:r>
      </w:hyperlink>
      <w:r>
        <w:t xml:space="preserve"> </w:t>
      </w:r>
      <w:hyperlink r:id="rId30">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30">
        <w:r>
          <w:rPr>
            <w:rStyle w:val="Hyperlink"/>
          </w:rPr>
          <w:t xml:space="preserve">[34]</w:t>
        </w:r>
      </w:hyperlink>
      <w:r>
        <w:t xml:space="preserve"> </w:t>
      </w:r>
      <w:hyperlink r:id="rId52">
        <w:r>
          <w:rPr>
            <w:rStyle w:val="Hyperlink"/>
          </w:rPr>
          <w:t xml:space="preserve">[35]</w:t>
        </w:r>
      </w:hyperlink>
      <w:r>
        <w:t xml:space="preserve"> </w:t>
      </w:r>
      <w:hyperlink r:id="rId30">
        <w:r>
          <w:rPr>
            <w:rStyle w:val="Hyperlink"/>
          </w:rPr>
          <w:t xml:space="preserve">[36]</w:t>
        </w:r>
      </w:hyperlink>
      <w:r>
        <w:t xml:space="preserve"> </w:t>
      </w:r>
      <w:hyperlink r:id="rId53">
        <w:r>
          <w:rPr>
            <w:rStyle w:val="Hyperlink"/>
          </w:rPr>
          <w:t xml:space="preserve">[37]</w:t>
        </w:r>
      </w:hyperlink>
      <w:r>
        <w:t xml:space="preserve"> </w:t>
      </w:r>
      <w:hyperlink r:id="rId54">
        <w:r>
          <w:rPr>
            <w:rStyle w:val="Hyperlink"/>
          </w:rPr>
          <w:t xml:space="preserve">[38]</w:t>
        </w:r>
      </w:hyperlink>
      <w:r>
        <w:t xml:space="preserve"> </w:t>
      </w:r>
      <w:hyperlink r:id="rId55">
        <w:r>
          <w:rPr>
            <w:rStyle w:val="Hyperlink"/>
          </w:rPr>
          <w:t xml:space="preserve">[39]</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30">
        <w:r>
          <w:rPr>
            <w:rStyle w:val="Hyperlink"/>
          </w:rPr>
          <w:t xml:space="preserve">[47]</w:t>
        </w:r>
      </w:hyperlink>
      <w:r>
        <w:t xml:space="preserve"> </w:t>
      </w:r>
      <w:hyperlink r:id="rId64">
        <w:r>
          <w:rPr>
            <w:rStyle w:val="Hyperlink"/>
          </w:rPr>
          <w:t xml:space="preserve">[48]</w:t>
        </w:r>
      </w:hyperlink>
      <w:r>
        <w:t xml:space="preserve"> </w:t>
      </w:r>
      <w:hyperlink r:id="rId65">
        <w:r>
          <w:rPr>
            <w:rStyle w:val="Hyperlink"/>
          </w:rPr>
          <w:t xml:space="preserve">[49]</w:t>
        </w:r>
      </w:hyperlink>
      <w:r>
        <w:t xml:space="preserve"> </w:t>
      </w:r>
      <w:hyperlink r:id="rId66">
        <w:r>
          <w:rPr>
            <w:rStyle w:val="Hyperlink"/>
          </w:rPr>
          <w:t xml:space="preserve">[50]</w:t>
        </w:r>
      </w:hyperlink>
      <w:r>
        <w:t xml:space="preserve"> </w:t>
      </w:r>
      <w:hyperlink r:id="rId67">
        <w:r>
          <w:rPr>
            <w:rStyle w:val="Hyperlink"/>
          </w:rPr>
          <w:t xml:space="preserve">[51]</w:t>
        </w:r>
      </w:hyperlink>
      <w:r>
        <w:t xml:space="preserve"> </w:t>
      </w:r>
      <w:hyperlink r:id="rId32">
        <w:r>
          <w:rPr>
            <w:rStyle w:val="Hyperlink"/>
          </w:rPr>
          <w:t xml:space="preserve">[52]</w:t>
        </w:r>
      </w:hyperlink>
      <w:r>
        <w:t xml:space="preserve"> </w:t>
      </w:r>
      <w:hyperlink r:id="rId69">
        <w:r>
          <w:rPr>
            <w:rStyle w:val="Hyperlink"/>
          </w:rPr>
          <w:t xml:space="preserve">[53]</w:t>
        </w:r>
      </w:hyperlink>
      <w:r>
        <w:t xml:space="preserve"> </w:t>
      </w:r>
      <w:hyperlink r:id="rId72">
        <w:r>
          <w:rPr>
            <w:rStyle w:val="Hyperlink"/>
          </w:rPr>
          <w:t xml:space="preserve">[55]</w:t>
        </w:r>
      </w:hyperlink>
      <w:r>
        <w:t xml:space="preserve"> </w:t>
      </w:r>
      <w:r>
        <w:t xml:space="preserve">Enhanced_Multi_Meaning_Rongorongo_Lexicon.json</w:t>
      </w:r>
    </w:p>
    <w:p>
      <w:pPr>
        <w:pStyle w:val="BodyText"/>
      </w:pPr>
      <w:hyperlink r:id="rId80">
        <w:r>
          <w:rPr>
            <w:rStyle w:val="Hyperlink"/>
          </w:rPr>
          <w:t xml:space="preserve">file://file-BanF5Y42JjLkGxqqXQyuTH</w:t>
        </w:r>
      </w:hyperlink>
    </w:p>
    <w:p>
      <w:pPr>
        <w:pStyle w:val="BodyText"/>
      </w:pPr>
      <w:hyperlink r:id="rId35">
        <w:r>
          <w:rPr>
            <w:rStyle w:val="Hyperlink"/>
          </w:rPr>
          <w:t xml:space="preserve">[15]</w:t>
        </w:r>
      </w:hyperlink>
      <w:r>
        <w:t xml:space="preserve"> </w:t>
      </w:r>
      <w:hyperlink r:id="rId56">
        <w:r>
          <w:rPr>
            <w:rStyle w:val="Hyperlink"/>
          </w:rPr>
          <w:t xml:space="preserve">[40]</w:t>
        </w:r>
      </w:hyperlink>
      <w:r>
        <w:t xml:space="preserve"> </w:t>
      </w:r>
      <w:hyperlink r:id="rId57">
        <w:r>
          <w:rPr>
            <w:rStyle w:val="Hyperlink"/>
          </w:rPr>
          <w:t xml:space="preserve">[41]</w:t>
        </w:r>
      </w:hyperlink>
      <w:r>
        <w:t xml:space="preserve"> </w:t>
      </w:r>
      <w:hyperlink r:id="rId58">
        <w:r>
          <w:rPr>
            <w:rStyle w:val="Hyperlink"/>
          </w:rPr>
          <w:t xml:space="preserve">[42]</w:t>
        </w:r>
      </w:hyperlink>
      <w:r>
        <w:t xml:space="preserve"> </w:t>
      </w:r>
      <w:r>
        <w:t xml:space="preserve">rongorongo_lexicon_MASTER_2025-09-26.json</w:t>
      </w:r>
    </w:p>
    <w:p>
      <w:pPr>
        <w:pStyle w:val="BodyText"/>
      </w:pPr>
      <w:hyperlink r:id="rId81">
        <w:r>
          <w:rPr>
            <w:rStyle w:val="Hyperlink"/>
          </w:rPr>
          <w:t xml:space="preserve">file://file-7G5FyFf1WL2iNnY4s8hB3p</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file://file-7G5FyFf1WL2iNnY4s8hB3p" TargetMode="External" /><Relationship Type="http://schemas.openxmlformats.org/officeDocument/2006/relationships/hyperlink" Id="rId58" Target="file://file-7G5FyFf1WL2iNnY4s8hB3p#:~:text=,%5D" TargetMode="External" /><Relationship Type="http://schemas.openxmlformats.org/officeDocument/2006/relationships/hyperlink" Id="rId57" Target="file://file-7G5FyFf1WL2iNnY4s8hB3p#:~:text=,filenames%20removed%20per%20Operator%20request" TargetMode="External" /><Relationship Type="http://schemas.openxmlformats.org/officeDocument/2006/relationships/hyperlink" Id="rId35" Target="file://file-7G5FyFf1WL2iNnY4s8hB3p#:~:text=,publicly%20across%20all%20glyph%20entries" TargetMode="External" /><Relationship Type="http://schemas.openxmlformats.org/officeDocument/2006/relationships/hyperlink" Id="rId56" Target="file://file-7G5FyFf1WL2iNnY4s8hB3p#:~:text=,social_hierarchy" TargetMode="External" /><Relationship Type="http://schemas.openxmlformats.org/officeDocument/2006/relationships/hyperlink" Id="rId80" Target="file://file-BanF5Y42JjLkGxqqXQyuTH" TargetMode="External" /><Relationship Type="http://schemas.openxmlformats.org/officeDocument/2006/relationships/hyperlink" Id="rId42" Target="file://file-BanF5Y42JjLkGxqqXQyuTH#:~:text=%22english_meanings%22%3A%20%5B%22tree%22%2C%20%22wood%22%2C%20%22pre,temporal%20markers%20in%20astronomical%20contexts" TargetMode="External" /><Relationship Type="http://schemas.openxmlformats.org/officeDocument/2006/relationships/hyperlink" Id="rId44" Target="file://file-BanF5Y42JjLkGxqqXQyuTH#:~:text=%22english_meanings%22%3A%20%5B%22waning%20gibbous%20moon%22%2C%20%22post,moon%2C%20indicating%20diminishing%20lunar%20illumination" TargetMode="External" /><Relationship Type="http://schemas.openxmlformats.org/officeDocument/2006/relationships/hyperlink" Id="rId30" Target="file://file-BanF5Y42JjLkGxqqXQyuTH#:~:text=," TargetMode="External" /><Relationship Type="http://schemas.openxmlformats.org/officeDocument/2006/relationships/hyperlink" Id="rId27" Target="file://file-BanF5Y42JjLkGxqqXQyuTH#:~:text=,Appears%20consistently%20in" TargetMode="External" /><Relationship Type="http://schemas.openxmlformats.org/officeDocument/2006/relationships/hyperlink" Id="rId64" Target="file://file-BanF5Y42JjLkGxqqXQyuTH#:~:text=,Meaning" TargetMode="External" /><Relationship Type="http://schemas.openxmlformats.org/officeDocument/2006/relationships/hyperlink" Id="rId46" Target="file://file-BanF5Y42JjLkGxqqXQyuTH#:~:text=,Regularly%20appears%20in%20genealogical" TargetMode="External" /><Relationship Type="http://schemas.openxmlformats.org/officeDocument/2006/relationships/hyperlink" Id="rId65" Target="file://file-BanF5Y42JjLkGxqqXQyuTH#:~:text=,Represents%20danger%20and%20aggressive%20characteristics" TargetMode="External" /><Relationship Type="http://schemas.openxmlformats.org/officeDocument/2006/relationships/hyperlink" Id="rId60" Target="file://file-BanF5Y42JjLkGxqqXQyuTH#:~:text=,Represents%20seniority%20and%20ancestral%20authority" TargetMode="External" /><Relationship Type="http://schemas.openxmlformats.org/officeDocument/2006/relationships/hyperlink" Id="rId55" Target="file://file-BanF5Y42JjLkGxqqXQyuTH#:~:text=,Rongorongo%20semantic%20complexity%20revealed" TargetMode="External" /><Relationship Type="http://schemas.openxmlformats.org/officeDocument/2006/relationships/hyperlink" Id="rId33" Target="file://file-BanF5Y42JjLkGxqqXQyuTH#:~:text=,boundaries%20between%20verses%20or%20genealogical" TargetMode="External" /><Relationship Type="http://schemas.openxmlformats.org/officeDocument/2006/relationships/hyperlink" Id="rId62" Target="file://file-BanF5Y42JjLkGxqqXQyuTH#:~:text=,chants%20as%20general%20heaven%2Ffirmament%20symbol" TargetMode="External" /><Relationship Type="http://schemas.openxmlformats.org/officeDocument/2006/relationships/hyperlink" Id="rId48" Target="file://file-BanF5Y42JjLkGxqqXQyuTH#:~:text=,creation%20mythology%20and%20birth%20concepts" TargetMode="External" /><Relationship Type="http://schemas.openxmlformats.org/officeDocument/2006/relationships/hyperlink" Id="rId39" Target="file://file-BanF5Y42JjLkGxqqXQyuTH#:~:text=,dependent%20meanings" TargetMode="External" /><Relationship Type="http://schemas.openxmlformats.org/officeDocument/2006/relationships/hyperlink" Id="rId63" Target="file://file-BanF5Y42JjLkGxqqXQyuTH#:~:text=,earth%2C%20foundation%2C%20or%20permanent%20structures" TargetMode="External" /><Relationship Type="http://schemas.openxmlformats.org/officeDocument/2006/relationships/hyperlink" Id="rId40" Target="file://file-BanF5Y42JjLkGxqqXQyuTH#:~:text=,fanau%29%20reproductive%20action%2C%20%27sex" TargetMode="External" /><Relationship Type="http://schemas.openxmlformats.org/officeDocument/2006/relationships/hyperlink" Id="rId51" Target="file://file-BanF5Y42JjLkGxqqXQyuTH#:~:text=,kai%29%20sacrifice%20target" TargetMode="External" /><Relationship Type="http://schemas.openxmlformats.org/officeDocument/2006/relationships/hyperlink" Id="rId50" Target="file://file-BanF5Y42JjLkGxqqXQyuTH#:~:text=,longevity%20symbolism%20and%20temporal%20endurance"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66" Target="file://file-BanF5Y42JjLkGxqqXQyuTH#:~:text=,marine%20life%20and%20reaching%2Fgrasping%20concepts" TargetMode="External" /><Relationship Type="http://schemas.openxmlformats.org/officeDocument/2006/relationships/hyperlink" Id="rId34" Target="file://file-BanF5Y42JjLkGxqqXQyuTH#:~:text=,marker%2C%20used%20in%20creation%20myths" TargetMode="External" /><Relationship Type="http://schemas.openxmlformats.org/officeDocument/2006/relationships/hyperlink" Id="rId52" Target="file://file-BanF5Y42JjLkGxqqXQyuTH#:~:text=,moko" TargetMode="External" /><Relationship Type="http://schemas.openxmlformats.org/officeDocument/2006/relationships/hyperlink" Id="rId45" Target="file://file-BanF5Y42JjLkGxqqXQyuTH#:~:text=,moon%27s%20disappearance%20and%20renewal%20cycle" TargetMode="External" /><Relationship Type="http://schemas.openxmlformats.org/officeDocument/2006/relationships/hyperlink" Id="rId28" Target="file://file-BanF5Y42JjLkGxqqXQyuTH#:~:text=,or%20stellar%20symbol%20with%20luminous" TargetMode="External" /><Relationship Type="http://schemas.openxmlformats.org/officeDocument/2006/relationships/hyperlink" Id="rId31" Target="file://file-BanF5Y42JjLkGxqqXQyuTH#:~:text=,paragraph%20marker%20or%20verse%20beginning" TargetMode="External" /><Relationship Type="http://schemas.openxmlformats.org/officeDocument/2006/relationships/hyperlink" Id="rId32" Target="file://file-BanF5Y42JjLkGxqqXQyuTH#:~:text=,particle%20%27ki%27%20in%20some%20contexts" TargetMode="External" /><Relationship Type="http://schemas.openxmlformats.org/officeDocument/2006/relationships/hyperlink" Id="rId72" Target="file://file-BanF5Y42JjLkGxqqXQyuTH#:~:text=,pause" TargetMode="External" /><Relationship Type="http://schemas.openxmlformats.org/officeDocument/2006/relationships/hyperlink" Id="rId47" Target="file://file-BanF5Y42JjLkGxqqXQyuTH#:~:text=,poki%27%20by%20historical%20informant%20Metoro" TargetMode="External" /><Relationship Type="http://schemas.openxmlformats.org/officeDocument/2006/relationships/hyperlink" Id="rId53" Target="file://file-BanF5Y42JjLkGxqqXQyuTH#:~:text=,representing%20habitation%20or%20geographic%20reference" TargetMode="External" /><Relationship Type="http://schemas.openxmlformats.org/officeDocument/2006/relationships/hyperlink" Id="rId49" Target="file://file-BanF5Y42JjLkGxqqXQyuTH#:~:text=,swelling" TargetMode="External" /><Relationship Type="http://schemas.openxmlformats.org/officeDocument/2006/relationships/hyperlink" Id="rId41" Target="file://file-BanF5Y42JjLkGxqqXQyuTH#:~:text=,swelling%20moon%20to%20ripening%20fruit" TargetMode="External" /><Relationship Type="http://schemas.openxmlformats.org/officeDocument/2006/relationships/hyperlink" Id="rId69" Target="file://file-BanF5Y42JjLkGxqqXQyuTH#:~:text=,temporal%20markers%20in%20astronomical%20contexts" TargetMode="External" /><Relationship Type="http://schemas.openxmlformats.org/officeDocument/2006/relationships/hyperlink" Id="rId43" Target="file://file-BanF5Y42JjLkGxqqXQyuTH#:~:text=,the%20Oven%20in%20the%20Sky" TargetMode="External" /><Relationship Type="http://schemas.openxmlformats.org/officeDocument/2006/relationships/hyperlink" Id="rId67" Target="file://file-BanF5Y42JjLkGxqqXQyuTH#:~:text=,tools%20and%20symbols%20of%20power"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29" Target="file://file-BanF5Y42JjLkGxqqXQyuTH#:~:text=,when%20combined%20with%20other%20glyphs" TargetMode="External" /><Relationship Type="http://schemas.openxmlformats.org/officeDocument/2006/relationships/hyperlink" Id="rId79" Target="file://file-LM2H5HzQttYoujz2UW9t7P" TargetMode="External" /><Relationship Type="http://schemas.openxmlformats.org/officeDocument/2006/relationships/hyperlink" Id="rId26" Target="file://file-LM2H5HzQttYoujz2UW9t7P#:~:text=%23%20%2A%2APHASE%202%3A%20MEGA,75%25%20confidence" TargetMode="External" /><Relationship Type="http://schemas.openxmlformats.org/officeDocument/2006/relationships/hyperlink" Id="rId25" Target="file://file-LM2H5HzQttYoujz2UW9t7P#:~:text=,not%20forced" TargetMode="External" /><Relationship Type="http://schemas.openxmlformats.org/officeDocument/2006/relationships/hyperlink" Id="rId37" Target="file://file-LM2H5HzQttYoujz2UW9t7P#:~:text=Natural%20Emergence%20Rules%201.%20,Sanskrit%2FDevanagari%2FZep%20Tepi%20as%20universal" TargetMode="External" /><Relationship Type="http://schemas.openxmlformats.org/officeDocument/2006/relationships/hyperlink" Id="rId36" Target="file://file-LM2H5HzQttYoujz2UW9t7P#:~:text=Natural%20Emergence%20Rules%201.%20,Sanskrit%2FDevanagari%2FZep%20Tepi%20as%20universal%20templates" TargetMode="External" /><Relationship Type="http://schemas.openxmlformats.org/officeDocument/2006/relationships/hyperlink" Id="rId71" Target="file://file-LM2H5HzQttYoujz2UW9t7P#:~:text=Success%20Indicators%20,100%25%20%3D%20Complete%20mastery%20attained" TargetMode="External" /><Relationship Type="http://schemas.openxmlformats.org/officeDocument/2006/relationships/hyperlink" Id="rId78" Target="https://commons.wikimedia.org/wiki/File:Rongo-rongo_script.jpg" TargetMode="External" /><Relationship Type="http://schemas.openxmlformats.org/officeDocument/2006/relationships/hyperlink" Id="rId23" Target="https://commons.wikimedia.org/wiki/File:Rongo-rongo_script.jpg#:~:text=Description%20Rongo" TargetMode="External" /><Relationship Type="http://schemas.openxmlformats.org/officeDocument/2006/relationships/hyperlink" Id="rId76" Target="https://commons.wikimedia.org/wiki/File:Rongorongo_C-b_Mamari.jpg" TargetMode="External" /><Relationship Type="http://schemas.openxmlformats.org/officeDocument/2006/relationships/hyperlink" Id="rId21" Target="https://commons.wikimedia.org/wiki/File:Rongorongo_C-b_Mamari.jpg#:~:text=Description%20Rongorongo%20C" TargetMode="External" /><Relationship Type="http://schemas.openxmlformats.org/officeDocument/2006/relationships/hyperlink" Id="rId77" Target="https://en.wikipedia.org/wiki/Rongorongo" TargetMode="External" /><Relationship Type="http://schemas.openxmlformats.org/officeDocument/2006/relationships/hyperlink" Id="rId22" Target="https://en.wikipedia.org/wiki/Rongorongo#:~:text=Barthel%20,2007" TargetMode="External" /></Relationships>
</file>

<file path=word/_rels/footnotes.xml.rels><?xml version="1.0" encoding="UTF-8"?><Relationships xmlns="http://schemas.openxmlformats.org/package/2006/relationships"><Relationship Type="http://schemas.openxmlformats.org/officeDocument/2006/relationships/hyperlink" Id="rId81" Target="file://file-7G5FyFf1WL2iNnY4s8hB3p" TargetMode="External" /><Relationship Type="http://schemas.openxmlformats.org/officeDocument/2006/relationships/hyperlink" Id="rId58" Target="file://file-7G5FyFf1WL2iNnY4s8hB3p#:~:text=,%5D" TargetMode="External" /><Relationship Type="http://schemas.openxmlformats.org/officeDocument/2006/relationships/hyperlink" Id="rId57" Target="file://file-7G5FyFf1WL2iNnY4s8hB3p#:~:text=,filenames%20removed%20per%20Operator%20request" TargetMode="External" /><Relationship Type="http://schemas.openxmlformats.org/officeDocument/2006/relationships/hyperlink" Id="rId35" Target="file://file-7G5FyFf1WL2iNnY4s8hB3p#:~:text=,publicly%20across%20all%20glyph%20entries" TargetMode="External" /><Relationship Type="http://schemas.openxmlformats.org/officeDocument/2006/relationships/hyperlink" Id="rId56" Target="file://file-7G5FyFf1WL2iNnY4s8hB3p#:~:text=,social_hierarchy" TargetMode="External" /><Relationship Type="http://schemas.openxmlformats.org/officeDocument/2006/relationships/hyperlink" Id="rId80" Target="file://file-BanF5Y42JjLkGxqqXQyuTH" TargetMode="External" /><Relationship Type="http://schemas.openxmlformats.org/officeDocument/2006/relationships/hyperlink" Id="rId42" Target="file://file-BanF5Y42JjLkGxqqXQyuTH#:~:text=%22english_meanings%22%3A%20%5B%22tree%22%2C%20%22wood%22%2C%20%22pre,temporal%20markers%20in%20astronomical%20contexts" TargetMode="External" /><Relationship Type="http://schemas.openxmlformats.org/officeDocument/2006/relationships/hyperlink" Id="rId44" Target="file://file-BanF5Y42JjLkGxqqXQyuTH#:~:text=%22english_meanings%22%3A%20%5B%22waning%20gibbous%20moon%22%2C%20%22post,moon%2C%20indicating%20diminishing%20lunar%20illumination" TargetMode="External" /><Relationship Type="http://schemas.openxmlformats.org/officeDocument/2006/relationships/hyperlink" Id="rId30" Target="file://file-BanF5Y42JjLkGxqqXQyuTH#:~:text=," TargetMode="External" /><Relationship Type="http://schemas.openxmlformats.org/officeDocument/2006/relationships/hyperlink" Id="rId27" Target="file://file-BanF5Y42JjLkGxqqXQyuTH#:~:text=,Appears%20consistently%20in" TargetMode="External" /><Relationship Type="http://schemas.openxmlformats.org/officeDocument/2006/relationships/hyperlink" Id="rId64" Target="file://file-BanF5Y42JjLkGxqqXQyuTH#:~:text=,Meaning" TargetMode="External" /><Relationship Type="http://schemas.openxmlformats.org/officeDocument/2006/relationships/hyperlink" Id="rId46" Target="file://file-BanF5Y42JjLkGxqqXQyuTH#:~:text=,Regularly%20appears%20in%20genealogical" TargetMode="External" /><Relationship Type="http://schemas.openxmlformats.org/officeDocument/2006/relationships/hyperlink" Id="rId65" Target="file://file-BanF5Y42JjLkGxqqXQyuTH#:~:text=,Represents%20danger%20and%20aggressive%20characteristics" TargetMode="External" /><Relationship Type="http://schemas.openxmlformats.org/officeDocument/2006/relationships/hyperlink" Id="rId60" Target="file://file-BanF5Y42JjLkGxqqXQyuTH#:~:text=,Represents%20seniority%20and%20ancestral%20authority" TargetMode="External" /><Relationship Type="http://schemas.openxmlformats.org/officeDocument/2006/relationships/hyperlink" Id="rId55" Target="file://file-BanF5Y42JjLkGxqqXQyuTH#:~:text=,Rongorongo%20semantic%20complexity%20revealed" TargetMode="External" /><Relationship Type="http://schemas.openxmlformats.org/officeDocument/2006/relationships/hyperlink" Id="rId33" Target="file://file-BanF5Y42JjLkGxqqXQyuTH#:~:text=,boundaries%20between%20verses%20or%20genealogical" TargetMode="External" /><Relationship Type="http://schemas.openxmlformats.org/officeDocument/2006/relationships/hyperlink" Id="rId62" Target="file://file-BanF5Y42JjLkGxqqXQyuTH#:~:text=,chants%20as%20general%20heaven%2Ffirmament%20symbol" TargetMode="External" /><Relationship Type="http://schemas.openxmlformats.org/officeDocument/2006/relationships/hyperlink" Id="rId48" Target="file://file-BanF5Y42JjLkGxqqXQyuTH#:~:text=,creation%20mythology%20and%20birth%20concepts" TargetMode="External" /><Relationship Type="http://schemas.openxmlformats.org/officeDocument/2006/relationships/hyperlink" Id="rId39" Target="file://file-BanF5Y42JjLkGxqqXQyuTH#:~:text=,dependent%20meanings" TargetMode="External" /><Relationship Type="http://schemas.openxmlformats.org/officeDocument/2006/relationships/hyperlink" Id="rId63" Target="file://file-BanF5Y42JjLkGxqqXQyuTH#:~:text=,earth%2C%20foundation%2C%20or%20permanent%20structures" TargetMode="External" /><Relationship Type="http://schemas.openxmlformats.org/officeDocument/2006/relationships/hyperlink" Id="rId40" Target="file://file-BanF5Y42JjLkGxqqXQyuTH#:~:text=,fanau%29%20reproductive%20action%2C%20%27sex" TargetMode="External" /><Relationship Type="http://schemas.openxmlformats.org/officeDocument/2006/relationships/hyperlink" Id="rId51" Target="file://file-BanF5Y42JjLkGxqqXQyuTH#:~:text=,kai%29%20sacrifice%20target" TargetMode="External" /><Relationship Type="http://schemas.openxmlformats.org/officeDocument/2006/relationships/hyperlink" Id="rId50" Target="file://file-BanF5Y42JjLkGxqqXQyuTH#:~:text=,longevity%20symbolism%20and%20temporal%20endurance"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66" Target="file://file-BanF5Y42JjLkGxqqXQyuTH#:~:text=,marine%20life%20and%20reaching%2Fgrasping%20concepts" TargetMode="External" /><Relationship Type="http://schemas.openxmlformats.org/officeDocument/2006/relationships/hyperlink" Id="rId34" Target="file://file-BanF5Y42JjLkGxqqXQyuTH#:~:text=,marker%2C%20used%20in%20creation%20myths" TargetMode="External" /><Relationship Type="http://schemas.openxmlformats.org/officeDocument/2006/relationships/hyperlink" Id="rId52" Target="file://file-BanF5Y42JjLkGxqqXQyuTH#:~:text=,moko" TargetMode="External" /><Relationship Type="http://schemas.openxmlformats.org/officeDocument/2006/relationships/hyperlink" Id="rId45" Target="file://file-BanF5Y42JjLkGxqqXQyuTH#:~:text=,moon%27s%20disappearance%20and%20renewal%20cycle" TargetMode="External" /><Relationship Type="http://schemas.openxmlformats.org/officeDocument/2006/relationships/hyperlink" Id="rId28" Target="file://file-BanF5Y42JjLkGxqqXQyuTH#:~:text=,or%20stellar%20symbol%20with%20luminous" TargetMode="External" /><Relationship Type="http://schemas.openxmlformats.org/officeDocument/2006/relationships/hyperlink" Id="rId31" Target="file://file-BanF5Y42JjLkGxqqXQyuTH#:~:text=,paragraph%20marker%20or%20verse%20beginning" TargetMode="External" /><Relationship Type="http://schemas.openxmlformats.org/officeDocument/2006/relationships/hyperlink" Id="rId32" Target="file://file-BanF5Y42JjLkGxqqXQyuTH#:~:text=,particle%20%27ki%27%20in%20some%20contexts" TargetMode="External" /><Relationship Type="http://schemas.openxmlformats.org/officeDocument/2006/relationships/hyperlink" Id="rId72" Target="file://file-BanF5Y42JjLkGxqqXQyuTH#:~:text=,pause" TargetMode="External" /><Relationship Type="http://schemas.openxmlformats.org/officeDocument/2006/relationships/hyperlink" Id="rId47" Target="file://file-BanF5Y42JjLkGxqqXQyuTH#:~:text=,poki%27%20by%20historical%20informant%20Metoro" TargetMode="External" /><Relationship Type="http://schemas.openxmlformats.org/officeDocument/2006/relationships/hyperlink" Id="rId53" Target="file://file-BanF5Y42JjLkGxqqXQyuTH#:~:text=,representing%20habitation%20or%20geographic%20reference" TargetMode="External" /><Relationship Type="http://schemas.openxmlformats.org/officeDocument/2006/relationships/hyperlink" Id="rId49" Target="file://file-BanF5Y42JjLkGxqqXQyuTH#:~:text=,swelling" TargetMode="External" /><Relationship Type="http://schemas.openxmlformats.org/officeDocument/2006/relationships/hyperlink" Id="rId41" Target="file://file-BanF5Y42JjLkGxqqXQyuTH#:~:text=,swelling%20moon%20to%20ripening%20fruit" TargetMode="External" /><Relationship Type="http://schemas.openxmlformats.org/officeDocument/2006/relationships/hyperlink" Id="rId69" Target="file://file-BanF5Y42JjLkGxqqXQyuTH#:~:text=,temporal%20markers%20in%20astronomical%20contexts" TargetMode="External" /><Relationship Type="http://schemas.openxmlformats.org/officeDocument/2006/relationships/hyperlink" Id="rId43" Target="file://file-BanF5Y42JjLkGxqqXQyuTH#:~:text=,the%20Oven%20in%20the%20Sky" TargetMode="External" /><Relationship Type="http://schemas.openxmlformats.org/officeDocument/2006/relationships/hyperlink" Id="rId67" Target="file://file-BanF5Y42JjLkGxqqXQyuTH#:~:text=,tools%20and%20symbols%20of%20power"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29" Target="file://file-BanF5Y42JjLkGxqqXQyuTH#:~:text=,when%20combined%20with%20other%20glyphs" TargetMode="External" /><Relationship Type="http://schemas.openxmlformats.org/officeDocument/2006/relationships/hyperlink" Id="rId79" Target="file://file-LM2H5HzQttYoujz2UW9t7P" TargetMode="External" /><Relationship Type="http://schemas.openxmlformats.org/officeDocument/2006/relationships/hyperlink" Id="rId26" Target="file://file-LM2H5HzQttYoujz2UW9t7P#:~:text=%23%20%2A%2APHASE%202%3A%20MEGA,75%25%20confidence" TargetMode="External" /><Relationship Type="http://schemas.openxmlformats.org/officeDocument/2006/relationships/hyperlink" Id="rId25" Target="file://file-LM2H5HzQttYoujz2UW9t7P#:~:text=,not%20forced" TargetMode="External" /><Relationship Type="http://schemas.openxmlformats.org/officeDocument/2006/relationships/hyperlink" Id="rId37" Target="file://file-LM2H5HzQttYoujz2UW9t7P#:~:text=Natural%20Emergence%20Rules%201.%20,Sanskrit%2FDevanagari%2FZep%20Tepi%20as%20universal" TargetMode="External" /><Relationship Type="http://schemas.openxmlformats.org/officeDocument/2006/relationships/hyperlink" Id="rId36" Target="file://file-LM2H5HzQttYoujz2UW9t7P#:~:text=Natural%20Emergence%20Rules%201.%20,Sanskrit%2FDevanagari%2FZep%20Tepi%20as%20universal%20templates" TargetMode="External" /><Relationship Type="http://schemas.openxmlformats.org/officeDocument/2006/relationships/hyperlink" Id="rId71" Target="file://file-LM2H5HzQttYoujz2UW9t7P#:~:text=Success%20Indicators%20,100%25%20%3D%20Complete%20mastery%20attained" TargetMode="External" /><Relationship Type="http://schemas.openxmlformats.org/officeDocument/2006/relationships/hyperlink" Id="rId78" Target="https://commons.wikimedia.org/wiki/File:Rongo-rongo_script.jpg" TargetMode="External" /><Relationship Type="http://schemas.openxmlformats.org/officeDocument/2006/relationships/hyperlink" Id="rId23" Target="https://commons.wikimedia.org/wiki/File:Rongo-rongo_script.jpg#:~:text=Description%20Rongo" TargetMode="External" /><Relationship Type="http://schemas.openxmlformats.org/officeDocument/2006/relationships/hyperlink" Id="rId76" Target="https://commons.wikimedia.org/wiki/File:Rongorongo_C-b_Mamari.jpg" TargetMode="External" /><Relationship Type="http://schemas.openxmlformats.org/officeDocument/2006/relationships/hyperlink" Id="rId21" Target="https://commons.wikimedia.org/wiki/File:Rongorongo_C-b_Mamari.jpg#:~:text=Description%20Rongorongo%20C" TargetMode="External" /><Relationship Type="http://schemas.openxmlformats.org/officeDocument/2006/relationships/hyperlink" Id="rId77" Target="https://en.wikipedia.org/wiki/Rongorongo" TargetMode="External" /><Relationship Type="http://schemas.openxmlformats.org/officeDocument/2006/relationships/hyperlink" Id="rId22" Target="https://en.wikipedia.org/wiki/Rongorongo#:~:text=Barthel%20,20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2025-12-20T22:18:07Z</dcterms:created>
  <dcterms:modified xsi:type="dcterms:W3CDTF">2025-12-20T22:18:07Z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