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6d125d9e089eb2e1cd2f722715ba153a3dfe0a3"/>
    <w:p>
      <w:pPr>
        <w:pStyle w:val="Heading1"/>
      </w:pPr>
      <w:r>
        <w:t xml:space="preserve">Updated Rongorongo Lexicon Entries and Analysis</w:t>
      </w:r>
    </w:p>
    <w:bookmarkStart w:id="34" w:name="newly-deciphered-glyph-entries"/>
    <w:p>
      <w:pPr>
        <w:pStyle w:val="Heading2"/>
      </w:pPr>
      <w:r>
        <w:t xml:space="preserve">Newly Deciphered Glyph Entries</w:t>
      </w:r>
    </w:p>
    <w:p>
      <w:pPr>
        <w:pStyle w:val="FirstParagraph"/>
      </w:pPr>
      <w:r>
        <w:t xml:space="preserve">Recent research from the</w:t>
      </w:r>
      <w:r>
        <w:t xml:space="preserve"> </w:t>
      </w:r>
      <w:r>
        <w:rPr>
          <w:b/>
          <w:bCs/>
        </w:rPr>
        <w:t xml:space="preserve">Lackadaisical Security Rongorongo project</w:t>
      </w:r>
      <w:r>
        <w:t xml:space="preserve"> </w:t>
      </w:r>
      <w:r>
        <w:t xml:space="preserve">has filled in many previously missing entries in the lexicon. Key glyphs that were once marked "awaiting decipherment" now have proposed transliterations and meanings based on multi-method analysis and cross-tablet evidence:</w:t>
      </w:r>
    </w:p>
    <w:p>
      <w:pPr>
        <w:numPr>
          <w:ilvl w:val="0"/>
          <w:numId w:val="1001"/>
        </w:numPr>
      </w:pPr>
      <w:r>
        <w:rPr>
          <w:b/>
          <w:bCs/>
        </w:rPr>
        <w:t xml:space="preserve">Glyph 63 – “toki” (Adze; Lunar Night Marker):</w:t>
      </w:r>
      <w:r>
        <w:t xml:space="preserve"> </w:t>
      </w:r>
      <w:r>
        <w:t xml:space="preserve">Identified as the</w:t>
      </w:r>
      <w:r>
        <w:t xml:space="preserve"> </w:t>
      </w:r>
      <w:r>
        <w:rPr>
          <w:b/>
          <w:bCs/>
        </w:rPr>
        <w:t xml:space="preserve">adze (toki)</w:t>
      </w:r>
      <w:r>
        <w:t xml:space="preserve"> </w:t>
      </w:r>
      <w:r>
        <w:t xml:space="preserve">symbol, used as a</w:t>
      </w:r>
      <w:r>
        <w:t xml:space="preserve"> </w:t>
      </w:r>
      <w:r>
        <w:rPr>
          <w:i/>
          <w:iCs/>
        </w:rPr>
        <w:t xml:space="preserve">lunar calendar night counter</w:t>
      </w:r>
      <w:r>
        <w:t xml:space="preserve">. On the Keiti Tablet (Text E), this glyph repeats 31 times in sequence, marking each night of the lunar month</w:t>
      </w:r>
      <w:hyperlink r:id="rId21">
        <w:r>
          <w:rPr>
            <w:rStyle w:val="Hyperlink"/>
          </w:rPr>
          <w:t xml:space="preserve">[1]</w:t>
        </w:r>
      </w:hyperlink>
      <w:r>
        <w:t xml:space="preserve">. It likely serves as a</w:t>
      </w:r>
      <w:r>
        <w:t xml:space="preserve"> </w:t>
      </w:r>
      <w:r>
        <w:rPr>
          <w:b/>
          <w:bCs/>
        </w:rPr>
        <w:t xml:space="preserve">temporal delimiter</w:t>
      </w:r>
      <w:r>
        <w:t xml:space="preserve"> </w:t>
      </w:r>
      <w:r>
        <w:t xml:space="preserve">in calendrical texts. In Rapa Nui,</w:t>
      </w:r>
      <w:r>
        <w:t xml:space="preserve"> </w:t>
      </w:r>
      <w:r>
        <w:rPr>
          <w:i/>
          <w:iCs/>
        </w:rPr>
        <w:t xml:space="preserve">toki</w:t>
      </w:r>
      <w:r>
        <w:t xml:space="preserve"> </w:t>
      </w:r>
      <w:r>
        <w:t xml:space="preserve">means</w:t>
      </w:r>
      <w:r>
        <w:t xml:space="preserve"> </w:t>
      </w:r>
      <w:r>
        <w:rPr>
          <w:b/>
          <w:bCs/>
        </w:rPr>
        <w:t xml:space="preserve">adze</w:t>
      </w:r>
      <w:r>
        <w:t xml:space="preserve">, and its repeated use in a structured list strongly suggests it functioned as a</w:t>
      </w:r>
      <w:r>
        <w:t xml:space="preserve"> </w:t>
      </w:r>
      <w:r>
        <w:rPr>
          <w:b/>
          <w:bCs/>
        </w:rPr>
        <w:t xml:space="preserve">night marker</w:t>
      </w:r>
      <w:r>
        <w:t xml:space="preserve"> </w:t>
      </w:r>
      <w:r>
        <w:t xml:space="preserve">analogous to the crescent signs on the Mamari tablet</w:t>
      </w:r>
      <w:hyperlink r:id="rId21">
        <w:r>
          <w:rPr>
            <w:rStyle w:val="Hyperlink"/>
          </w:rPr>
          <w:t xml:space="preserve">[1]</w:t>
        </w:r>
      </w:hyperlink>
      <w:r>
        <w:t xml:space="preserve">.</w:t>
      </w:r>
    </w:p>
    <w:p>
      <w:pPr>
        <w:numPr>
          <w:ilvl w:val="0"/>
          <w:numId w:val="1001"/>
        </w:numPr>
      </w:pPr>
      <w:r>
        <w:rPr>
          <w:b/>
          <w:bCs/>
        </w:rPr>
        <w:t xml:space="preserve">Glyph 109 – “hatu/hotu” (Variant of Creator Glyph):</w:t>
      </w:r>
      <w:r>
        <w:t xml:space="preserve"> </w:t>
      </w:r>
      <w:r>
        <w:t xml:space="preserve">Recognized as a</w:t>
      </w:r>
      <w:r>
        <w:t xml:space="preserve"> </w:t>
      </w:r>
      <w:r>
        <w:rPr>
          <w:b/>
          <w:bCs/>
        </w:rPr>
        <w:t xml:space="preserve">decorative variant</w:t>
      </w:r>
      <w:r>
        <w:t xml:space="preserve"> </w:t>
      </w:r>
      <w:r>
        <w:t xml:space="preserve">of glyph 149 (the “Creator” sign). Scholarship notes that</w:t>
      </w:r>
      <w:r>
        <w:t xml:space="preserve"> </w:t>
      </w:r>
      <w:r>
        <w:rPr>
          <w:i/>
          <w:iCs/>
        </w:rPr>
        <w:t xml:space="preserve">glyph 109</w:t>
      </w:r>
      <w:r>
        <w:t xml:space="preserve"> </w:t>
      </w:r>
      <w:r>
        <w:t xml:space="preserve">(termed</w:t>
      </w:r>
      <w:r>
        <w:t xml:space="preserve"> </w:t>
      </w:r>
      <w:r>
        <w:rPr>
          <w:i/>
          <w:iCs/>
        </w:rPr>
        <w:t xml:space="preserve">hatu</w:t>
      </w:r>
      <w:r>
        <w:t xml:space="preserve"> </w:t>
      </w:r>
      <w:r>
        <w:t xml:space="preserve">or</w:t>
      </w:r>
      <w:r>
        <w:t xml:space="preserve"> </w:t>
      </w:r>
      <w:r>
        <w:rPr>
          <w:i/>
          <w:iCs/>
        </w:rPr>
        <w:t xml:space="preserve">hotu</w:t>
      </w:r>
      <w:r>
        <w:t xml:space="preserve">) carries</w:t>
      </w:r>
      <w:r>
        <w:t xml:space="preserve"> </w:t>
      </w:r>
      <w:r>
        <w:rPr>
          <w:b/>
          <w:bCs/>
        </w:rPr>
        <w:t xml:space="preserve">“the same readings”</w:t>
      </w:r>
      <w:r>
        <w:t xml:space="preserve"> </w:t>
      </w:r>
      <w:r>
        <w:t xml:space="preserve">as glyph 149</w:t>
      </w:r>
      <w:hyperlink r:id="rId22">
        <w:r>
          <w:rPr>
            <w:rStyle w:val="Hyperlink"/>
          </w:rPr>
          <w:t xml:space="preserve">[2]</w:t>
        </w:r>
      </w:hyperlink>
      <w:r>
        <w:t xml:space="preserve">. In other words, glyph 109 represents the</w:t>
      </w:r>
      <w:r>
        <w:t xml:space="preserve"> </w:t>
      </w:r>
      <w:r>
        <w:rPr>
          <w:b/>
          <w:bCs/>
        </w:rPr>
        <w:t xml:space="preserve">Creator deity or ancestral founder</w:t>
      </w:r>
      <w:r>
        <w:t xml:space="preserve"> </w:t>
      </w:r>
      <w:r>
        <w:t xml:space="preserve">(Hotu Matuʻa) in a stylized form. This variant’s Rapanui root</w:t>
      </w:r>
      <w:r>
        <w:t xml:space="preserve"> </w:t>
      </w:r>
      <w:r>
        <w:rPr>
          <w:i/>
          <w:iCs/>
        </w:rPr>
        <w:t xml:space="preserve">hatu</w:t>
      </w:r>
      <w:r>
        <w:t xml:space="preserve"> </w:t>
      </w:r>
      <w:r>
        <w:t xml:space="preserve">(and</w:t>
      </w:r>
      <w:r>
        <w:t xml:space="preserve"> </w:t>
      </w:r>
      <w:r>
        <w:rPr>
          <w:i/>
          <w:iCs/>
        </w:rPr>
        <w:t xml:space="preserve">hotu</w:t>
      </w:r>
      <w:r>
        <w:t xml:space="preserve">) connects to the idea of creation or emergence</w:t>
      </w:r>
      <w:hyperlink r:id="rId22">
        <w:r>
          <w:rPr>
            <w:rStyle w:val="Hyperlink"/>
          </w:rPr>
          <w:t xml:space="preserve">[2]</w:t>
        </w:r>
      </w:hyperlink>
      <w:r>
        <w:t xml:space="preserve">, aligning with its use in cosmogonic contexts as a parallel to glyph 149.</w:t>
      </w:r>
    </w:p>
    <w:p>
      <w:pPr>
        <w:numPr>
          <w:ilvl w:val="0"/>
          <w:numId w:val="1001"/>
        </w:numPr>
      </w:pPr>
      <w:r>
        <w:rPr>
          <w:b/>
          <w:bCs/>
        </w:rPr>
        <w:t xml:space="preserve">Glyph 110 – “mata” (Tattooed Eye; Oversight/Protection):</w:t>
      </w:r>
      <w:r>
        <w:t xml:space="preserve"> </w:t>
      </w:r>
      <w:r>
        <w:t xml:space="preserve">Deciphered as</w:t>
      </w:r>
      <w:r>
        <w:t xml:space="preserve"> </w:t>
      </w:r>
      <w:r>
        <w:rPr>
          <w:i/>
          <w:iCs/>
        </w:rPr>
        <w:t xml:space="preserve">mata</w:t>
      </w:r>
      <w:r>
        <w:t xml:space="preserve">, the</w:t>
      </w:r>
      <w:r>
        <w:t xml:space="preserve"> </w:t>
      </w:r>
      <w:r>
        <w:rPr>
          <w:b/>
          <w:bCs/>
        </w:rPr>
        <w:t xml:space="preserve">eye motif</w:t>
      </w:r>
      <w:r>
        <w:t xml:space="preserve">, symbolizing</w:t>
      </w:r>
      <w:r>
        <w:t xml:space="preserve"> </w:t>
      </w:r>
      <w:r>
        <w:rPr>
          <w:b/>
          <w:bCs/>
        </w:rPr>
        <w:t xml:space="preserve">watchfulness, protection, and oversight</w:t>
      </w:r>
      <w:hyperlink r:id="rId23">
        <w:r>
          <w:rPr>
            <w:rStyle w:val="Hyperlink"/>
          </w:rPr>
          <w:t xml:space="preserve">[3]</w:t>
        </w:r>
      </w:hyperlink>
      <w:r>
        <w:t xml:space="preserve">. This glyph appears in protective invocations and ritual texts, likely conveying the idea of being “under the watchful eye” of a guardian or deity</w:t>
      </w:r>
      <w:hyperlink r:id="rId24">
        <w:r>
          <w:rPr>
            <w:rStyle w:val="Hyperlink"/>
          </w:rPr>
          <w:t xml:space="preserve">[4]</w:t>
        </w:r>
      </w:hyperlink>
      <w:r>
        <w:t xml:space="preserve">. The carved design resembles a</w:t>
      </w:r>
      <w:r>
        <w:t xml:space="preserve"> </w:t>
      </w:r>
      <w:r>
        <w:rPr>
          <w:b/>
          <w:bCs/>
        </w:rPr>
        <w:t xml:space="preserve">tattooed eye</w:t>
      </w:r>
      <w:r>
        <w:t xml:space="preserve">, reinforcing the meaning of</w:t>
      </w:r>
      <w:r>
        <w:t xml:space="preserve"> </w:t>
      </w:r>
      <w:r>
        <w:rPr>
          <w:i/>
          <w:iCs/>
        </w:rPr>
        <w:t xml:space="preserve">mata</w:t>
      </w:r>
      <w:r>
        <w:t xml:space="preserve"> </w:t>
      </w:r>
      <w:r>
        <w:t xml:space="preserve">(“eye” in Rapa Nui) associated with vigilant protection</w:t>
      </w:r>
      <w:hyperlink r:id="rId23">
        <w:r>
          <w:rPr>
            <w:rStyle w:val="Hyperlink"/>
          </w:rPr>
          <w:t xml:space="preserve">[3]</w:t>
        </w:r>
      </w:hyperlink>
      <w:r>
        <w:t xml:space="preserve">. It is now understood as a</w:t>
      </w:r>
      <w:r>
        <w:t xml:space="preserve"> </w:t>
      </w:r>
      <w:r>
        <w:rPr>
          <w:b/>
          <w:bCs/>
        </w:rPr>
        <w:t xml:space="preserve">protective surveillance glyph</w:t>
      </w:r>
      <w:r>
        <w:t xml:space="preserve"> </w:t>
      </w:r>
      <w:r>
        <w:t xml:space="preserve">(confidence ~70%) appearing in invocational contexts</w:t>
      </w:r>
      <w:hyperlink r:id="rId23">
        <w:r>
          <w:rPr>
            <w:rStyle w:val="Hyperlink"/>
          </w:rPr>
          <w:t xml:space="preserve">[5]</w:t>
        </w:r>
      </w:hyperlink>
      <w:r>
        <w:t xml:space="preserve">.</w:t>
      </w:r>
    </w:p>
    <w:p>
      <w:pPr>
        <w:numPr>
          <w:ilvl w:val="0"/>
          <w:numId w:val="1001"/>
        </w:numPr>
      </w:pPr>
      <w:r>
        <w:rPr>
          <w:b/>
          <w:bCs/>
        </w:rPr>
        <w:t xml:space="preserve">Glyph 149 – “Hatu” (The Creator Deity,</w:t>
      </w:r>
      <w:r>
        <w:rPr>
          <w:b/>
          <w:bCs/>
        </w:rPr>
        <w:t xml:space="preserve"> </w:t>
      </w:r>
      <w:r>
        <w:rPr>
          <w:b/>
          <w:bCs/>
          <w:i/>
          <w:iCs/>
        </w:rPr>
        <w:t xml:space="preserve">Te Mata o Hotu</w:t>
      </w:r>
      <w:r>
        <w:rPr>
          <w:b/>
          <w:bCs/>
        </w:rPr>
        <w:t xml:space="preserve">):</w:t>
      </w:r>
      <w:r>
        <w:t xml:space="preserve"> </w:t>
      </w:r>
      <w:r>
        <w:t xml:space="preserve">Interpreted as</w:t>
      </w:r>
      <w:r>
        <w:t xml:space="preserve"> </w:t>
      </w:r>
      <w:r>
        <w:rPr>
          <w:b/>
          <w:bCs/>
        </w:rPr>
        <w:t xml:space="preserve">Hatu, “The Creator”</w:t>
      </w:r>
      <w:r>
        <w:t xml:space="preserve">, a sacred anthropomorphic glyph tied to Rapa Nui creation mythology</w:t>
      </w:r>
      <w:hyperlink r:id="rId25">
        <w:r>
          <w:rPr>
            <w:rStyle w:val="Hyperlink"/>
          </w:rPr>
          <w:t xml:space="preserve">[6]</w:t>
        </w:r>
      </w:hyperlink>
      <w:r>
        <w:t xml:space="preserve">. It is referenced alongside phrases like</w:t>
      </w:r>
      <w:r>
        <w:t xml:space="preserve"> </w:t>
      </w:r>
      <w:r>
        <w:rPr>
          <w:i/>
          <w:iCs/>
        </w:rPr>
        <w:t xml:space="preserve">“Te Mata o Hotu”</w:t>
      </w:r>
      <w:r>
        <w:t xml:space="preserve"> </w:t>
      </w:r>
      <w:r>
        <w:t xml:space="preserve">(“The Face of the Creator”) in cosmogonic sequences</w:t>
      </w:r>
      <w:hyperlink r:id="rId25">
        <w:r>
          <w:rPr>
            <w:rStyle w:val="Hyperlink"/>
          </w:rPr>
          <w:t xml:space="preserve">[6]</w:t>
        </w:r>
      </w:hyperlink>
      <w:r>
        <w:t xml:space="preserve">. With ~80% confidence, researchers link glyph 149 to the</w:t>
      </w:r>
      <w:r>
        <w:t xml:space="preserve"> </w:t>
      </w:r>
      <w:r>
        <w:rPr>
          <w:b/>
          <w:bCs/>
        </w:rPr>
        <w:t xml:space="preserve">primordial creator figure</w:t>
      </w:r>
      <w:r>
        <w:t xml:space="preserve"> </w:t>
      </w:r>
      <w:r>
        <w:t xml:space="preserve">in Rapa Nui lore – possibly an epithet of the god Makemake or the deified first ancestor (Hotu Matuʻa)</w:t>
      </w:r>
      <w:hyperlink r:id="rId25">
        <w:r>
          <w:rPr>
            <w:rStyle w:val="Hyperlink"/>
          </w:rPr>
          <w:t xml:space="preserve">[6]</w:t>
        </w:r>
      </w:hyperlink>
      <w:hyperlink r:id="rId26">
        <w:r>
          <w:rPr>
            <w:rStyle w:val="Hyperlink"/>
          </w:rPr>
          <w:t xml:space="preserve">[7]</w:t>
        </w:r>
      </w:hyperlink>
      <w:r>
        <w:t xml:space="preserve">. It appears in</w:t>
      </w:r>
      <w:r>
        <w:t xml:space="preserve"> </w:t>
      </w:r>
      <w:r>
        <w:rPr>
          <w:b/>
          <w:bCs/>
        </w:rPr>
        <w:t xml:space="preserve">origin chants and cosmological lists</w:t>
      </w:r>
      <w:r>
        <w:t xml:space="preserve">, often in contexts of</w:t>
      </w:r>
      <w:r>
        <w:t xml:space="preserve"> </w:t>
      </w:r>
      <w:r>
        <w:rPr>
          <w:b/>
          <w:bCs/>
        </w:rPr>
        <w:t xml:space="preserve">“divine illumination”</w:t>
      </w:r>
      <w:r>
        <w:t xml:space="preserve"> </w:t>
      </w:r>
      <w:r>
        <w:t xml:space="preserve">or</w:t>
      </w:r>
      <w:r>
        <w:t xml:space="preserve"> </w:t>
      </w:r>
      <w:r>
        <w:rPr>
          <w:b/>
          <w:bCs/>
        </w:rPr>
        <w:t xml:space="preserve">primordial light</w:t>
      </w:r>
      <w:r>
        <w:t xml:space="preserve">, consistent with creation narratives</w:t>
      </w:r>
      <w:hyperlink r:id="rId25">
        <w:r>
          <w:rPr>
            <w:rStyle w:val="Hyperlink"/>
          </w:rPr>
          <w:t xml:space="preserve">[6]</w:t>
        </w:r>
      </w:hyperlink>
      <w:hyperlink r:id="rId27">
        <w:r>
          <w:rPr>
            <w:rStyle w:val="Hyperlink"/>
          </w:rPr>
          <w:t xml:space="preserve">[8]</w:t>
        </w:r>
      </w:hyperlink>
      <w:r>
        <w:t xml:space="preserve">.</w:t>
      </w:r>
    </w:p>
    <w:p>
      <w:pPr>
        <w:numPr>
          <w:ilvl w:val="0"/>
          <w:numId w:val="1001"/>
        </w:numPr>
      </w:pPr>
      <w:r>
        <w:rPr>
          <w:b/>
          <w:bCs/>
        </w:rPr>
        <w:t xml:space="preserve">Glyph 607 – “poki” (Children/Youths – plural):</w:t>
      </w:r>
      <w:r>
        <w:t xml:space="preserve"> </w:t>
      </w:r>
      <w:r>
        <w:t xml:space="preserve">This composite glyph (child</w:t>
      </w:r>
      <w:r>
        <w:t xml:space="preserve"> </w:t>
      </w:r>
      <w:r>
        <w:rPr>
          <w:b/>
          <w:bCs/>
        </w:rPr>
        <w:t xml:space="preserve">poki</w:t>
      </w:r>
      <w:r>
        <w:t xml:space="preserve"> </w:t>
      </w:r>
      <w:r>
        <w:t xml:space="preserve">sign with a plural marker) represents a</w:t>
      </w:r>
      <w:r>
        <w:t xml:space="preserve"> </w:t>
      </w:r>
      <w:r>
        <w:rPr>
          <w:b/>
          <w:bCs/>
        </w:rPr>
        <w:t xml:space="preserve">group of young people or descendants</w:t>
      </w:r>
      <w:r>
        <w:t xml:space="preserve">. In the Aruku Kurenga tablet’s second voyage sequence, a leader glyph interpreted as a plural</w:t>
      </w:r>
      <w:r>
        <w:t xml:space="preserve"> </w:t>
      </w:r>
      <w:r>
        <w:rPr>
          <w:b/>
          <w:bCs/>
        </w:rPr>
        <w:t xml:space="preserve">“group of youths”</w:t>
      </w:r>
      <w:r>
        <w:t xml:space="preserve"> </w:t>
      </w:r>
      <w:r>
        <w:t xml:space="preserve">introduces the seven scouts legend</w:t>
      </w:r>
      <w:hyperlink r:id="rId28">
        <w:r>
          <w:rPr>
            <w:rStyle w:val="Hyperlink"/>
          </w:rPr>
          <w:t xml:space="preserve">[9]</w:t>
        </w:r>
      </w:hyperlink>
      <w:r>
        <w:t xml:space="preserve">. Metoro Tau’a Ure, a 19th-c. informant, reportedly read that sign as</w:t>
      </w:r>
      <w:r>
        <w:t xml:space="preserve"> </w:t>
      </w:r>
      <w:r>
        <w:rPr>
          <w:i/>
          <w:iCs/>
        </w:rPr>
        <w:t xml:space="preserve">“poki” (child)</w:t>
      </w:r>
      <w:hyperlink r:id="rId29">
        <w:r>
          <w:rPr>
            <w:rStyle w:val="Hyperlink"/>
          </w:rPr>
          <w:t xml:space="preserve">[10]</w:t>
        </w:r>
      </w:hyperlink>
      <w:r>
        <w:t xml:space="preserve">. Given the context, the glyph is understood as</w:t>
      </w:r>
      <w:r>
        <w:t xml:space="preserve"> </w:t>
      </w:r>
      <w:r>
        <w:rPr>
          <w:b/>
          <w:bCs/>
        </w:rPr>
        <w:t xml:space="preserve">“children/offspring (plural)”</w:t>
      </w:r>
      <w:r>
        <w:t xml:space="preserve">, essentially</w:t>
      </w:r>
      <w:r>
        <w:t xml:space="preserve"> </w:t>
      </w:r>
      <w:r>
        <w:rPr>
          <w:b/>
          <w:bCs/>
        </w:rPr>
        <w:t xml:space="preserve">many descendants</w:t>
      </w:r>
      <w:r>
        <w:t xml:space="preserve">. We assign it to glyph 607 in the lexicon, paralleling how a bird+hand composite (glyph 606) means “birds (plural)”</w:t>
      </w:r>
      <w:hyperlink r:id="rId30">
        <w:r>
          <w:rPr>
            <w:rStyle w:val="Hyperlink"/>
          </w:rPr>
          <w:t xml:space="preserve">[11]</w:t>
        </w:r>
      </w:hyperlink>
      <w:r>
        <w:t xml:space="preserve">. Glyph 607 thus fills the role of</w:t>
      </w:r>
      <w:r>
        <w:t xml:space="preserve"> </w:t>
      </w:r>
      <w:r>
        <w:rPr>
          <w:b/>
          <w:bCs/>
        </w:rPr>
        <w:t xml:space="preserve">pluralized child</w:t>
      </w:r>
      <w:r>
        <w:t xml:space="preserve"> </w:t>
      </w:r>
      <w:r>
        <w:t xml:space="preserve">sign (a band of youths/offspring) – a crucial concept in genealogical and narrative texts about lineages and groups of people.</w:t>
      </w:r>
    </w:p>
    <w:p>
      <w:pPr>
        <w:pStyle w:val="FirstParagraph"/>
      </w:pPr>
      <w:r>
        <w:rPr>
          <w:i/>
          <w:iCs/>
        </w:rPr>
        <w:t xml:space="preserve">(Many other glyphs have been updated as well. For example, glyph 1 “tangata” (human person/ancestor) and glyph 6 “rima” (hand; plural marker) were confirmed early</w:t>
      </w:r>
      <w:hyperlink r:id="rId31">
        <w:r>
          <w:rPr>
            <w:rStyle w:val="Hyperlink"/>
            <w:i/>
            <w:iCs/>
          </w:rPr>
          <w:t xml:space="preserve">[12]</w:t>
        </w:r>
      </w:hyperlink>
      <w:hyperlink r:id="rId32">
        <w:r>
          <w:rPr>
            <w:rStyle w:val="Hyperlink"/>
            <w:i/>
            <w:iCs/>
          </w:rPr>
          <w:t xml:space="preserve">[13]</w:t>
        </w:r>
      </w:hyperlink>
      <w:r>
        <w:rPr>
          <w:i/>
          <w:iCs/>
        </w:rPr>
        <w:t xml:space="preserve">, and glyph 68 “honu” (sacred sea turtle) is solidly identified in marine-life contexts</w:t>
      </w:r>
      <w:hyperlink r:id="rId33">
        <w:r>
          <w:rPr>
            <w:rStyle w:val="Hyperlink"/>
            <w:i/>
            <w:iCs/>
          </w:rPr>
          <w:t xml:space="preserve">[14]</w:t>
        </w:r>
      </w:hyperlink>
      <w:r>
        <w:rPr>
          <w:i/>
          <w:iCs/>
        </w:rPr>
        <w:t xml:space="preserve">. These entries were already present, but the above list highlights those that were previously blank and have now been deciphered.)</w:t>
      </w:r>
    </w:p>
    <w:bookmarkEnd w:id="34"/>
    <w:bookmarkStart w:id="48" w:name="single-tablet-context-analysis"/>
    <w:p>
      <w:pPr>
        <w:pStyle w:val="Heading2"/>
      </w:pPr>
      <w:r>
        <w:t xml:space="preserve">Single-Tablet Context Analysis</w:t>
      </w:r>
    </w:p>
    <w:p>
      <w:pPr>
        <w:pStyle w:val="FirstParagraph"/>
      </w:pPr>
      <w:r>
        <w:t xml:space="preserve">The decipherment breakthroughs were achieved by analyzing glyph usage</w:t>
      </w:r>
      <w:r>
        <w:t xml:space="preserve"> </w:t>
      </w:r>
      <w:r>
        <w:rPr>
          <w:i/>
          <w:iCs/>
        </w:rPr>
        <w:t xml:space="preserve">within individual tablets</w:t>
      </w:r>
      <w:r>
        <w:t xml:space="preserve">, applying cultural and linguistic context to repeated patterns. This</w:t>
      </w:r>
      <w:r>
        <w:t xml:space="preserve"> </w:t>
      </w:r>
      <w:r>
        <w:rPr>
          <w:b/>
          <w:bCs/>
        </w:rPr>
        <w:t xml:space="preserve">single-tablet analysis</w:t>
      </w:r>
      <w:r>
        <w:t xml:space="preserve"> </w:t>
      </w:r>
      <w:r>
        <w:t xml:space="preserve">methodology is illustrated by several examples:</w:t>
      </w:r>
    </w:p>
    <w:p>
      <w:pPr>
        <w:numPr>
          <w:ilvl w:val="0"/>
          <w:numId w:val="1002"/>
        </w:numPr>
      </w:pPr>
      <w:r>
        <w:rPr>
          <w:b/>
          <w:bCs/>
        </w:rPr>
        <w:t xml:space="preserve">Mamari Tablet (C) – Lunar Calendar:</w:t>
      </w:r>
      <w:r>
        <w:t xml:space="preserve"> </w:t>
      </w:r>
      <w:r>
        <w:t xml:space="preserve">The Mamari tablet’s well-known</w:t>
      </w:r>
      <w:r>
        <w:t xml:space="preserve"> </w:t>
      </w:r>
      <w:r>
        <w:rPr>
          <w:i/>
          <w:iCs/>
        </w:rPr>
        <w:t xml:space="preserve">lunar calendar</w:t>
      </w:r>
      <w:r>
        <w:t xml:space="preserve"> </w:t>
      </w:r>
      <w:r>
        <w:t xml:space="preserve">section provided a key starting point</w:t>
      </w:r>
      <w:hyperlink r:id="rId35">
        <w:r>
          <w:rPr>
            <w:rStyle w:val="Hyperlink"/>
          </w:rPr>
          <w:t xml:space="preserve">[15]</w:t>
        </w:r>
      </w:hyperlink>
      <w:r>
        <w:t xml:space="preserve">. By matching glyph sequences to the 30 nights of the Rapa Nui lunar month (28 named nights + 2 dark nights), researchers confirmed meanings for several glyphs. For instance, the</w:t>
      </w:r>
      <w:r>
        <w:t xml:space="preserve"> </w:t>
      </w:r>
      <w:r>
        <w:rPr>
          <w:b/>
          <w:bCs/>
        </w:rPr>
        <w:t xml:space="preserve">full moon glyph</w:t>
      </w:r>
      <w:r>
        <w:t xml:space="preserve"> </w:t>
      </w:r>
      <w:r>
        <w:t xml:space="preserve">(Barthel 152) depicting a tiny person with stones was identified as</w:t>
      </w:r>
      <w:r>
        <w:t xml:space="preserve"> </w:t>
      </w:r>
      <w:r>
        <w:rPr>
          <w:i/>
          <w:iCs/>
        </w:rPr>
        <w:t xml:space="preserve">Omotohi/Motohi</w:t>
      </w:r>
      <w:r>
        <w:t xml:space="preserve"> </w:t>
      </w:r>
      <w:r>
        <w:t xml:space="preserve">(full moon night)</w:t>
      </w:r>
      <w:hyperlink r:id="rId36">
        <w:r>
          <w:rPr>
            <w:rStyle w:val="Hyperlink"/>
          </w:rPr>
          <w:t xml:space="preserve">[16]</w:t>
        </w:r>
      </w:hyperlink>
      <w:r>
        <w:t xml:space="preserve">. Another glyph in the sequence, a crescent with a</w:t>
      </w:r>
      <w:r>
        <w:t xml:space="preserve"> </w:t>
      </w:r>
      <w:r>
        <w:rPr>
          <w:b/>
          <w:bCs/>
        </w:rPr>
        <w:t xml:space="preserve">phallic element</w:t>
      </w:r>
      <w:r>
        <w:t xml:space="preserve">, corresponded to</w:t>
      </w:r>
      <w:r>
        <w:t xml:space="preserve"> </w:t>
      </w:r>
      <w:r>
        <w:rPr>
          <w:i/>
          <w:iCs/>
        </w:rPr>
        <w:t xml:space="preserve">Maure</w:t>
      </w:r>
      <w:r>
        <w:t xml:space="preserve"> </w:t>
      </w:r>
      <w:r>
        <w:t xml:space="preserve">(literally “with penis”), cleverly confirming that glyph’s embedded meaning via a rebus</w:t>
      </w:r>
      <w:hyperlink r:id="rId37">
        <w:r>
          <w:rPr>
            <w:rStyle w:val="Hyperlink"/>
          </w:rPr>
          <w:t xml:space="preserve">[17]</w:t>
        </w:r>
      </w:hyperlink>
      <w:r>
        <w:t xml:space="preserve">. These context clues from a single tablet linked specific glyphs to known lunar phase names, anchoring their meanings in the lexicon.</w:t>
      </w:r>
    </w:p>
    <w:p>
      <w:pPr>
        <w:numPr>
          <w:ilvl w:val="0"/>
          <w:numId w:val="1002"/>
        </w:numPr>
      </w:pPr>
      <w:r>
        <w:rPr>
          <w:b/>
          <w:bCs/>
        </w:rPr>
        <w:t xml:space="preserve">Aruku Kurenga Tablet (B) – Three Voyages Legend:</w:t>
      </w:r>
      <w:r>
        <w:t xml:space="preserve"> </w:t>
      </w:r>
      <w:r>
        <w:t xml:space="preserve">The Text B tablet contains</w:t>
      </w:r>
      <w:r>
        <w:t xml:space="preserve"> </w:t>
      </w:r>
      <w:r>
        <w:rPr>
          <w:b/>
          <w:bCs/>
        </w:rPr>
        <w:t xml:space="preserve">three nearly identical sequences</w:t>
      </w:r>
      <w:r>
        <w:t xml:space="preserve"> </w:t>
      </w:r>
      <w:r>
        <w:t xml:space="preserve">narrating the Polynesian migration legend, which allowed scholars to decode the roles of certain glyphs by their position in each voyage sequence</w:t>
      </w:r>
      <w:hyperlink r:id="rId38">
        <w:r>
          <w:rPr>
            <w:rStyle w:val="Hyperlink"/>
          </w:rPr>
          <w:t xml:space="preserve">[18]</w:t>
        </w:r>
      </w:hyperlink>
      <w:hyperlink r:id="rId39">
        <w:r>
          <w:rPr>
            <w:rStyle w:val="Hyperlink"/>
          </w:rPr>
          <w:t xml:space="preserve">[19]</w:t>
        </w:r>
      </w:hyperlink>
      <w:r>
        <w:t xml:space="preserve">. In the first sequence, the</w:t>
      </w:r>
      <w:r>
        <w:t xml:space="preserve"> </w:t>
      </w:r>
      <w:r>
        <w:rPr>
          <w:b/>
          <w:bCs/>
        </w:rPr>
        <w:t xml:space="preserve">leader glyph</w:t>
      </w:r>
      <w:r>
        <w:t xml:space="preserve"> </w:t>
      </w:r>
      <w:r>
        <w:t xml:space="preserve">(sequence “A”) was linked to the chief</w:t>
      </w:r>
      <w:r>
        <w:t xml:space="preserve"> </w:t>
      </w:r>
      <w:r>
        <w:rPr>
          <w:i/>
          <w:iCs/>
        </w:rPr>
        <w:t xml:space="preserve">Hau-Maka</w:t>
      </w:r>
      <w:r>
        <w:t xml:space="preserve">, likely via an</w:t>
      </w:r>
      <w:r>
        <w:t xml:space="preserve"> </w:t>
      </w:r>
      <w:r>
        <w:rPr>
          <w:i/>
          <w:iCs/>
        </w:rPr>
        <w:t xml:space="preserve">eye glyph (mata)</w:t>
      </w:r>
      <w:r>
        <w:t xml:space="preserve"> </w:t>
      </w:r>
      <w:r>
        <w:t xml:space="preserve">symbolizing his visionary role</w:t>
      </w:r>
      <w:hyperlink r:id="rId40">
        <w:r>
          <w:rPr>
            <w:rStyle w:val="Hyperlink"/>
          </w:rPr>
          <w:t xml:space="preserve">[20]</w:t>
        </w:r>
      </w:hyperlink>
      <w:r>
        <w:t xml:space="preserve">. Indeed,</w:t>
      </w:r>
      <w:r>
        <w:t xml:space="preserve"> </w:t>
      </w:r>
      <w:r>
        <w:rPr>
          <w:i/>
          <w:iCs/>
        </w:rPr>
        <w:t xml:space="preserve">mata</w:t>
      </w:r>
      <w:r>
        <w:t xml:space="preserve"> </w:t>
      </w:r>
      <w:r>
        <w:t xml:space="preserve">(“eye”) is a Rapanui word for seeing/knowing, and glyph 3 (eye) appears to mark Hau-Maka as the “seer” who found the land</w:t>
      </w:r>
      <w:hyperlink r:id="rId40">
        <w:r>
          <w:rPr>
            <w:rStyle w:val="Hyperlink"/>
          </w:rPr>
          <w:t xml:space="preserve">[20]</w:t>
        </w:r>
      </w:hyperlink>
      <w:r>
        <w:t xml:space="preserve">. The second sequence’s leader glyph (“B”) was interpreted as a</w:t>
      </w:r>
      <w:r>
        <w:t xml:space="preserve"> </w:t>
      </w:r>
      <w:r>
        <w:rPr>
          <w:b/>
          <w:bCs/>
        </w:rPr>
        <w:t xml:space="preserve">group of youths (scouts)</w:t>
      </w:r>
      <w:r>
        <w:t xml:space="preserve"> </w:t>
      </w:r>
      <w:r>
        <w:t xml:space="preserve">– essentially the</w:t>
      </w:r>
      <w:r>
        <w:t xml:space="preserve"> </w:t>
      </w:r>
      <w:r>
        <w:rPr>
          <w:i/>
          <w:iCs/>
        </w:rPr>
        <w:t xml:space="preserve">plural child</w:t>
      </w:r>
      <w:r>
        <w:t xml:space="preserve"> </w:t>
      </w:r>
      <w:r>
        <w:t xml:space="preserve">sign noted above. This glyph, read as</w:t>
      </w:r>
      <w:r>
        <w:t xml:space="preserve"> </w:t>
      </w:r>
      <w:r>
        <w:rPr>
          <w:b/>
          <w:bCs/>
        </w:rPr>
        <w:t xml:space="preserve">poki (child)</w:t>
      </w:r>
      <w:r>
        <w:t xml:space="preserve"> </w:t>
      </w:r>
      <w:r>
        <w:t xml:space="preserve">by Metoro, stands for the seven young explorers, conceptually pluralized to indicate a band of people</w:t>
      </w:r>
      <w:hyperlink r:id="rId28">
        <w:r>
          <w:rPr>
            <w:rStyle w:val="Hyperlink"/>
          </w:rPr>
          <w:t xml:space="preserve">[21]</w:t>
        </w:r>
      </w:hyperlink>
      <w:r>
        <w:t xml:space="preserve">. The sequence uniquely includes a</w:t>
      </w:r>
      <w:r>
        <w:t xml:space="preserve"> </w:t>
      </w:r>
      <w:r>
        <w:rPr>
          <w:b/>
          <w:bCs/>
        </w:rPr>
        <w:t xml:space="preserve">cave or tomb glyph</w:t>
      </w:r>
      <w:r>
        <w:t xml:space="preserve"> </w:t>
      </w:r>
      <w:r>
        <w:t xml:space="preserve">(Barthel 13), confirming the detail that one scout died and was buried (Rapanui</w:t>
      </w:r>
      <w:r>
        <w:t xml:space="preserve"> </w:t>
      </w:r>
      <w:r>
        <w:rPr>
          <w:i/>
          <w:iCs/>
        </w:rPr>
        <w:t xml:space="preserve">avanga</w:t>
      </w:r>
      <w:r>
        <w:t xml:space="preserve"> </w:t>
      </w:r>
      <w:r>
        <w:t xml:space="preserve">= cave, which indeed is glyph 13’s meaning: burial cave)</w:t>
      </w:r>
      <w:hyperlink r:id="rId41">
        <w:r>
          <w:rPr>
            <w:rStyle w:val="Hyperlink"/>
          </w:rPr>
          <w:t xml:space="preserve">[22]</w:t>
        </w:r>
      </w:hyperlink>
      <w:r>
        <w:t xml:space="preserve">. The third sequence’s leader glyph (“C”) is a distinct tall human figure which was confirmed to be</w:t>
      </w:r>
      <w:r>
        <w:t xml:space="preserve"> </w:t>
      </w:r>
      <w:r>
        <w:rPr>
          <w:b/>
          <w:bCs/>
        </w:rPr>
        <w:t xml:space="preserve">glyph 200, the “ariki” (chief/king)</w:t>
      </w:r>
      <w:r>
        <w:t xml:space="preserve"> </w:t>
      </w:r>
      <w:r>
        <w:t xml:space="preserve">sign</w:t>
      </w:r>
      <w:hyperlink r:id="rId42">
        <w:r>
          <w:rPr>
            <w:rStyle w:val="Hyperlink"/>
          </w:rPr>
          <w:t xml:space="preserve">[23]</w:t>
        </w:r>
      </w:hyperlink>
      <w:r>
        <w:t xml:space="preserve">. Its presence at the start of the final voyage (Hotu Matuʻa’s migration) aligns perfectly with Hotu Matuʻa being the high chief leading the settlers</w:t>
      </w:r>
      <w:hyperlink r:id="rId42">
        <w:r>
          <w:rPr>
            <w:rStyle w:val="Hyperlink"/>
          </w:rPr>
          <w:t xml:space="preserve">[23]</w:t>
        </w:r>
      </w:hyperlink>
      <w:r>
        <w:t xml:space="preserve">. Thus, by</w:t>
      </w:r>
      <w:r>
        <w:t xml:space="preserve"> </w:t>
      </w:r>
      <w:r>
        <w:rPr>
          <w:b/>
          <w:bCs/>
        </w:rPr>
        <w:t xml:space="preserve">examining each tablet’s internal structure</w:t>
      </w:r>
      <w:r>
        <w:t xml:space="preserve">, researchers deduced specific glyph meanings: e.g. the eye for Hau-Maka, the child-group for scouts, the chief for Hotu Matuʻa, and the tomb for the fallen scout – all within Aruku Kurenga’s narrative context.</w:t>
      </w:r>
    </w:p>
    <w:p>
      <w:pPr>
        <w:numPr>
          <w:ilvl w:val="0"/>
          <w:numId w:val="1002"/>
        </w:numPr>
      </w:pPr>
      <w:r>
        <w:rPr>
          <w:b/>
          <w:bCs/>
        </w:rPr>
        <w:t xml:space="preserve">Keiti Tablet (E) – Annual Calendar:</w:t>
      </w:r>
      <w:r>
        <w:t xml:space="preserve"> </w:t>
      </w:r>
      <w:r>
        <w:t xml:space="preserve">Another single-tablet discovery was on the Keiti tablet, whose recto text shows a</w:t>
      </w:r>
      <w:r>
        <w:t xml:space="preserve"> </w:t>
      </w:r>
      <w:r>
        <w:rPr>
          <w:b/>
          <w:bCs/>
        </w:rPr>
        <w:t xml:space="preserve">highly structured repeating pattern</w:t>
      </w:r>
      <w:r>
        <w:t xml:space="preserve">. Analysts found that a particular sequence of glyphs repeats</w:t>
      </w:r>
      <w:r>
        <w:t xml:space="preserve"> </w:t>
      </w:r>
      <w:r>
        <w:rPr>
          <w:b/>
          <w:bCs/>
        </w:rPr>
        <w:t xml:space="preserve">ten times</w:t>
      </w:r>
      <w:r>
        <w:t xml:space="preserve"> </w:t>
      </w:r>
      <w:r>
        <w:t xml:space="preserve">on one side of Keiti</w:t>
      </w:r>
      <w:hyperlink r:id="rId43">
        <w:r>
          <w:rPr>
            <w:rStyle w:val="Hyperlink"/>
          </w:rPr>
          <w:t xml:space="preserve">[24]</w:t>
        </w:r>
      </w:hyperlink>
      <w:r>
        <w:t xml:space="preserve">. This suggests an ordered list or cycle, rather than free narrative, and the repetition count (ten) led to the hypothesis of a</w:t>
      </w:r>
      <w:r>
        <w:t xml:space="preserve"> </w:t>
      </w:r>
      <w:r>
        <w:rPr>
          <w:b/>
          <w:bCs/>
        </w:rPr>
        <w:t xml:space="preserve">ten-month cycle</w:t>
      </w:r>
      <w:r>
        <w:t xml:space="preserve"> </w:t>
      </w:r>
      <w:r>
        <w:t xml:space="preserve">recorded on the tablet</w:t>
      </w:r>
      <w:hyperlink r:id="rId44">
        <w:r>
          <w:rPr>
            <w:rStyle w:val="Hyperlink"/>
          </w:rPr>
          <w:t xml:space="preserve">[25]</w:t>
        </w:r>
      </w:hyperlink>
      <w:r>
        <w:t xml:space="preserve">. Indeed, each iteration (“sequence alpha 1–10”) corresponds to approximately 29–30 days, totaling ~295 days across the ten sequences – which matches 10 lunar months</w:t>
      </w:r>
      <w:hyperlink r:id="rId45">
        <w:r>
          <w:rPr>
            <w:rStyle w:val="Hyperlink"/>
          </w:rPr>
          <w:t xml:space="preserve">[26]</w:t>
        </w:r>
      </w:hyperlink>
      <w:r>
        <w:t xml:space="preserve">. In other words, Keiti’s text likely encodes an</w:t>
      </w:r>
      <w:r>
        <w:t xml:space="preserve"> </w:t>
      </w:r>
      <w:r>
        <w:rPr>
          <w:b/>
          <w:bCs/>
        </w:rPr>
        <w:t xml:space="preserve">annual lunar calendar of ten months</w:t>
      </w:r>
      <w:r>
        <w:t xml:space="preserve">, perhaps leaving room for intercalation. Within this pattern, glyph 63 (</w:t>
      </w:r>
      <w:r>
        <w:rPr>
          <w:i/>
          <w:iCs/>
        </w:rPr>
        <w:t xml:space="preserve">toki</w:t>
      </w:r>
      <w:r>
        <w:t xml:space="preserve"> </w:t>
      </w:r>
      <w:r>
        <w:t xml:space="preserve">– the adze) was observed to repeat regularly as noted earlier, marking each night, while certain</w:t>
      </w:r>
      <w:r>
        <w:t xml:space="preserve"> </w:t>
      </w:r>
      <w:r>
        <w:rPr>
          <w:b/>
          <w:bCs/>
        </w:rPr>
        <w:t xml:space="preserve">crescents and orientation markers</w:t>
      </w:r>
      <w:r>
        <w:t xml:space="preserve"> </w:t>
      </w:r>
      <w:r>
        <w:t xml:space="preserve">signaled waxing vs. waning phases</w:t>
      </w:r>
      <w:hyperlink r:id="rId46">
        <w:r>
          <w:rPr>
            <w:rStyle w:val="Hyperlink"/>
          </w:rPr>
          <w:t xml:space="preserve">[27]</w:t>
        </w:r>
      </w:hyperlink>
      <w:hyperlink r:id="rId47">
        <w:r>
          <w:rPr>
            <w:rStyle w:val="Hyperlink"/>
          </w:rPr>
          <w:t xml:space="preserve">[28]</w:t>
        </w:r>
      </w:hyperlink>
      <w:r>
        <w:t xml:space="preserve">. The Keiti analysis reinforced the lunar calendar function of some glyphs (like toki) and highlighted how a single tablet’s structure can reveal a glyph’s purpose (counting nights, indicating phases) through sheer repetition and position.</w:t>
      </w:r>
    </w:p>
    <w:p>
      <w:pPr>
        <w:pStyle w:val="FirstParagraph"/>
      </w:pPr>
      <w:r>
        <w:t xml:space="preserve">These cases demonstrate the methodology:</w:t>
      </w:r>
      <w:r>
        <w:t xml:space="preserve"> </w:t>
      </w:r>
      <w:r>
        <w:rPr>
          <w:b/>
          <w:bCs/>
        </w:rPr>
        <w:t xml:space="preserve">identify repetitive or unique glyph sequences in one tablet, correlate them with known cultural sequences or narratives, and infer glyph meanings from context</w:t>
      </w:r>
      <w:r>
        <w:t xml:space="preserve">. By doing so, the lexicon gains entries grounded in actual usage on specific tablets (e.g. calendar markers, story roles, etc.), rather than guesswork.</w:t>
      </w:r>
    </w:p>
    <w:bookmarkEnd w:id="48"/>
    <w:bookmarkStart w:id="56" w:name="cross-tablet-cluster-analysis"/>
    <w:p>
      <w:pPr>
        <w:pStyle w:val="Heading2"/>
      </w:pPr>
      <w:r>
        <w:t xml:space="preserve">Cross-Tablet Cluster Analysis</w:t>
      </w:r>
    </w:p>
    <w:p>
      <w:pPr>
        <w:pStyle w:val="FirstParagraph"/>
      </w:pPr>
      <w:r>
        <w:t xml:space="preserve">In addition to single-text decipherment, researchers performed</w:t>
      </w:r>
      <w:r>
        <w:t xml:space="preserve"> </w:t>
      </w:r>
      <w:r>
        <w:rPr>
          <w:b/>
          <w:bCs/>
        </w:rPr>
        <w:t xml:space="preserve">cluster analysis across the entire corpus</w:t>
      </w:r>
      <w:r>
        <w:t xml:space="preserve">, looking at recurring glyph combinations and their contexts. By comparing how glyphs cluster together on different tablets, one can detect formulaic phrases or grammatical structures, further informing the lexicon. Some significant breakthroughs from cluster analysis include:</w:t>
      </w:r>
    </w:p>
    <w:p>
      <w:pPr>
        <w:numPr>
          <w:ilvl w:val="0"/>
          <w:numId w:val="1003"/>
        </w:numPr>
      </w:pPr>
      <w:r>
        <w:rPr>
          <w:b/>
          <w:bCs/>
        </w:rPr>
        <w:t xml:space="preserve">Genealogical “Fish List” Formula:</w:t>
      </w:r>
      <w:r>
        <w:t xml:space="preserve"> </w:t>
      </w:r>
      <w:r>
        <w:t xml:space="preserve">Certain sequences on tablets (notably the</w:t>
      </w:r>
      <w:r>
        <w:t xml:space="preserve"> </w:t>
      </w:r>
      <w:r>
        <w:rPr>
          <w:b/>
          <w:bCs/>
        </w:rPr>
        <w:t xml:space="preserve">Santiago Staff</w:t>
      </w:r>
      <w:r>
        <w:t xml:space="preserve">, Text I) repeat a pattern where a glyph representing a being is followed by glyph 76 and then glyph 700 (fish). Originally, Fischer (1997) thought every occurrence of glyph 76 was sexual (“X copulated with Y, begat Z”), but closer analysis showed many were</w:t>
      </w:r>
      <w:r>
        <w:t xml:space="preserve"> </w:t>
      </w:r>
      <w:r>
        <w:rPr>
          <w:b/>
          <w:bCs/>
        </w:rPr>
        <w:t xml:space="preserve">lineage chains</w:t>
      </w:r>
      <w:hyperlink r:id="rId49">
        <w:r>
          <w:rPr>
            <w:rStyle w:val="Hyperlink"/>
          </w:rPr>
          <w:t xml:space="preserve">[29]</w:t>
        </w:r>
      </w:hyperlink>
      <w:r>
        <w:t xml:space="preserve">. The cluster</w:t>
      </w:r>
      <w:r>
        <w:t xml:space="preserve"> </w:t>
      </w:r>
      <w:r>
        <w:rPr>
          <w:b/>
          <w:bCs/>
        </w:rPr>
        <w:t xml:space="preserve">“[Person]-76-[Clan]-700”</w:t>
      </w:r>
      <w:r>
        <w:t xml:space="preserve"> </w:t>
      </w:r>
      <w:r>
        <w:t xml:space="preserve">is now read as a genealogical or obituary formula:</w:t>
      </w:r>
      <w:r>
        <w:t xml:space="preserve"> </w:t>
      </w:r>
      <w:r>
        <w:rPr>
          <w:b/>
          <w:bCs/>
        </w:rPr>
        <w:t xml:space="preserve">“X, child of Y, was slain”</w:t>
      </w:r>
      <w:hyperlink r:id="rId50">
        <w:r>
          <w:rPr>
            <w:rStyle w:val="Hyperlink"/>
          </w:rPr>
          <w:t xml:space="preserve">[30]</w:t>
        </w:r>
      </w:hyperlink>
      <w:r>
        <w:t xml:space="preserve">. In this interpretation, glyph 76 serves as</w:t>
      </w:r>
      <w:r>
        <w:t xml:space="preserve"> </w:t>
      </w:r>
      <w:r>
        <w:rPr>
          <w:b/>
          <w:bCs/>
        </w:rPr>
        <w:t xml:space="preserve">“offspring of”</w:t>
      </w:r>
      <w:r>
        <w:t xml:space="preserve"> </w:t>
      </w:r>
      <w:r>
        <w:t xml:space="preserve">(linking parent and child) and glyph 700 (ika, fish) takes the meaning</w:t>
      </w:r>
      <w:r>
        <w:t xml:space="preserve"> </w:t>
      </w:r>
      <w:r>
        <w:rPr>
          <w:b/>
          <w:bCs/>
        </w:rPr>
        <w:t xml:space="preserve">“victim” or “slain person”</w:t>
      </w:r>
      <w:hyperlink r:id="rId50">
        <w:r>
          <w:rPr>
            <w:rStyle w:val="Hyperlink"/>
          </w:rPr>
          <w:t xml:space="preserve">[30]</w:t>
        </w:r>
      </w:hyperlink>
      <w:r>
        <w:t xml:space="preserve">. This aligns with Rapa Nui idiom where defeated enemies or sacrificial victims are called “fish” (ko</w:t>
      </w:r>
      <w:r>
        <w:t xml:space="preserve"> </w:t>
      </w:r>
      <w:r>
        <w:rPr>
          <w:b/>
          <w:bCs/>
        </w:rPr>
        <w:t xml:space="preserve">ika)</w:t>
      </w:r>
      <w:hyperlink r:id="rId50">
        <w:r>
          <w:rPr>
            <w:rStyle w:val="Hyperlink"/>
          </w:rPr>
          <w:t xml:space="preserve">[30]</w:t>
        </w:r>
      </w:hyperlink>
      <w:r>
        <w:t xml:space="preserve">. The recognition of</w:t>
      </w:r>
      <w:r>
        <w:t xml:space="preserve"> </w:t>
      </w:r>
      <w:r>
        <w:rPr>
          <w:i/>
          <w:iCs/>
        </w:rPr>
        <w:t xml:space="preserve">76 + 700</w:t>
      </w:r>
      <w:r>
        <w:t xml:space="preserve"> </w:t>
      </w:r>
      <w:r>
        <w:t xml:space="preserve">as “begotten … (and) killed” resolved conflicting theories: it cemented glyph 76’s dual role in</w:t>
      </w:r>
      <w:r>
        <w:t xml:space="preserve"> </w:t>
      </w:r>
      <w:r>
        <w:rPr>
          <w:b/>
          <w:bCs/>
        </w:rPr>
        <w:t xml:space="preserve">genealogy (as “procreated by”)</w:t>
      </w:r>
      <w:r>
        <w:t xml:space="preserve"> </w:t>
      </w:r>
      <w:r>
        <w:t xml:space="preserve">vs. mythology (as literal procreation/sex in creation myths), and it confirmed glyph 700’s metaphorical meaning of</w:t>
      </w:r>
      <w:r>
        <w:t xml:space="preserve"> </w:t>
      </w:r>
      <w:r>
        <w:rPr>
          <w:b/>
          <w:bCs/>
        </w:rPr>
        <w:t xml:space="preserve">victim</w:t>
      </w:r>
      <w:r>
        <w:t xml:space="preserve"> </w:t>
      </w:r>
      <w:r>
        <w:t xml:space="preserve">in war or sacrificial contexts. This pattern appears extensively on the Staff and small Santiago tablet, explaining their repetitive structure as</w:t>
      </w:r>
      <w:r>
        <w:t xml:space="preserve"> </w:t>
      </w:r>
      <w:r>
        <w:rPr>
          <w:b/>
          <w:bCs/>
        </w:rPr>
        <w:t xml:space="preserve">lists of ancestors and their fates</w:t>
      </w:r>
      <w:r>
        <w:t xml:space="preserve">.</w:t>
      </w:r>
    </w:p>
    <w:p>
      <w:pPr>
        <w:numPr>
          <w:ilvl w:val="0"/>
          <w:numId w:val="1003"/>
        </w:numPr>
      </w:pPr>
      <w:r>
        <w:rPr>
          <w:b/>
          <w:bCs/>
        </w:rPr>
        <w:t xml:space="preserve">Cosmogonic Creation Sequence:</w:t>
      </w:r>
      <w:r>
        <w:t xml:space="preserve"> </w:t>
      </w:r>
      <w:r>
        <w:t xml:space="preserve">A striking cluster found across multiple tablets (Mamari, Great Santiago, etc.) involves the combination</w:t>
      </w:r>
      <w:r>
        <w:t xml:space="preserve"> </w:t>
      </w:r>
      <w:r>
        <w:rPr>
          <w:b/>
          <w:bCs/>
        </w:rPr>
        <w:t xml:space="preserve">606-76-700-8</w:t>
      </w:r>
      <w:hyperlink r:id="rId51">
        <w:r>
          <w:rPr>
            <w:rStyle w:val="Hyperlink"/>
          </w:rPr>
          <w:t xml:space="preserve">[31]</w:t>
        </w:r>
      </w:hyperlink>
      <w:r>
        <w:t xml:space="preserve">. Interpreted with the lexicon values, this reads as</w:t>
      </w:r>
      <w:r>
        <w:t xml:space="preserve"> </w:t>
      </w:r>
      <w:r>
        <w:rPr>
          <w:b/>
          <w:bCs/>
        </w:rPr>
        <w:t xml:space="preserve">“All birds – copulated – with fish – (and the) sun (was born)”</w:t>
      </w:r>
      <w:hyperlink r:id="rId51">
        <w:r>
          <w:rPr>
            <w:rStyle w:val="Hyperlink"/>
            <w:b/>
            <w:bCs/>
          </w:rPr>
          <w:t xml:space="preserve">[31]</w:t>
        </w:r>
      </w:hyperlink>
      <w:r>
        <w:t xml:space="preserve">. In mythic terms, it’s a metaphorical line describing a primordial mingling of creatures leading to the birth of the sun. Here, glyph 606 is the</w:t>
      </w:r>
      <w:r>
        <w:t xml:space="preserve"> </w:t>
      </w:r>
      <w:r>
        <w:rPr>
          <w:b/>
          <w:bCs/>
        </w:rPr>
        <w:t xml:space="preserve">collective “birds”</w:t>
      </w:r>
      <w:r>
        <w:t xml:space="preserve"> </w:t>
      </w:r>
      <w:r>
        <w:t xml:space="preserve">(literally a bird with the plural hand, meaning</w:t>
      </w:r>
      <w:r>
        <w:t xml:space="preserve"> </w:t>
      </w:r>
      <w:r>
        <w:rPr>
          <w:i/>
          <w:iCs/>
        </w:rPr>
        <w:t xml:space="preserve">all birds</w:t>
      </w:r>
      <w:r>
        <w:t xml:space="preserve">)</w:t>
      </w:r>
      <w:hyperlink r:id="rId52">
        <w:r>
          <w:rPr>
            <w:rStyle w:val="Hyperlink"/>
          </w:rPr>
          <w:t xml:space="preserve">[32]</w:t>
        </w:r>
      </w:hyperlink>
      <w:r>
        <w:t xml:space="preserve">, glyph 76 is “copulated” (</w:t>
      </w:r>
      <w:r>
        <w:rPr>
          <w:i/>
          <w:iCs/>
        </w:rPr>
        <w:t xml:space="preserve">‘ai</w:t>
      </w:r>
      <w:r>
        <w:t xml:space="preserve">, to beget)</w:t>
      </w:r>
      <w:hyperlink r:id="rId53">
        <w:r>
          <w:rPr>
            <w:rStyle w:val="Hyperlink"/>
          </w:rPr>
          <w:t xml:space="preserve">[33]</w:t>
        </w:r>
      </w:hyperlink>
      <w:r>
        <w:t xml:space="preserve">, glyph 700 is “fish” (symbolizing sea creatures or perhaps the</w:t>
      </w:r>
      <w:r>
        <w:t xml:space="preserve"> </w:t>
      </w:r>
      <w:r>
        <w:rPr>
          <w:i/>
          <w:iCs/>
        </w:rPr>
        <w:t xml:space="preserve">ocean</w:t>
      </w:r>
      <w:r>
        <w:t xml:space="preserve">), and glyph 8 is “sun/star” (</w:t>
      </w:r>
      <w:r>
        <w:rPr>
          <w:i/>
          <w:iCs/>
        </w:rPr>
        <w:t xml:space="preserve">ra’a</w:t>
      </w:r>
      <w:r>
        <w:t xml:space="preserve">, the sun)</w:t>
      </w:r>
      <w:hyperlink r:id="rId54">
        <w:r>
          <w:rPr>
            <w:rStyle w:val="Hyperlink"/>
          </w:rPr>
          <w:t xml:space="preserve">[34]</w:t>
        </w:r>
      </w:hyperlink>
      <w:r>
        <w:t xml:space="preserve">. This poetic cluster likely comes from a</w:t>
      </w:r>
      <w:r>
        <w:t xml:space="preserve"> </w:t>
      </w:r>
      <w:r>
        <w:rPr>
          <w:i/>
          <w:iCs/>
        </w:rPr>
        <w:t xml:space="preserve">creation chant</w:t>
      </w:r>
      <w:r>
        <w:t xml:space="preserve">. Its presence on several tablets underscores that rongorongo used</w:t>
      </w:r>
      <w:r>
        <w:t xml:space="preserve"> </w:t>
      </w:r>
      <w:r>
        <w:rPr>
          <w:b/>
          <w:bCs/>
        </w:rPr>
        <w:t xml:space="preserve">standardized mythic phrases</w:t>
      </w:r>
      <w:r>
        <w:t xml:space="preserve">. By recognizing this cluster, researchers could confidently assign or confirm meanings for each component glyph in the lexicon (especially the less obvious ones like 606 and 700) due to their consistent role in a known context.</w:t>
      </w:r>
    </w:p>
    <w:p>
      <w:pPr>
        <w:numPr>
          <w:ilvl w:val="0"/>
          <w:numId w:val="1003"/>
        </w:numPr>
      </w:pPr>
      <w:r>
        <w:rPr>
          <w:b/>
          <w:bCs/>
        </w:rPr>
        <w:t xml:space="preserve">Section Markers and Punctuation:</w:t>
      </w:r>
      <w:r>
        <w:t xml:space="preserve"> </w:t>
      </w:r>
      <w:r>
        <w:t xml:space="preserve">Through cluster and positional analysis, non-lexical glyphs were also identified – essentially</w:t>
      </w:r>
      <w:r>
        <w:t xml:space="preserve"> </w:t>
      </w:r>
      <w:r>
        <w:rPr>
          <w:b/>
          <w:bCs/>
        </w:rPr>
        <w:t xml:space="preserve">“punctuation”</w:t>
      </w:r>
      <w:r>
        <w:t xml:space="preserve"> </w:t>
      </w:r>
      <w:r>
        <w:t xml:space="preserve">or structural markers in the script. For example,</w:t>
      </w:r>
      <w:r>
        <w:t xml:space="preserve"> </w:t>
      </w:r>
      <w:r>
        <w:rPr>
          <w:b/>
          <w:bCs/>
        </w:rPr>
        <w:t xml:space="preserve">glyph 32</w:t>
      </w:r>
      <w:r>
        <w:t xml:space="preserve"> </w:t>
      </w:r>
      <w:r>
        <w:t xml:space="preserve">appears frequently at the start of sequences and is now believed to be a</w:t>
      </w:r>
      <w:r>
        <w:t xml:space="preserve"> </w:t>
      </w:r>
      <w:r>
        <w:rPr>
          <w:b/>
          <w:bCs/>
        </w:rPr>
        <w:t xml:space="preserve">section delimiter or verse marker</w:t>
      </w:r>
      <w:r>
        <w:t xml:space="preserve">. It marks boundaries between segments of text (much like a paragraph or chapter marker) and is found on multiple tablets separating songs, genealogies, or lists. Likewise, a small</w:t>
      </w:r>
      <w:r>
        <w:t xml:space="preserve"> </w:t>
      </w:r>
      <w:r>
        <w:rPr>
          <w:b/>
          <w:bCs/>
        </w:rPr>
        <w:t xml:space="preserve">star-like glyph (possibly Barthel 62)</w:t>
      </w:r>
      <w:r>
        <w:t xml:space="preserve"> </w:t>
      </w:r>
      <w:r>
        <w:t xml:space="preserve">is hypothesized to function as a</w:t>
      </w:r>
      <w:r>
        <w:t xml:space="preserve"> </w:t>
      </w:r>
      <w:r>
        <w:rPr>
          <w:b/>
          <w:bCs/>
        </w:rPr>
        <w:t xml:space="preserve">phrase break or comma</w:t>
      </w:r>
      <w:r>
        <w:t xml:space="preserve"> </w:t>
      </w:r>
      <w:r>
        <w:t xml:space="preserve">– its occurrences are rare and always in mid-sequence, suggesting a pause or separation. Identifying these structural glyphs has been crucial: they help parse the inscriptions and have been added to the lexicon (even though they carry no spoken meaning, they serve a</w:t>
      </w:r>
      <w:r>
        <w:t xml:space="preserve"> </w:t>
      </w:r>
      <w:r>
        <w:rPr>
          <w:b/>
          <w:bCs/>
        </w:rPr>
        <w:t xml:space="preserve">grammatical function</w:t>
      </w:r>
      <w:r>
        <w:t xml:space="preserve"> </w:t>
      </w:r>
      <w:r>
        <w:t xml:space="preserve">akin to punctuation). The discovery of such signs was only possible by comparing text layouts across the corpus and noting where certain glyphs consistently occur at line breaks or section ends.</w:t>
      </w:r>
    </w:p>
    <w:p>
      <w:pPr>
        <w:pStyle w:val="FirstParagraph"/>
      </w:pPr>
      <w:r>
        <w:t xml:space="preserve">Through these cluster analyses, the project was able to</w:t>
      </w:r>
      <w:r>
        <w:t xml:space="preserve"> </w:t>
      </w:r>
      <w:r>
        <w:rPr>
          <w:b/>
          <w:bCs/>
        </w:rPr>
        <w:t xml:space="preserve">cross-verify glyph meanings</w:t>
      </w:r>
      <w:r>
        <w:t xml:space="preserve"> </w:t>
      </w:r>
      <w:r>
        <w:t xml:space="preserve">and fill lexicon entries with multi-faceted definitions. Each glyph’s entry now often lists several related meanings (polysemy) corresponding to different contexts. For example, glyph 700 is</w:t>
      </w:r>
      <w:r>
        <w:t xml:space="preserve"> </w:t>
      </w:r>
      <w:r>
        <w:rPr>
          <w:b/>
          <w:bCs/>
        </w:rPr>
        <w:t xml:space="preserve">literally “fish”</w:t>
      </w:r>
      <w:r>
        <w:t xml:space="preserve"> </w:t>
      </w:r>
      <w:r>
        <w:t xml:space="preserve">in fishing or creation contexts, but</w:t>
      </w:r>
      <w:r>
        <w:t xml:space="preserve"> </w:t>
      </w:r>
      <w:r>
        <w:rPr>
          <w:b/>
          <w:bCs/>
        </w:rPr>
        <w:t xml:space="preserve">figuratively “victim”</w:t>
      </w:r>
      <w:r>
        <w:t xml:space="preserve"> </w:t>
      </w:r>
      <w:r>
        <w:t xml:space="preserve">in war chronicles</w:t>
      </w:r>
      <w:hyperlink r:id="rId50">
        <w:r>
          <w:rPr>
            <w:rStyle w:val="Hyperlink"/>
          </w:rPr>
          <w:t xml:space="preserve">[30]</w:t>
        </w:r>
      </w:hyperlink>
      <w:r>
        <w:t xml:space="preserve">. Glyph 76 can mean</w:t>
      </w:r>
      <w:r>
        <w:t xml:space="preserve"> </w:t>
      </w:r>
      <w:r>
        <w:rPr>
          <w:b/>
          <w:bCs/>
        </w:rPr>
        <w:t xml:space="preserve">“to copulate”</w:t>
      </w:r>
      <w:r>
        <w:t xml:space="preserve"> </w:t>
      </w:r>
      <w:r>
        <w:t xml:space="preserve">in a mythic or literal sense, but in genealogies it functions as</w:t>
      </w:r>
      <w:r>
        <w:t xml:space="preserve"> </w:t>
      </w:r>
      <w:r>
        <w:rPr>
          <w:b/>
          <w:bCs/>
        </w:rPr>
        <w:t xml:space="preserve">“begat/offspring of”</w:t>
      </w:r>
      <w:hyperlink r:id="rId55">
        <w:r>
          <w:rPr>
            <w:rStyle w:val="Hyperlink"/>
          </w:rPr>
          <w:t xml:space="preserve">[35]</w:t>
        </w:r>
      </w:hyperlink>
      <w:r>
        <w:t xml:space="preserve">. The lexicon captures these nuances, with context tags (creation_mythology, genealogical, etc.) indicating where each meaning applies</w:t>
      </w:r>
      <w:hyperlink r:id="rId55">
        <w:r>
          <w:rPr>
            <w:rStyle w:val="Hyperlink"/>
          </w:rPr>
          <w:t xml:space="preserve">[36]</w:t>
        </w:r>
      </w:hyperlink>
      <w:r>
        <w:t xml:space="preserve">. This comprehensive approach ensures that previously missing or ambiguous entries are now enriched with the</w:t>
      </w:r>
      <w:r>
        <w:t xml:space="preserve"> </w:t>
      </w:r>
      <w:r>
        <w:rPr>
          <w:i/>
          <w:iCs/>
        </w:rPr>
        <w:t xml:space="preserve">full semantic range</w:t>
      </w:r>
      <w:r>
        <w:t xml:space="preserve"> </w:t>
      </w:r>
      <w:r>
        <w:t xml:space="preserve">attested by the tablets.</w:t>
      </w:r>
    </w:p>
    <w:bookmarkEnd w:id="56"/>
    <w:bookmarkStart w:id="65" w:name="conclusion"/>
    <w:p>
      <w:pPr>
        <w:pStyle w:val="Heading2"/>
      </w:pPr>
      <w:r>
        <w:t xml:space="preserve">Conclusion</w:t>
      </w:r>
    </w:p>
    <w:p>
      <w:pPr>
        <w:pStyle w:val="FirstParagraph"/>
      </w:pPr>
      <w:r>
        <w:t xml:space="preserve">By integrating</w:t>
      </w:r>
      <w:r>
        <w:t xml:space="preserve"> </w:t>
      </w:r>
      <w:r>
        <w:rPr>
          <w:b/>
          <w:bCs/>
        </w:rPr>
        <w:t xml:space="preserve">new decipherments</w:t>
      </w:r>
      <w:r>
        <w:t xml:space="preserve"> </w:t>
      </w:r>
      <w:r>
        <w:t xml:space="preserve">into the lexicon and employing rigorous single-tablet and cross-tablet analyses, the once-mysterious Rongorongo script is steadily yielding its secrets. The updated lexicon entries (such as</w:t>
      </w:r>
      <w:r>
        <w:t xml:space="preserve"> </w:t>
      </w:r>
      <w:r>
        <w:rPr>
          <w:i/>
          <w:iCs/>
        </w:rPr>
        <w:t xml:space="preserve">toki</w:t>
      </w:r>
      <w:r>
        <w:t xml:space="preserve"> </w:t>
      </w:r>
      <w:r>
        <w:t xml:space="preserve">the lunar night marker,</w:t>
      </w:r>
      <w:r>
        <w:t xml:space="preserve"> </w:t>
      </w:r>
      <w:r>
        <w:rPr>
          <w:i/>
          <w:iCs/>
        </w:rPr>
        <w:t xml:space="preserve">mata</w:t>
      </w:r>
      <w:r>
        <w:t xml:space="preserve"> </w:t>
      </w:r>
      <w:r>
        <w:t xml:space="preserve">the protective eye,</w:t>
      </w:r>
      <w:r>
        <w:t xml:space="preserve"> </w:t>
      </w:r>
      <w:r>
        <w:rPr>
          <w:i/>
          <w:iCs/>
        </w:rPr>
        <w:t xml:space="preserve">Hatu</w:t>
      </w:r>
      <w:r>
        <w:t xml:space="preserve"> </w:t>
      </w:r>
      <w:r>
        <w:t xml:space="preserve">the creator, etc.) are backed by evidence from the tablets themselves and Rapa Nui cultural knowledge. We have seen how examining a</w:t>
      </w:r>
      <w:r>
        <w:t xml:space="preserve"> </w:t>
      </w:r>
      <w:r>
        <w:rPr>
          <w:b/>
          <w:bCs/>
        </w:rPr>
        <w:t xml:space="preserve">single tablet’s structure</w:t>
      </w:r>
      <w:r>
        <w:t xml:space="preserve"> </w:t>
      </w:r>
      <w:r>
        <w:t xml:space="preserve">can reveal a glyph’s meaning in context (e.g. the identification of</w:t>
      </w:r>
      <w:r>
        <w:t xml:space="preserve"> </w:t>
      </w:r>
      <w:r>
        <w:rPr>
          <w:i/>
          <w:iCs/>
        </w:rPr>
        <w:t xml:space="preserve">ariki</w:t>
      </w:r>
      <w:r>
        <w:t xml:space="preserve"> </w:t>
      </w:r>
      <w:r>
        <w:t xml:space="preserve">on Tablet B</w:t>
      </w:r>
      <w:hyperlink r:id="rId42">
        <w:r>
          <w:rPr>
            <w:rStyle w:val="Hyperlink"/>
          </w:rPr>
          <w:t xml:space="preserve">[23]</w:t>
        </w:r>
      </w:hyperlink>
      <w:r>
        <w:t xml:space="preserve">), and how</w:t>
      </w:r>
      <w:r>
        <w:t xml:space="preserve"> </w:t>
      </w:r>
      <w:r>
        <w:rPr>
          <w:b/>
          <w:bCs/>
        </w:rPr>
        <w:t xml:space="preserve">recurring glyph clusters</w:t>
      </w:r>
      <w:r>
        <w:t xml:space="preserve"> </w:t>
      </w:r>
      <w:r>
        <w:t xml:space="preserve">across the corpus confirm complex phrases (like the genealogical “fish list” formula</w:t>
      </w:r>
      <w:hyperlink r:id="rId50">
        <w:r>
          <w:rPr>
            <w:rStyle w:val="Hyperlink"/>
          </w:rPr>
          <w:t xml:space="preserve">[30]</w:t>
        </w:r>
      </w:hyperlink>
      <w:r>
        <w:t xml:space="preserve"> </w:t>
      </w:r>
      <w:r>
        <w:t xml:space="preserve">and creation sequences</w:t>
      </w:r>
      <w:hyperlink r:id="rId51">
        <w:r>
          <w:rPr>
            <w:rStyle w:val="Hyperlink"/>
          </w:rPr>
          <w:t xml:space="preserve">[31]</w:t>
        </w:r>
      </w:hyperlink>
      <w:r>
        <w:t xml:space="preserve">).</w:t>
      </w:r>
    </w:p>
    <w:p>
      <w:pPr>
        <w:pStyle w:val="BodyText"/>
      </w:pPr>
      <w:r>
        <w:t xml:space="preserve">All of these findings have been documented in the research archives and are reflected in the</w:t>
      </w:r>
      <w:r>
        <w:t xml:space="preserve"> </w:t>
      </w:r>
      <w:r>
        <w:rPr>
          <w:b/>
          <w:bCs/>
        </w:rPr>
        <w:t xml:space="preserve">Master Rongorongo Lexicon</w:t>
      </w:r>
      <w:r>
        <w:t xml:space="preserve"> </w:t>
      </w:r>
      <w:r>
        <w:t xml:space="preserve">(latest version). Dozens of previously “undeciphered” glyphs now have entries with transliterations, meanings, confidence levels, and source references. According to the project’s latest count, over</w:t>
      </w:r>
      <w:r>
        <w:t xml:space="preserve"> </w:t>
      </w:r>
      <w:r>
        <w:rPr>
          <w:b/>
          <w:bCs/>
        </w:rPr>
        <w:t xml:space="preserve">85% of the 700+ glyphs</w:t>
      </w:r>
      <w:r>
        <w:t xml:space="preserve"> </w:t>
      </w:r>
      <w:r>
        <w:t xml:space="preserve">have at least a provisional identification, and ~300 of those are considered high-confidence determinations</w:t>
      </w:r>
      <w:hyperlink r:id="rId57">
        <w:r>
          <w:rPr>
            <w:rStyle w:val="Hyperlink"/>
          </w:rPr>
          <w:t xml:space="preserve">[37]</w:t>
        </w:r>
      </w:hyperlink>
      <w:hyperlink r:id="rId58">
        <w:r>
          <w:rPr>
            <w:rStyle w:val="Hyperlink"/>
          </w:rPr>
          <w:t xml:space="preserve">[38]</w:t>
        </w:r>
      </w:hyperlink>
      <w:r>
        <w:t xml:space="preserve">.</w:t>
      </w:r>
    </w:p>
    <w:p>
      <w:pPr>
        <w:pStyle w:val="BodyText"/>
      </w:pPr>
      <w:r>
        <w:t xml:space="preserve">While some rare glyphs (e.g. ones with very few occurrences like #820, #830, etc.) remain only partially understood or await further confirmation, the overall picture is clearer than ever. The Rongorongo script, once an enigma, can now be read as a rich tapestry of</w:t>
      </w:r>
      <w:r>
        <w:t xml:space="preserve"> </w:t>
      </w:r>
      <w:r>
        <w:rPr>
          <w:b/>
          <w:bCs/>
        </w:rPr>
        <w:t xml:space="preserve">genealogies, prayers, voyages, and cosmic lists</w:t>
      </w:r>
      <w:r>
        <w:t xml:space="preserve"> </w:t>
      </w:r>
      <w:r>
        <w:t xml:space="preserve">– a true literary record of Rapa Nui. Each new entry filled in the lexicon is another piece of that puzzle falling into place, bringing us closer to a full decipherment. The ongoing combination of lexicon building, detailed tablet analysis, and comparative cluster studies exemplifies the successful methodology that cracked this code</w:t>
      </w:r>
      <w:hyperlink r:id="rId59">
        <w:r>
          <w:rPr>
            <w:rStyle w:val="Hyperlink"/>
          </w:rPr>
          <w:t xml:space="preserve">[39]</w:t>
        </w:r>
      </w:hyperlink>
      <w:hyperlink r:id="rId60">
        <w:r>
          <w:rPr>
            <w:rStyle w:val="Hyperlink"/>
          </w:rPr>
          <w:t xml:space="preserve">[40]</w:t>
        </w:r>
      </w:hyperlink>
      <w:r>
        <w:t xml:space="preserve">, finally giving voice to the wooden glyphs of Easter Island after centuries of silence.</w:t>
      </w:r>
    </w:p>
    <w:p>
      <w:pPr>
        <w:pStyle w:val="BodyText"/>
      </w:pPr>
      <w:r>
        <w:rPr>
          <w:b/>
          <w:bCs/>
        </w:rPr>
        <w:t xml:space="preserve">Sources:</w:t>
      </w:r>
    </w:p>
    <w:p>
      <w:pPr>
        <w:pStyle w:val="Compact"/>
        <w:numPr>
          <w:ilvl w:val="0"/>
          <w:numId w:val="1004"/>
        </w:numPr>
      </w:pPr>
      <w:r>
        <w:t xml:space="preserve">Lackadaisical Security Rongorongo Research Archive –</w:t>
      </w:r>
      <w:r>
        <w:t xml:space="preserve"> </w:t>
      </w:r>
      <w:r>
        <w:rPr>
          <w:i/>
          <w:iCs/>
        </w:rPr>
        <w:t xml:space="preserve">Comprehensive glyph analysis documents and lexicon data</w:t>
      </w:r>
      <w:hyperlink r:id="rId61">
        <w:r>
          <w:rPr>
            <w:rStyle w:val="Hyperlink"/>
          </w:rPr>
          <w:t xml:space="preserve">[41]</w:t>
        </w:r>
      </w:hyperlink>
      <w:hyperlink r:id="rId62">
        <w:r>
          <w:rPr>
            <w:rStyle w:val="Hyperlink"/>
          </w:rPr>
          <w:t xml:space="preserve">[42]</w:t>
        </w:r>
      </w:hyperlink>
      <w:hyperlink r:id="rId50">
        <w:r>
          <w:rPr>
            <w:rStyle w:val="Hyperlink"/>
          </w:rPr>
          <w:t xml:space="preserve">[30]</w:t>
        </w:r>
      </w:hyperlink>
      <w:r>
        <w:t xml:space="preserve">.</w:t>
      </w:r>
    </w:p>
    <w:p>
      <w:pPr>
        <w:pStyle w:val="Compact"/>
        <w:numPr>
          <w:ilvl w:val="0"/>
          <w:numId w:val="1004"/>
        </w:numPr>
      </w:pPr>
      <w:r>
        <w:t xml:space="preserve">Aruku Kurenga “Three-Voyage” Decipherment –</w:t>
      </w:r>
      <w:r>
        <w:t xml:space="preserve"> </w:t>
      </w:r>
      <w:r>
        <w:rPr>
          <w:i/>
          <w:iCs/>
        </w:rPr>
        <w:t xml:space="preserve">Breakthrough report on Tablet B</w:t>
      </w:r>
      <w:hyperlink r:id="rId41">
        <w:r>
          <w:rPr>
            <w:rStyle w:val="Hyperlink"/>
          </w:rPr>
          <w:t xml:space="preserve">[43]</w:t>
        </w:r>
      </w:hyperlink>
      <w:hyperlink r:id="rId42">
        <w:r>
          <w:rPr>
            <w:rStyle w:val="Hyperlink"/>
          </w:rPr>
          <w:t xml:space="preserve">[23]</w:t>
        </w:r>
      </w:hyperlink>
      <w:r>
        <w:t xml:space="preserve">.</w:t>
      </w:r>
    </w:p>
    <w:p>
      <w:pPr>
        <w:pStyle w:val="Compact"/>
        <w:numPr>
          <w:ilvl w:val="0"/>
          <w:numId w:val="1004"/>
        </w:numPr>
      </w:pPr>
      <w:r>
        <w:t xml:space="preserve">Rongorongo Lexicon Database –</w:t>
      </w:r>
      <w:r>
        <w:t xml:space="preserve"> </w:t>
      </w:r>
      <w:r>
        <w:rPr>
          <w:i/>
          <w:iCs/>
        </w:rPr>
        <w:t xml:space="preserve">Interactive glyph entries for 63 (toki), 110 (mata), 149 (Hatu), 200 (ariki), etc.</w:t>
      </w:r>
      <w:hyperlink r:id="rId21">
        <w:r>
          <w:rPr>
            <w:rStyle w:val="Hyperlink"/>
          </w:rPr>
          <w:t xml:space="preserve">[1]</w:t>
        </w:r>
      </w:hyperlink>
      <w:hyperlink r:id="rId23">
        <w:r>
          <w:rPr>
            <w:rStyle w:val="Hyperlink"/>
          </w:rPr>
          <w:t xml:space="preserve">[3]</w:t>
        </w:r>
      </w:hyperlink>
      <w:hyperlink r:id="rId25">
        <w:r>
          <w:rPr>
            <w:rStyle w:val="Hyperlink"/>
          </w:rPr>
          <w:t xml:space="preserve">[6]</w:t>
        </w:r>
      </w:hyperlink>
      <w:hyperlink r:id="rId63">
        <w:r>
          <w:rPr>
            <w:rStyle w:val="Hyperlink"/>
          </w:rPr>
          <w:t xml:space="preserve">[44]</w:t>
        </w:r>
      </w:hyperlink>
      <w:r>
        <w:t xml:space="preserve">.</w:t>
      </w:r>
    </w:p>
    <w:p>
      <w:pPr>
        <w:pStyle w:val="Compact"/>
        <w:numPr>
          <w:ilvl w:val="0"/>
          <w:numId w:val="1004"/>
        </w:numPr>
      </w:pPr>
      <w:r>
        <w:t xml:space="preserve">Cross-Tablet Synthesis (2025) –</w:t>
      </w:r>
      <w:r>
        <w:t xml:space="preserve"> </w:t>
      </w:r>
      <w:r>
        <w:rPr>
          <w:i/>
          <w:iCs/>
        </w:rPr>
        <w:t xml:space="preserve">Phase analysis of genealogical lists and creation sequences</w:t>
      </w:r>
      <w:hyperlink r:id="rId50">
        <w:r>
          <w:rPr>
            <w:rStyle w:val="Hyperlink"/>
          </w:rPr>
          <w:t xml:space="preserve">[30]</w:t>
        </w:r>
      </w:hyperlink>
      <w:hyperlink r:id="rId51">
        <w:r>
          <w:rPr>
            <w:rStyle w:val="Hyperlink"/>
          </w:rPr>
          <w:t xml:space="preserve">[31]</w:t>
        </w:r>
      </w:hyperlink>
      <w:r>
        <w:t xml:space="preserve">.</w:t>
      </w:r>
    </w:p>
    <w:p>
      <w:pPr>
        <w:pStyle w:val="Compact"/>
        <w:numPr>
          <w:ilvl w:val="0"/>
          <w:numId w:val="1004"/>
        </w:numPr>
      </w:pPr>
      <w:r>
        <w:t xml:space="preserve">External Scholarship (Barthel, Pozdniakov, Fischer, Guy, Rjabchikov) –</w:t>
      </w:r>
      <w:r>
        <w:t xml:space="preserve"> </w:t>
      </w:r>
      <w:r>
        <w:rPr>
          <w:i/>
          <w:iCs/>
        </w:rPr>
        <w:t xml:space="preserve">Correlations used for validation of glyph meanings</w:t>
      </w:r>
      <w:hyperlink r:id="rId22">
        <w:r>
          <w:rPr>
            <w:rStyle w:val="Hyperlink"/>
          </w:rPr>
          <w:t xml:space="preserve">[2]</w:t>
        </w:r>
      </w:hyperlink>
      <w:hyperlink r:id="rId64">
        <w:r>
          <w:rPr>
            <w:rStyle w:val="Hyperlink"/>
          </w:rPr>
          <w:t xml:space="preserve">[45]</w:t>
        </w:r>
      </w:hyperlink>
      <w:r>
        <w:t xml:space="preserve">.</w:t>
      </w:r>
    </w:p>
    <w:bookmarkEnd w:id="65"/>
    <w:bookmarkEnd w:id="66"/>
    <w:bookmarkEnd w:id="67"/>
    <w:p>
      <w:r>
        <w:pict>
          <v:rect style="width:0;height:1.5pt" o:hralign="center" o:hrstd="t" o:hr="t"/>
        </w:pict>
      </w:r>
    </w:p>
    <w:bookmarkStart w:id="79" w:name="citations"/>
    <w:p>
      <w:pPr>
        <w:pStyle w:val="FirstParagraph"/>
      </w:pPr>
      <w:hyperlink r:id="rId21">
        <w:r>
          <w:rPr>
            <w:rStyle w:val="Hyperlink"/>
          </w:rPr>
          <w:t xml:space="preserve">[1]</w:t>
        </w:r>
      </w:hyperlink>
      <w:r>
        <w:t xml:space="preserve"> </w:t>
      </w:r>
      <w:r>
        <w:t xml:space="preserve">Glyph 63: toki (adze/lunar night marker) - Rongorongo Lexicon | Lackadaisical Security</w:t>
      </w:r>
    </w:p>
    <w:p>
      <w:pPr>
        <w:pStyle w:val="BodyText"/>
      </w:pPr>
      <w:hyperlink r:id="rId68">
        <w:r>
          <w:rPr>
            <w:rStyle w:val="Hyperlink"/>
          </w:rPr>
          <w:t xml:space="preserve">https://lackadaisical-security.com/rongorongo-research/glyph-063.html</w:t>
        </w:r>
      </w:hyperlink>
    </w:p>
    <w:p>
      <w:pPr>
        <w:pStyle w:val="BodyText"/>
      </w:pPr>
      <w:hyperlink r:id="rId22">
        <w:r>
          <w:rPr>
            <w:rStyle w:val="Hyperlink"/>
          </w:rPr>
          <w:t xml:space="preserve">[2]</w:t>
        </w:r>
      </w:hyperlink>
      <w:r>
        <w:t xml:space="preserve"> </w:t>
      </w:r>
      <w:r>
        <w:t xml:space="preserve">(PDF) The Rongorongo Inscriptions and the Polynesian Mythology</w:t>
      </w:r>
    </w:p>
    <w:p>
      <w:pPr>
        <w:pStyle w:val="BodyText"/>
      </w:pPr>
      <w:hyperlink r:id="rId69">
        <w:r>
          <w:rPr>
            <w:rStyle w:val="Hyperlink"/>
          </w:rPr>
          <w:t xml:space="preserve">https://www.academia.edu/48907911/The_Rongorongo_Inscriptions_and_the_Polynesian_Mythology</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3">
        <w:r>
          <w:rPr>
            <w:rStyle w:val="Hyperlink"/>
          </w:rPr>
          <w:t xml:space="preserve">[5]</w:t>
        </w:r>
      </w:hyperlink>
      <w:r>
        <w:t xml:space="preserve"> </w:t>
      </w:r>
      <w:r>
        <w:t xml:space="preserve">Glyph 110: mata (oversight/protection) - Rongorongo Lexicon | Lackadaisical Security</w:t>
      </w:r>
    </w:p>
    <w:p>
      <w:pPr>
        <w:pStyle w:val="BodyText"/>
      </w:pPr>
      <w:hyperlink r:id="rId70">
        <w:r>
          <w:rPr>
            <w:rStyle w:val="Hyperlink"/>
          </w:rPr>
          <w:t xml:space="preserve">https://lackadaisical-security.com/rongorongo-research/glyph-110.html</w:t>
        </w:r>
      </w:hyperlink>
    </w:p>
    <w:p>
      <w:pPr>
        <w:pStyle w:val="BodyText"/>
      </w:pPr>
      <w:hyperlink r:id="rId25">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r>
        <w:t xml:space="preserve">Glyph 149: Hatu (The Creator / Te Mata o Hotu) - Rongorongo Lexicon | Lackadaisical Security</w:t>
      </w:r>
    </w:p>
    <w:p>
      <w:pPr>
        <w:pStyle w:val="BodyText"/>
      </w:pPr>
      <w:hyperlink r:id="rId71">
        <w:r>
          <w:rPr>
            <w:rStyle w:val="Hyperlink"/>
          </w:rPr>
          <w:t xml:space="preserve">https://lackadaisical-security.com/rongorongo-research/glyph-149.html</w:t>
        </w:r>
      </w:hyperlink>
    </w:p>
    <w:p>
      <w:pPr>
        <w:pStyle w:val="BodyText"/>
      </w:pP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28">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41">
        <w:r>
          <w:rPr>
            <w:rStyle w:val="Hyperlink"/>
          </w:rPr>
          <w:t xml:space="preserve">[43]</w:t>
        </w:r>
      </w:hyperlink>
      <w:r>
        <w:t xml:space="preserve"> </w:t>
      </w:r>
      <w:r>
        <w:t xml:space="preserve"> </w:t>
      </w:r>
      <w:r>
        <w:t xml:space="preserve">BREAKTHROUGH: Aruku Kurenga Tablet Decipherment - Rongorongo Research | Lackadaisical Security</w:t>
      </w:r>
    </w:p>
    <w:p>
      <w:pPr>
        <w:pStyle w:val="BodyText"/>
      </w:pPr>
      <w:hyperlink r:id="rId72">
        <w:r>
          <w:rPr>
            <w:rStyle w:val="Hyperlink"/>
          </w:rPr>
          <w:t xml:space="preserve">https://lackadaisical-security.com/rongorongo-research/rongorongo17.html</w:t>
        </w:r>
      </w:hyperlink>
    </w:p>
    <w:p>
      <w:pPr>
        <w:pStyle w:val="BodyText"/>
      </w:pPr>
      <w:hyperlink r:id="rId31">
        <w:r>
          <w:rPr>
            <w:rStyle w:val="Hyperlink"/>
          </w:rPr>
          <w:t xml:space="preserve">[12]</w:t>
        </w:r>
      </w:hyperlink>
      <w:r>
        <w:t xml:space="preserve"> </w:t>
      </w:r>
      <w:hyperlink r:id="rId32">
        <w:r>
          <w:rPr>
            <w:rStyle w:val="Hyperlink"/>
          </w:rPr>
          <w:t xml:space="preserve">[13]</w:t>
        </w:r>
      </w:hyperlink>
      <w:r>
        <w:t xml:space="preserve"> </w:t>
      </w:r>
      <w:r>
        <w:t xml:space="preserve"> </w:t>
      </w:r>
      <w:r>
        <w:t xml:space="preserve">Lexicon Search &amp; Browse - Rongorongo Database | Lackadaisical Security</w:t>
      </w:r>
    </w:p>
    <w:p>
      <w:pPr>
        <w:pStyle w:val="BodyText"/>
      </w:pPr>
      <w:hyperlink r:id="rId73">
        <w:r>
          <w:rPr>
            <w:rStyle w:val="Hyperlink"/>
          </w:rPr>
          <w:t xml:space="preserve">https://lackadaisical-security.com/rongorongo-research/lexicon-search.html?q=tentacle</w:t>
        </w:r>
      </w:hyperlink>
    </w:p>
    <w:p>
      <w:pPr>
        <w:pStyle w:val="BodyText"/>
      </w:pPr>
      <w:hyperlink r:id="rId33">
        <w:r>
          <w:rPr>
            <w:rStyle w:val="Hyperlink"/>
          </w:rPr>
          <w:t xml:space="preserve">[14]</w:t>
        </w:r>
      </w:hyperlink>
      <w:r>
        <w:t xml:space="preserve"> </w:t>
      </w:r>
      <w:r>
        <w:t xml:space="preserve">Glyph 068: honu (sacred sea turtle) - Rongorongo Lexicon | Lackadaisical Security</w:t>
      </w:r>
    </w:p>
    <w:p>
      <w:pPr>
        <w:pStyle w:val="BodyText"/>
      </w:pPr>
      <w:hyperlink r:id="rId74">
        <w:r>
          <w:rPr>
            <w:rStyle w:val="Hyperlink"/>
          </w:rPr>
          <w:t xml:space="preserve">https://lackadaisical-security.com/rongorongo-research/glyph-068.html</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64">
        <w:r>
          <w:rPr>
            <w:rStyle w:val="Hyperlink"/>
          </w:rPr>
          <w:t xml:space="preserve">[45]</w:t>
        </w:r>
      </w:hyperlink>
      <w:r>
        <w:t xml:space="preserve"> </w:t>
      </w:r>
      <w:r>
        <w:t xml:space="preserve">Correlating the Deciphered Lunar Calendar with Rongorongo Glyphs - Rongorongo Decipherment Research | Lackadaisical Security</w:t>
      </w:r>
    </w:p>
    <w:p>
      <w:pPr>
        <w:pStyle w:val="BodyText"/>
      </w:pPr>
      <w:hyperlink r:id="rId75">
        <w:r>
          <w:rPr>
            <w:rStyle w:val="Hyperlink"/>
          </w:rPr>
          <w:t xml:space="preserve">https://lackadaisical-security.com/rongorongo-research/rongorongo2.html</w:t>
        </w:r>
      </w:hyperlink>
    </w:p>
    <w:p>
      <w:pPr>
        <w:pStyle w:val="BodyText"/>
      </w:pPr>
      <w:hyperlink r:id="rId40">
        <w:r>
          <w:rPr>
            <w:rStyle w:val="Hyperlink"/>
          </w:rPr>
          <w:t xml:space="preserve">[20]</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5">
        <w:r>
          <w:rPr>
            <w:rStyle w:val="Hyperlink"/>
          </w:rPr>
          <w:t xml:space="preserve">[35]</w:t>
        </w:r>
      </w:hyperlink>
      <w:r>
        <w:t xml:space="preserve"> </w:t>
      </w:r>
      <w:hyperlink r:id="rId55">
        <w:r>
          <w:rPr>
            <w:rStyle w:val="Hyperlink"/>
          </w:rPr>
          <w:t xml:space="preserve">[36]</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r>
        <w:t xml:space="preserve">Comprehensive Analysis of Rongorongo Tablets: Keiti and Beyond - Rongorongo Decipherment Research | Lackadaisical Security</w:t>
      </w:r>
    </w:p>
    <w:p>
      <w:pPr>
        <w:pStyle w:val="BodyText"/>
      </w:pPr>
      <w:hyperlink r:id="rId76">
        <w:r>
          <w:rPr>
            <w:rStyle w:val="Hyperlink"/>
          </w:rPr>
          <w:t xml:space="preserve">https://lackadaisical-security.com/rongorongo-research/rongorongo24.html</w:t>
        </w:r>
      </w:hyperlink>
    </w:p>
    <w:p>
      <w:pPr>
        <w:pStyle w:val="BodyText"/>
      </w:pPr>
      <w:hyperlink r:id="rId57">
        <w:r>
          <w:rPr>
            <w:rStyle w:val="Hyperlink"/>
          </w:rPr>
          <w:t xml:space="preserve">[37]</w:t>
        </w:r>
      </w:hyperlink>
      <w:r>
        <w:t xml:space="preserve"> </w:t>
      </w:r>
      <w:hyperlink r:id="rId58">
        <w:r>
          <w:rPr>
            <w:rStyle w:val="Hyperlink"/>
          </w:rPr>
          <w:t xml:space="preserve">[38]</w:t>
        </w:r>
      </w:hyperlink>
      <w:r>
        <w:t xml:space="preserve"> </w:t>
      </w:r>
      <w:r>
        <w:t xml:space="preserve">⭐ Rongorongo Glyph Lexicon - Interactive Database | Lackadaisical Security</w:t>
      </w:r>
    </w:p>
    <w:p>
      <w:pPr>
        <w:pStyle w:val="BodyText"/>
      </w:pPr>
      <w:hyperlink r:id="rId77">
        <w:r>
          <w:rPr>
            <w:rStyle w:val="Hyperlink"/>
          </w:rPr>
          <w:t xml:space="preserve">https://lackadaisical-security.com/rongorongo-research/lexicon-index.html</w:t>
        </w:r>
      </w:hyperlink>
    </w:p>
    <w:p>
      <w:pPr>
        <w:pStyle w:val="BodyText"/>
      </w:pPr>
      <w:hyperlink r:id="rId63">
        <w:r>
          <w:rPr>
            <w:rStyle w:val="Hyperlink"/>
          </w:rPr>
          <w:t xml:space="preserve">[44]</w:t>
        </w:r>
      </w:hyperlink>
      <w:r>
        <w:t xml:space="preserve"> </w:t>
      </w:r>
      <w:r>
        <w:t xml:space="preserve">Glyph 200: ariki ('king' (ariki henua) supreme authority) - Rongorongo Lexicon | Lackadaisical Security</w:t>
      </w:r>
    </w:p>
    <w:p>
      <w:pPr>
        <w:pStyle w:val="BodyText"/>
      </w:pPr>
      <w:hyperlink r:id="rId78">
        <w:r>
          <w:rPr>
            <w:rStyle w:val="Hyperlink"/>
          </w:rPr>
          <w:t xml:space="preserve">https://lackadaisical-security.com/rongorongo-research/glyph-200.html</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lackadaisical-security.com/rongorongo-research/glyph-063.html" TargetMode="External" /><Relationship Type="http://schemas.openxmlformats.org/officeDocument/2006/relationships/hyperlink" Id="rId21" Target="https://lackadaisical-security.com/rongorongo-research/glyph-063.html#:~:text=31%20repetitions%20in%20Keiti%20lunar,calendar" TargetMode="External" /><Relationship Type="http://schemas.openxmlformats.org/officeDocument/2006/relationships/hyperlink" Id="rId74" Target="https://lackadaisical-security.com/rongorongo-research/glyph-068.html" TargetMode="External" /><Relationship Type="http://schemas.openxmlformats.org/officeDocument/2006/relationships/hyperlink" Id="rId33" Target="https://lackadaisical-security.com/rongorongo-research/glyph-068.html#:~:text=The%20sacred%20sea%20turtle%20%28,mythological%20contexts%20with%2041%20occurrences" TargetMode="External" /><Relationship Type="http://schemas.openxmlformats.org/officeDocument/2006/relationships/hyperlink" Id="rId70" Target="https://lackadaisical-security.com/rongorongo-research/glyph-110.html" TargetMode="External" /><Relationship Type="http://schemas.openxmlformats.org/officeDocument/2006/relationships/hyperlink" Id="rId23" Target="https://lackadaisical-security.com/rongorongo-research/glyph-110.html#:~:text=%EF%B8%8F%20Protective%20surveillance%20glyph" TargetMode="External" /><Relationship Type="http://schemas.openxmlformats.org/officeDocument/2006/relationships/hyperlink" Id="rId24" Target="https://lackadaisical-security.com/rongorongo-research/glyph-110.html#:~:text=Additional%20Research%20Notes%3A" TargetMode="External" /><Relationship Type="http://schemas.openxmlformats.org/officeDocument/2006/relationships/hyperlink" Id="rId71" Target="https://lackadaisical-security.com/rongorongo-research/glyph-149.html" TargetMode="External" /><Relationship Type="http://schemas.openxmlformats.org/officeDocument/2006/relationships/hyperlink" Id="rId27" Target="https://lackadaisical-security.com/rongorongo-research/glyph-149.html#:~:text=%E2%80%A2%20References%20Hatu%20,the%20face%20the%20light" TargetMode="External" /><Relationship Type="http://schemas.openxmlformats.org/officeDocument/2006/relationships/hyperlink" Id="rId25" Target="https://lackadaisical-security.com/rongorongo-research/glyph-149.html#:~:text=%E2%9C%A8%20Sacred%20Creator%20Deity" TargetMode="External" /><Relationship Type="http://schemas.openxmlformats.org/officeDocument/2006/relationships/hyperlink" Id="rId26" Target="https://lackadaisical-security.com/rongorongo-research/glyph-149.html#:~:text=,%E2%80%93%20August%20Research" TargetMode="External" /><Relationship Type="http://schemas.openxmlformats.org/officeDocument/2006/relationships/hyperlink" Id="rId78" Target="https://lackadaisical-security.com/rongorongo-research/glyph-200.html" TargetMode="External" /><Relationship Type="http://schemas.openxmlformats.org/officeDocument/2006/relationships/hyperlink" Id="rId63" Target="https://lackadaisical-security.com/rongorongo-research/glyph-200.html#:~:text=High,genealogical%20chains%20as%20title%2Fstatus%20marker" TargetMode="External" /><Relationship Type="http://schemas.openxmlformats.org/officeDocument/2006/relationships/hyperlink" Id="rId77" Target="https://lackadaisical-security.com/rongorongo-research/lexicon-index.html" TargetMode="External" /><Relationship Type="http://schemas.openxmlformats.org/officeDocument/2006/relationships/hyperlink" Id="rId58" Target="https://lackadaisical-security.com/rongorongo-research/lexicon-index.html#:~:text=Featured%20glyphs%20with%20confidence%20scores,including%20recently%20updated%20pages" TargetMode="External" /><Relationship Type="http://schemas.openxmlformats.org/officeDocument/2006/relationships/hyperlink" Id="rId57" Target="https://lackadaisical-security.com/rongorongo-research/lexicon-index.html#:~:text=The%20most%20comprehensive%20digital%20collection,usage%20contexts%2C%20and%20tablet%20occurrences" TargetMode="External" /><Relationship Type="http://schemas.openxmlformats.org/officeDocument/2006/relationships/hyperlink" Id="rId73" Target="https://lackadaisical-security.com/rongorongo-research/lexicon-search.html?q=tentacle" TargetMode="External" /><Relationship Type="http://schemas.openxmlformats.org/officeDocument/2006/relationships/hyperlink" Id="rId31" Target="https://lackadaisical-security.com/rongorongo-research/lexicon-search.html?q=tentacle#:~:text=Glyph%20001" TargetMode="External" /><Relationship Type="http://schemas.openxmlformats.org/officeDocument/2006/relationships/hyperlink" Id="rId32" Target="https://lackadaisical-security.com/rongorongo-research/lexicon-search.html?q=tentacle#:~:text=Glyph%20006" TargetMode="External" /><Relationship Type="http://schemas.openxmlformats.org/officeDocument/2006/relationships/hyperlink" Id="rId72" Target="https://lackadaisical-security.com/rongorongo-research/rongorongo17.html" TargetMode="External" /><Relationship Type="http://schemas.openxmlformats.org/officeDocument/2006/relationships/hyperlink" Id="rId42" Target="https://lackadaisical-security.com/rongorongo-research/rongorongo17.html#:~:text=,Third%20Voyage" TargetMode="External" /><Relationship Type="http://schemas.openxmlformats.org/officeDocument/2006/relationships/hyperlink" Id="rId30" Target="https://lackadaisical-security.com/rongorongo-research/rongorongo17.html#:~:text=600%20,means%20a%20flock%20of%20birds" TargetMode="External" /><Relationship Type="http://schemas.openxmlformats.org/officeDocument/2006/relationships/hyperlink" Id="rId52" Target="https://lackadaisical-security.com/rongorongo-research/rongorongo17.html#:~:text=600%20,often%20a" TargetMode="External" /><Relationship Type="http://schemas.openxmlformats.org/officeDocument/2006/relationships/hyperlink" Id="rId54" Target="https://lackadaisical-security.com/rongorongo-research/rongorongo17.html#:~:text=8%20,A%20genealogical" TargetMode="External" /><Relationship Type="http://schemas.openxmlformats.org/officeDocument/2006/relationships/hyperlink" Id="rId38" Target="https://lackadaisical-security.com/rongorongo-research/rongorongo17.html#:~:text=Aruku%20Kurenga%27s%20text%20is%20organized,oral%20tradition%20of%20Easter%20Island" TargetMode="External" /><Relationship Type="http://schemas.openxmlformats.org/officeDocument/2006/relationships/hyperlink" Id="rId29" Target="https://lackadaisical-security.com/rongorongo-research/rongorongo17.html#:~:text=Notably%2C%20this%20glyph%20is%20treated,addition%20in%20this%20second%20voyage" TargetMode="External" /><Relationship Type="http://schemas.openxmlformats.org/officeDocument/2006/relationships/hyperlink" Id="rId41" Target="https://lackadaisical-security.com/rongorongo-research/rongorongo17.html#:~:text=Notably%2C%20this%20glyph%20is%20treated,was%20buried%20in%20a%20cave" TargetMode="External" /><Relationship Type="http://schemas.openxmlformats.org/officeDocument/2006/relationships/hyperlink" Id="rId39" Target="https://lackadaisical-security.com/rongorongo-research/rongorongo17.html#:~:text=The%20Aruku%20Kurenga%27s%20first%20sequence,to%20signify%20Anakena" TargetMode="External" /><Relationship Type="http://schemas.openxmlformats.org/officeDocument/2006/relationships/hyperlink" Id="rId28" Target="https://lackadaisical-security.com/rongorongo-research/rongorongo17.html#:~:text=different%20constant%20glyph%20,the%20youths%2Fdescendants" TargetMode="External" /><Relationship Type="http://schemas.openxmlformats.org/officeDocument/2006/relationships/hyperlink" Id="rId53" Target="https://lackadaisical-security.com/rongorongo-research/rongorongo17.html#:~:text=flock%20of%20birds,those%20sections%20aren%27t%20enumerating%20lineage" TargetMode="External" /><Relationship Type="http://schemas.openxmlformats.org/officeDocument/2006/relationships/hyperlink" Id="rId75" Target="https://lackadaisical-security.com/rongorongo-research/rongorongo2.html" TargetMode="External" /><Relationship Type="http://schemas.openxmlformats.org/officeDocument/2006/relationships/hyperlink" Id="rId37" Target="https://lackadaisical-security.com/rongorongo-research/rongorongo2.html#:~:text=Another%20striking%20example%20is%20night,like" TargetMode="External" /><Relationship Type="http://schemas.openxmlformats.org/officeDocument/2006/relationships/hyperlink" Id="rId64" Target="https://lackadaisical-security.com/rongorongo-research/rongorongo2.html#:~:text=Glyphs%20for%20Lunar%20Phases%20and,in%20the%20cycle%2C%20the%20last" TargetMode="External" /><Relationship Type="http://schemas.openxmlformats.org/officeDocument/2006/relationships/hyperlink" Id="rId36" Target="https://lackadaisical-security.com/rongorongo-research/rongorongo2.html#:~:text=Glyphs%20for%20Lunar%20Phases%20and,moon%20%E2%80%93%20these%20likely%20denote" TargetMode="External" /><Relationship Type="http://schemas.openxmlformats.org/officeDocument/2006/relationships/hyperlink" Id="rId35" Target="https://lackadaisical-security.com/rongorongo-research/rongorongo2.html#:~:text=Mamari%27s%20Calendar%20Sequence%3A%20On%20the,dark%20moon" TargetMode="External" /><Relationship Type="http://schemas.openxmlformats.org/officeDocument/2006/relationships/hyperlink" Id="rId76" Target="https://lackadaisical-security.com/rongorongo-research/rongorongo24.html" TargetMode="External" /><Relationship Type="http://schemas.openxmlformats.org/officeDocument/2006/relationships/hyperlink" Id="rId51" Target="https://lackadaisical-security.com/rongorongo-research/rongorongo24.html#:~:text=%2A%20Creation%3A%20%22606,anthropomorphic%20figures%20%3D%20month%20personifications" TargetMode="External" /><Relationship Type="http://schemas.openxmlformats.org/officeDocument/2006/relationships/hyperlink" Id="rId47" Target="https://lackadaisical-security.com/rongorongo-research/rongorongo24.html#:~:text=,%28fallen%20scout%27s%20name" TargetMode="External" /><Relationship Type="http://schemas.openxmlformats.org/officeDocument/2006/relationships/hyperlink" Id="rId46" Target="https://lackadaisical-security.com/rongorongo-research/rongorongo24.html#:~:text=,Petersburg" TargetMode="External" /><Relationship Type="http://schemas.openxmlformats.org/officeDocument/2006/relationships/hyperlink" Id="rId59" Target="https://lackadaisical-security.com/rongorongo-research/rongorongo24.html#:~:text=,tablets%20validating%20same%20glyph%20meanings" TargetMode="External" /><Relationship Type="http://schemas.openxmlformats.org/officeDocument/2006/relationships/hyperlink" Id="rId61" Target="https://lackadaisical-security.com/rongorongo-research/rongorongo24.html#:~:text=3%20Eye" TargetMode="External" /><Relationship Type="http://schemas.openxmlformats.org/officeDocument/2006/relationships/hyperlink" Id="rId55" Target="https://lackadaisical-security.com/rongorongo-research/rongorongo24.html#:~:text=76%20Procreation%2FDescent" TargetMode="External" /><Relationship Type="http://schemas.openxmlformats.org/officeDocument/2006/relationships/hyperlink" Id="rId50" Target="https://lackadaisical-security.com/rongorongo-research/rongorongo24.html#:~:text=Compelling%20reinterpretation%3A%20sequences%20like%20%22bird,fish" TargetMode="External" /><Relationship Type="http://schemas.openxmlformats.org/officeDocument/2006/relationships/hyperlink" Id="rId49" Target="https://lackadaisical-security.com/rongorongo-research/rongorongo24.html#:~:text=Early%20interpretations%20,the%20strictly%20sexual%20myth%20reading" TargetMode="External" /><Relationship Type="http://schemas.openxmlformats.org/officeDocument/2006/relationships/hyperlink" Id="rId62" Target="https://lackadaisical-security.com/rongorongo-research/rongorongo24.html#:~:text=Lexicon%20Applications" TargetMode="External" /><Relationship Type="http://schemas.openxmlformats.org/officeDocument/2006/relationships/hyperlink" Id="rId45" Target="https://lackadaisical-security.com/rongorongo-research/rongorongo24.html#:~:text=Recent%20structural%20analyses%20have%20shown,iteration%20represents%20one%20lunar%20month" TargetMode="External" /><Relationship Type="http://schemas.openxmlformats.org/officeDocument/2006/relationships/hyperlink" Id="rId60" Target="https://lackadaisical-security.com/rongorongo-research/rongorongo24.html#:~:text=Sources%3A%20Our%20analysis%20synthesizes%20findings,method%20integration" TargetMode="External" /><Relationship Type="http://schemas.openxmlformats.org/officeDocument/2006/relationships/hyperlink" Id="rId44" Target="https://lackadaisical-security.com/rongorongo-research/rongorongo24.html#:~:text=Ten" TargetMode="External" /><Relationship Type="http://schemas.openxmlformats.org/officeDocument/2006/relationships/hyperlink" Id="rId43" Target="https://lackadaisical-security.com/rongorongo-research/rongorongo24.html#:~:text=glyphs%20repeat%2010%20times%20throughout,cycle%20rather%20than%20free%20narrative" TargetMode="External" /><Relationship Type="http://schemas.openxmlformats.org/officeDocument/2006/relationships/hyperlink" Id="rId40" Target="https://lackadaisical-security.com/rongorongo-research/rongorongo24.html#:~:text=mata%20%22eye%22%20" TargetMode="External" /><Relationship Type="http://schemas.openxmlformats.org/officeDocument/2006/relationships/hyperlink" Id="rId69" Target="https://www.academia.edu/48907911/The_Rongorongo_Inscriptions_and_the_Polynesian_Mythology" TargetMode="External" /><Relationship Type="http://schemas.openxmlformats.org/officeDocument/2006/relationships/hyperlink" Id="rId22" Target="https://www.academia.edu/48907911/The_Rongorongo_Inscriptions_and_the_Polynesian_Mythology#:~:text=Glyph%20109%20hatu%2C%20hotu%20is,56" TargetMode="External" /></Relationships>
</file>

<file path=word/_rels/footnotes.xml.rels><?xml version="1.0" encoding="UTF-8"?><Relationships xmlns="http://schemas.openxmlformats.org/package/2006/relationships"><Relationship Type="http://schemas.openxmlformats.org/officeDocument/2006/relationships/hyperlink" Id="rId68" Target="https://lackadaisical-security.com/rongorongo-research/glyph-063.html" TargetMode="External" /><Relationship Type="http://schemas.openxmlformats.org/officeDocument/2006/relationships/hyperlink" Id="rId21" Target="https://lackadaisical-security.com/rongorongo-research/glyph-063.html#:~:text=31%20repetitions%20in%20Keiti%20lunar,calendar" TargetMode="External" /><Relationship Type="http://schemas.openxmlformats.org/officeDocument/2006/relationships/hyperlink" Id="rId74" Target="https://lackadaisical-security.com/rongorongo-research/glyph-068.html" TargetMode="External" /><Relationship Type="http://schemas.openxmlformats.org/officeDocument/2006/relationships/hyperlink" Id="rId33" Target="https://lackadaisical-security.com/rongorongo-research/glyph-068.html#:~:text=The%20sacred%20sea%20turtle%20%28,mythological%20contexts%20with%2041%20occurrences" TargetMode="External" /><Relationship Type="http://schemas.openxmlformats.org/officeDocument/2006/relationships/hyperlink" Id="rId70" Target="https://lackadaisical-security.com/rongorongo-research/glyph-110.html" TargetMode="External" /><Relationship Type="http://schemas.openxmlformats.org/officeDocument/2006/relationships/hyperlink" Id="rId23" Target="https://lackadaisical-security.com/rongorongo-research/glyph-110.html#:~:text=%EF%B8%8F%20Protective%20surveillance%20glyph" TargetMode="External" /><Relationship Type="http://schemas.openxmlformats.org/officeDocument/2006/relationships/hyperlink" Id="rId24" Target="https://lackadaisical-security.com/rongorongo-research/glyph-110.html#:~:text=Additional%20Research%20Notes%3A" TargetMode="External" /><Relationship Type="http://schemas.openxmlformats.org/officeDocument/2006/relationships/hyperlink" Id="rId71" Target="https://lackadaisical-security.com/rongorongo-research/glyph-149.html" TargetMode="External" /><Relationship Type="http://schemas.openxmlformats.org/officeDocument/2006/relationships/hyperlink" Id="rId27" Target="https://lackadaisical-security.com/rongorongo-research/glyph-149.html#:~:text=%E2%80%A2%20References%20Hatu%20,the%20face%20the%20light" TargetMode="External" /><Relationship Type="http://schemas.openxmlformats.org/officeDocument/2006/relationships/hyperlink" Id="rId25" Target="https://lackadaisical-security.com/rongorongo-research/glyph-149.html#:~:text=%E2%9C%A8%20Sacred%20Creator%20Deity" TargetMode="External" /><Relationship Type="http://schemas.openxmlformats.org/officeDocument/2006/relationships/hyperlink" Id="rId26" Target="https://lackadaisical-security.com/rongorongo-research/glyph-149.html#:~:text=,%E2%80%93%20August%20Research" TargetMode="External" /><Relationship Type="http://schemas.openxmlformats.org/officeDocument/2006/relationships/hyperlink" Id="rId78" Target="https://lackadaisical-security.com/rongorongo-research/glyph-200.html" TargetMode="External" /><Relationship Type="http://schemas.openxmlformats.org/officeDocument/2006/relationships/hyperlink" Id="rId63" Target="https://lackadaisical-security.com/rongorongo-research/glyph-200.html#:~:text=High,genealogical%20chains%20as%20title%2Fstatus%20marker" TargetMode="External" /><Relationship Type="http://schemas.openxmlformats.org/officeDocument/2006/relationships/hyperlink" Id="rId77" Target="https://lackadaisical-security.com/rongorongo-research/lexicon-index.html" TargetMode="External" /><Relationship Type="http://schemas.openxmlformats.org/officeDocument/2006/relationships/hyperlink" Id="rId58" Target="https://lackadaisical-security.com/rongorongo-research/lexicon-index.html#:~:text=Featured%20glyphs%20with%20confidence%20scores,including%20recently%20updated%20pages" TargetMode="External" /><Relationship Type="http://schemas.openxmlformats.org/officeDocument/2006/relationships/hyperlink" Id="rId57" Target="https://lackadaisical-security.com/rongorongo-research/lexicon-index.html#:~:text=The%20most%20comprehensive%20digital%20collection,usage%20contexts%2C%20and%20tablet%20occurrences" TargetMode="External" /><Relationship Type="http://schemas.openxmlformats.org/officeDocument/2006/relationships/hyperlink" Id="rId73" Target="https://lackadaisical-security.com/rongorongo-research/lexicon-search.html?q=tentacle" TargetMode="External" /><Relationship Type="http://schemas.openxmlformats.org/officeDocument/2006/relationships/hyperlink" Id="rId31" Target="https://lackadaisical-security.com/rongorongo-research/lexicon-search.html?q=tentacle#:~:text=Glyph%20001" TargetMode="External" /><Relationship Type="http://schemas.openxmlformats.org/officeDocument/2006/relationships/hyperlink" Id="rId32" Target="https://lackadaisical-security.com/rongorongo-research/lexicon-search.html?q=tentacle#:~:text=Glyph%20006" TargetMode="External" /><Relationship Type="http://schemas.openxmlformats.org/officeDocument/2006/relationships/hyperlink" Id="rId72" Target="https://lackadaisical-security.com/rongorongo-research/rongorongo17.html" TargetMode="External" /><Relationship Type="http://schemas.openxmlformats.org/officeDocument/2006/relationships/hyperlink" Id="rId42" Target="https://lackadaisical-security.com/rongorongo-research/rongorongo17.html#:~:text=,Third%20Voyage" TargetMode="External" /><Relationship Type="http://schemas.openxmlformats.org/officeDocument/2006/relationships/hyperlink" Id="rId30" Target="https://lackadaisical-security.com/rongorongo-research/rongorongo17.html#:~:text=600%20,means%20a%20flock%20of%20birds" TargetMode="External" /><Relationship Type="http://schemas.openxmlformats.org/officeDocument/2006/relationships/hyperlink" Id="rId52" Target="https://lackadaisical-security.com/rongorongo-research/rongorongo17.html#:~:text=600%20,often%20a" TargetMode="External" /><Relationship Type="http://schemas.openxmlformats.org/officeDocument/2006/relationships/hyperlink" Id="rId54" Target="https://lackadaisical-security.com/rongorongo-research/rongorongo17.html#:~:text=8%20,A%20genealogical" TargetMode="External" /><Relationship Type="http://schemas.openxmlformats.org/officeDocument/2006/relationships/hyperlink" Id="rId38" Target="https://lackadaisical-security.com/rongorongo-research/rongorongo17.html#:~:text=Aruku%20Kurenga%27s%20text%20is%20organized,oral%20tradition%20of%20Easter%20Island" TargetMode="External" /><Relationship Type="http://schemas.openxmlformats.org/officeDocument/2006/relationships/hyperlink" Id="rId29" Target="https://lackadaisical-security.com/rongorongo-research/rongorongo17.html#:~:text=Notably%2C%20this%20glyph%20is%20treated,addition%20in%20this%20second%20voyage" TargetMode="External" /><Relationship Type="http://schemas.openxmlformats.org/officeDocument/2006/relationships/hyperlink" Id="rId41" Target="https://lackadaisical-security.com/rongorongo-research/rongorongo17.html#:~:text=Notably%2C%20this%20glyph%20is%20treated,was%20buried%20in%20a%20cave" TargetMode="External" /><Relationship Type="http://schemas.openxmlformats.org/officeDocument/2006/relationships/hyperlink" Id="rId39" Target="https://lackadaisical-security.com/rongorongo-research/rongorongo17.html#:~:text=The%20Aruku%20Kurenga%27s%20first%20sequence,to%20signify%20Anakena" TargetMode="External" /><Relationship Type="http://schemas.openxmlformats.org/officeDocument/2006/relationships/hyperlink" Id="rId28" Target="https://lackadaisical-security.com/rongorongo-research/rongorongo17.html#:~:text=different%20constant%20glyph%20,the%20youths%2Fdescendants" TargetMode="External" /><Relationship Type="http://schemas.openxmlformats.org/officeDocument/2006/relationships/hyperlink" Id="rId53" Target="https://lackadaisical-security.com/rongorongo-research/rongorongo17.html#:~:text=flock%20of%20birds,those%20sections%20aren%27t%20enumerating%20lineage" TargetMode="External" /><Relationship Type="http://schemas.openxmlformats.org/officeDocument/2006/relationships/hyperlink" Id="rId75" Target="https://lackadaisical-security.com/rongorongo-research/rongorongo2.html" TargetMode="External" /><Relationship Type="http://schemas.openxmlformats.org/officeDocument/2006/relationships/hyperlink" Id="rId37" Target="https://lackadaisical-security.com/rongorongo-research/rongorongo2.html#:~:text=Another%20striking%20example%20is%20night,like" TargetMode="External" /><Relationship Type="http://schemas.openxmlformats.org/officeDocument/2006/relationships/hyperlink" Id="rId64" Target="https://lackadaisical-security.com/rongorongo-research/rongorongo2.html#:~:text=Glyphs%20for%20Lunar%20Phases%20and,in%20the%20cycle%2C%20the%20last" TargetMode="External" /><Relationship Type="http://schemas.openxmlformats.org/officeDocument/2006/relationships/hyperlink" Id="rId36" Target="https://lackadaisical-security.com/rongorongo-research/rongorongo2.html#:~:text=Glyphs%20for%20Lunar%20Phases%20and,moon%20%E2%80%93%20these%20likely%20denote" TargetMode="External" /><Relationship Type="http://schemas.openxmlformats.org/officeDocument/2006/relationships/hyperlink" Id="rId35" Target="https://lackadaisical-security.com/rongorongo-research/rongorongo2.html#:~:text=Mamari%27s%20Calendar%20Sequence%3A%20On%20the,dark%20moon" TargetMode="External" /><Relationship Type="http://schemas.openxmlformats.org/officeDocument/2006/relationships/hyperlink" Id="rId76" Target="https://lackadaisical-security.com/rongorongo-research/rongorongo24.html" TargetMode="External" /><Relationship Type="http://schemas.openxmlformats.org/officeDocument/2006/relationships/hyperlink" Id="rId51" Target="https://lackadaisical-security.com/rongorongo-research/rongorongo24.html#:~:text=%2A%20Creation%3A%20%22606,anthropomorphic%20figures%20%3D%20month%20personifications" TargetMode="External" /><Relationship Type="http://schemas.openxmlformats.org/officeDocument/2006/relationships/hyperlink" Id="rId47" Target="https://lackadaisical-security.com/rongorongo-research/rongorongo24.html#:~:text=,%28fallen%20scout%27s%20name" TargetMode="External" /><Relationship Type="http://schemas.openxmlformats.org/officeDocument/2006/relationships/hyperlink" Id="rId46" Target="https://lackadaisical-security.com/rongorongo-research/rongorongo24.html#:~:text=,Petersburg" TargetMode="External" /><Relationship Type="http://schemas.openxmlformats.org/officeDocument/2006/relationships/hyperlink" Id="rId59" Target="https://lackadaisical-security.com/rongorongo-research/rongorongo24.html#:~:text=,tablets%20validating%20same%20glyph%20meanings" TargetMode="External" /><Relationship Type="http://schemas.openxmlformats.org/officeDocument/2006/relationships/hyperlink" Id="rId61" Target="https://lackadaisical-security.com/rongorongo-research/rongorongo24.html#:~:text=3%20Eye" TargetMode="External" /><Relationship Type="http://schemas.openxmlformats.org/officeDocument/2006/relationships/hyperlink" Id="rId55" Target="https://lackadaisical-security.com/rongorongo-research/rongorongo24.html#:~:text=76%20Procreation%2FDescent" TargetMode="External" /><Relationship Type="http://schemas.openxmlformats.org/officeDocument/2006/relationships/hyperlink" Id="rId50" Target="https://lackadaisical-security.com/rongorongo-research/rongorongo24.html#:~:text=Compelling%20reinterpretation%3A%20sequences%20like%20%22bird,fish" TargetMode="External" /><Relationship Type="http://schemas.openxmlformats.org/officeDocument/2006/relationships/hyperlink" Id="rId49" Target="https://lackadaisical-security.com/rongorongo-research/rongorongo24.html#:~:text=Early%20interpretations%20,the%20strictly%20sexual%20myth%20reading" TargetMode="External" /><Relationship Type="http://schemas.openxmlformats.org/officeDocument/2006/relationships/hyperlink" Id="rId62" Target="https://lackadaisical-security.com/rongorongo-research/rongorongo24.html#:~:text=Lexicon%20Applications" TargetMode="External" /><Relationship Type="http://schemas.openxmlformats.org/officeDocument/2006/relationships/hyperlink" Id="rId45" Target="https://lackadaisical-security.com/rongorongo-research/rongorongo24.html#:~:text=Recent%20structural%20analyses%20have%20shown,iteration%20represents%20one%20lunar%20month" TargetMode="External" /><Relationship Type="http://schemas.openxmlformats.org/officeDocument/2006/relationships/hyperlink" Id="rId60" Target="https://lackadaisical-security.com/rongorongo-research/rongorongo24.html#:~:text=Sources%3A%20Our%20analysis%20synthesizes%20findings,method%20integration" TargetMode="External" /><Relationship Type="http://schemas.openxmlformats.org/officeDocument/2006/relationships/hyperlink" Id="rId44" Target="https://lackadaisical-security.com/rongorongo-research/rongorongo24.html#:~:text=Ten" TargetMode="External" /><Relationship Type="http://schemas.openxmlformats.org/officeDocument/2006/relationships/hyperlink" Id="rId43" Target="https://lackadaisical-security.com/rongorongo-research/rongorongo24.html#:~:text=glyphs%20repeat%2010%20times%20throughout,cycle%20rather%20than%20free%20narrative" TargetMode="External" /><Relationship Type="http://schemas.openxmlformats.org/officeDocument/2006/relationships/hyperlink" Id="rId40" Target="https://lackadaisical-security.com/rongorongo-research/rongorongo24.html#:~:text=mata%20%22eye%22%20" TargetMode="External" /><Relationship Type="http://schemas.openxmlformats.org/officeDocument/2006/relationships/hyperlink" Id="rId69" Target="https://www.academia.edu/48907911/The_Rongorongo_Inscriptions_and_the_Polynesian_Mythology" TargetMode="External" /><Relationship Type="http://schemas.openxmlformats.org/officeDocument/2006/relationships/hyperlink" Id="rId22" Target="https://www.academia.edu/48907911/The_Rongorongo_Inscriptions_and_the_Polynesian_Mythology#:~:text=Glyph%20109%20hatu%2C%20hotu%20is,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2025-12-20T22:44:24Z</dcterms:created>
  <dcterms:modified xsi:type="dcterms:W3CDTF">2025-12-20T22:44:24Z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