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Heading1"/>
      </w:pPr>
      <w:r>
        <w:t>Services Agreement</w:t>
      </w:r>
    </w:p>
    <w:p>
      <w:r>
        <w:t xml:space="preserve">DRAFT for discussion - 26 February 2026</w:t>
      </w:r>
    </w:p>
    <w:p>
      <w:r>
        <w:t xml:space="preserve">This agreement is made between Maya Lindqvist Consulting, org. no. 870412-4417, Uppsala ("the Consultant") and Acme Outdoor Co. AB, org. no. 556901-2234, Ostersund ("the Client").</w:t>
      </w:r>
    </w:p>
    <w:p>
      <w:pPr>
        <w:pStyle w:val="Heading2"/>
      </w:pPr>
      <w:r>
        <w:t>1. Services</w:t>
      </w:r>
    </w:p>
    <w:p>
      <w:r>
        <w:t xml:space="preserve">The Consultant will deliver the booking system redesign described in the proposal version 3 dated 20 February 2026, which is attached as Appendix A. Changes to the scope are agreed in writing by both parties before work on them starts.</w:t>
      </w:r>
    </w:p>
    <w:p>
      <w:pPr>
        <w:pStyle w:val="Heading2"/>
      </w:pPr>
      <w:r>
        <w:t>2. Fees and payment</w:t>
      </w:r>
    </w:p>
    <w:p>
      <w:r>
        <w:t xml:space="preserve">The total fee is EUR 26,000 excluding VAT, invoiced as 40% on signing, 30% when the availability calendar goes live and 30% at final handover. Invoices are payable within 30 days of the invoice date.</w:t>
      </w:r>
    </w:p>
    <w:p>
      <w:pPr>
        <w:pStyle w:val="Heading2"/>
      </w:pPr>
      <w:r>
        <w:t>3. Intellectual property</w:t>
      </w:r>
    </w:p>
    <w:p>
      <w:r>
        <w:t xml:space="preserve">All designs, code and documents created specifically for the Client transfer to the Client upon full payment. The Consultant keeps the right to reuse general know-how, methods and components that are not specific to the Client.</w:t>
      </w:r>
    </w:p>
    <w:p>
      <w:pPr>
        <w:pStyle w:val="Heading2"/>
      </w:pPr>
      <w:r>
        <w:t>4. Confidentiality</w:t>
      </w:r>
    </w:p>
    <w:p>
      <w:r>
        <w:t xml:space="preserve">Each party keeps the other party's confidential information secret during the agreement and for three years after it ends.</w:t>
      </w:r>
    </w:p>
    <w:p>
      <w:pPr>
        <w:pStyle w:val="Heading2"/>
      </w:pPr>
      <w:r>
        <w:t>5. Liability</w:t>
      </w:r>
    </w:p>
    <w:p>
      <w:r>
        <w:t xml:space="preserve">Each party's total liability under this agreement is capped at the fees paid in the six months before the claim arose. Neither party is liable for indirect losses such as lost profit or lost bookings.</w:t>
      </w:r>
    </w:p>
    <w:p>
      <w:pPr>
        <w:pStyle w:val="Heading2"/>
      </w:pPr>
      <w:r>
        <w:t>6. Termination</w:t>
      </w:r>
    </w:p>
    <w:p>
      <w:r>
        <w:t xml:space="preserve">Either party may terminate this agreement with 30 days written notice.</w:t>
      </w:r>
    </w:p>
    <w:p>
      <w:pPr>
        <w:pStyle w:val="Heading2"/>
      </w:pPr>
      <w:r>
        <w:t>7. Governing law</w:t>
      </w:r>
    </w:p>
    <w:p>
      <w:r>
        <w:t xml:space="preserve">This agreement is governed by Swedish law. Disputes are settled by the Uppsala District Court.</w:t>
      </w:r>
    </w:p>
  </w:body>
</w:document>
</file>

<file path=word/styles.xml><?xml version="1.0" encoding="utf-8"?>
<w:styles xmlns:w="http://schemas.openxmlformats.org/wordprocessingml/2006/main">
  <w:style w:type="paragraph" w:styleId="Heading1">
    <w:name w:val="heading 1"/>
  </w:style>
  <w:style w:type="paragraph" w:styleId="Heading2">
    <w:name w:val="heading 2"/>
  </w:style>
  <w:style w:type="paragraph" w:styleId="Heading3">
    <w:name w:val="heading 3"/>
  </w:style>
</w:styles>
</file>

<file path=word/_rels/document.xml.rels><?xml version="1.0" encoding="UTF-8"?><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Acme Services Agreement draft</dc:title>
</cp:coreProperties>
</file>