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t>Tidewater Labs AB - Information Security Policy</w:t>
      </w:r>
    </w:p>
    <w:p>
      <w:r>
        <w:t xml:space="preserve">Document owner: Head of Operations | Version: 2026.1 | Approved: 2 March 2026</w:t>
      </w:r>
    </w:p>
    <w:p>
      <w:r>
        <w:t xml:space="preserve">Applies to: all employees, contractors and interns. Review cycle: yearly.</w:t>
      </w:r>
    </w:p>
    <w:p>
      <w:pPr>
        <w:pStyle w:val="Heading2"/>
      </w:pPr>
      <w:r>
        <w:t>Purpose</w:t>
      </w:r>
    </w:p>
    <w:p>
      <w:r>
        <w:t xml:space="preserve">This policy protects customer booking and payment data and the systems Tidewater Labs runs for its clients.</w:t>
      </w:r>
    </w:p>
    <w:p>
      <w:pPr>
        <w:pStyle w:val="Heading2"/>
      </w:pPr>
      <w:r>
        <w:t>Accounts and passwords</w:t>
      </w:r>
    </w:p>
    <w:p>
      <w:r>
        <w:t xml:space="preserve">Passkeys are the preferred way to sign in. Where a system does not support passkeys, passwords must be at least 14 characters and stored in the company password manager (Bitwarden). Multi-factor authentication is required for all accounts, including contractors. Shared accounts are not allowed.</w:t>
      </w:r>
    </w:p>
    <w:p>
      <w:pPr>
        <w:pStyle w:val="Heading2"/>
      </w:pPr>
      <w:r>
        <w:t>Laptops and devices</w:t>
      </w:r>
    </w:p>
    <w:p>
      <w:r>
        <w:t xml:space="preserve">Company laptops use full-disk encryption (BitLocker or FileVault) and lock the screen after 5 minutes of inactivity. Lost or stolen devices are reported immediately. All staff complete phishing awareness training twice a year. USB storage devices may not be used on company laptops.</w:t>
      </w:r>
    </w:p>
    <w:p>
      <w:pPr>
        <w:pStyle w:val="Heading2"/>
      </w:pPr>
      <w:r>
        <w:t>Access control</w:t>
      </w:r>
    </w:p>
    <w:p>
      <w:r>
        <w:t xml:space="preserve">Access is granted per role and removed on the last working day. Access rights are reviewed every quarter. Production systems are only reachable through single sign-on and the zero-trust access proxy. The old VPN was retired in January 2026.</w:t>
      </w:r>
    </w:p>
    <w:p>
      <w:pPr>
        <w:pStyle w:val="Heading2"/>
      </w:pPr>
      <w:r>
        <w:t>Backups</w:t>
      </w:r>
    </w:p>
    <w:p>
      <w:r>
        <w:t xml:space="preserve">Production databases are backed up daily, backups are kept for 35 days and a restore is tested every month.</w:t>
      </w:r>
    </w:p>
    <w:p>
      <w:pPr>
        <w:pStyle w:val="Heading2"/>
      </w:pPr>
      <w:r>
        <w:t>Security incidents</w:t>
      </w:r>
    </w:p>
    <w:p>
      <w:r>
        <w:t xml:space="preserve">Anyone who suspects a security incident, such as a leaked password, a phishing click or unexpected access to customer data, reports it to security@tidewaterlabs.se within 24 hours. Personal data breaches are assessed for notification to the data protection authority.</w:t>
      </w:r>
    </w:p>
    <w:p>
      <w:pPr>
        <w:pStyle w:val="Heading2"/>
      </w:pPr>
      <w:r>
        <w:t>Roles</w:t>
      </w:r>
    </w:p>
    <w:p>
      <w:r>
        <w:t xml:space="preserve">The Head of Operations owns this policy and keeps it up to date. Managers make sure their team members have read it and understand it. Every employee and contractor is responsible for following it in their daily work.</w:t>
      </w:r>
    </w:p>
    <w:p>
      <w:pPr>
        <w:pStyle w:val="Heading2"/>
      </w:pPr>
      <w:r>
        <w:t>Policy review</w:t>
      </w:r>
    </w:p>
    <w:p>
      <w:r>
        <w:t xml:space="preserve">This policy is reviewed once a year, or earlier after a serious incident or a change in the law. Changes are announced in the company channel and take effect 14 days after approval.</w:t>
      </w:r>
    </w:p>
    <w:p>
      <w:pPr>
        <w:pStyle w:val="Heading2"/>
      </w:pPr>
      <w:r>
        <w:t>Exceptions and breaches</w:t>
      </w:r>
    </w:p>
    <w:p>
      <w:r>
        <w:t xml:space="preserve">Exceptions must be approved in writing by the Head of Operations and are reviewed at the next policy review. Breaches of this policy may lead to disciplinary action. Questions about this policy go to ops@tidewaterlabs.se.</w:t>
      </w:r>
    </w:p>
  </w:body>
</w:document>
</file>

<file path=word/styles.xml><?xml version="1.0" encoding="utf-8"?>
<w:styles xmlns:w="http://schemas.openxmlformats.org/wordprocessingml/2006/main">
  <w:style w:type="paragraph" w:styleId="Heading1">
    <w:name w:val="heading 1"/>
  </w:style>
  <w:style w:type="paragraph" w:styleId="Heading2">
    <w:name w:val="heading 2"/>
  </w:style>
  <w:style w:type="paragraph" w:styleId="Heading3">
    <w:name w:val="heading 3"/>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Information Security Policy 2026</dc:title>
</cp:coreProperties>
</file>