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Tidewater Labs AB - Remote Work Policy</w:t>
      </w:r>
    </w:p>
    <w:p>
      <w:r>
        <w:t xml:space="preserve">Document owner: Head of Operations | Version: 2025.1 | Approved: 15 January 2025</w:t>
      </w:r>
    </w:p>
    <w:p>
      <w:r>
        <w:t xml:space="preserve">Applies to: all employees, contractors and interns. Review cycle: yearly.</w:t>
      </w:r>
    </w:p>
    <w:p>
      <w:pPr>
        <w:pStyle w:val="Heading2"/>
      </w:pPr>
      <w:r>
        <w:t>Purpose</w:t>
      </w:r>
    </w:p>
    <w:p>
      <w:r>
        <w:t xml:space="preserve">This policy explains when and how staff can work away from the Malmo office.</w:t>
      </w:r>
    </w:p>
    <w:p>
      <w:pPr>
        <w:pStyle w:val="Heading2"/>
      </w:pPr>
      <w:r>
        <w:t>Eligibility</w:t>
      </w:r>
    </w:p>
    <w:p>
      <w:r>
        <w:t xml:space="preserve">Everyone can work remotely after the six month probation period. During probation, at least three days a week are spent in the office.</w:t>
      </w:r>
    </w:p>
    <w:p>
      <w:pPr>
        <w:pStyle w:val="Heading2"/>
      </w:pPr>
      <w:r>
        <w:t>Core hours</w:t>
      </w:r>
    </w:p>
    <w:p>
      <w:r>
        <w:t xml:space="preserve">Core hours are 10:00 to 15:00 CET. Outside core hours you plan your own time, but you keep your calendar up to date.</w:t>
      </w:r>
    </w:p>
    <w:p>
      <w:pPr>
        <w:pStyle w:val="Heading2"/>
      </w:pPr>
      <w:r>
        <w:t>Home office</w:t>
      </w:r>
    </w:p>
    <w:p>
      <w:r>
        <w:t xml:space="preserve">Tidewater pays a one-off home office allowance of SEK 5,000 for a chair, a screen or a desk. Company laptops and headsets are provided.</w:t>
      </w:r>
    </w:p>
    <w:p>
      <w:pPr>
        <w:pStyle w:val="Heading2"/>
      </w:pPr>
      <w:r>
        <w:t>Working abroad</w:t>
      </w:r>
    </w:p>
    <w:p>
      <w:r>
        <w:t xml:space="preserve">You can work from another country for up to 20 working days per year, after telling your manager. Longer stays need approval because of tax and insurance rules.</w:t>
      </w:r>
    </w:p>
    <w:p>
      <w:pPr>
        <w:pStyle w:val="Heading2"/>
      </w:pPr>
      <w:r>
        <w:t>Security</w:t>
      </w:r>
    </w:p>
    <w:p>
      <w:r>
        <w:t xml:space="preserve">Never work on customer data on public Wi-Fi without the company access proxy. Lock your screen in shared spaces.</w:t>
      </w:r>
    </w:p>
    <w:p>
      <w:pPr>
        <w:pStyle w:val="Heading2"/>
      </w:pPr>
      <w:r>
        <w:t>Roles</w:t>
      </w:r>
    </w:p>
    <w:p>
      <w:r>
        <w:t xml:space="preserve">The Head of Operations owns this policy and keeps it up to date. Managers make sure their team members have read it and understand it. Every employee and contractor is responsible for following it in their daily work.</w:t>
      </w:r>
    </w:p>
    <w:p>
      <w:pPr>
        <w:pStyle w:val="Heading2"/>
      </w:pPr>
      <w:r>
        <w:t>Policy review</w:t>
      </w:r>
    </w:p>
    <w:p>
      <w:r>
        <w:t xml:space="preserve">This policy is reviewed once a year, or earlier after a serious incident or a change in the law. Changes are announced in the company channel and take effect 14 days after approval.</w:t>
      </w:r>
    </w:p>
    <w:p>
      <w:pPr>
        <w:pStyle w:val="Heading2"/>
      </w:pPr>
      <w:r>
        <w:t>Exceptions and breaches</w:t>
      </w:r>
    </w:p>
    <w:p>
      <w:r>
        <w:t xml:space="preserve">Exceptions must be approved in writing by the Head of Operations and are reviewed at the next policy review. Breaches of this policy may lead to disciplinary action. Questions about this policy go to ops@tidewaterlabs.se.</w:t>
      </w:r>
    </w:p>
  </w:body>
</w:document>
</file>

<file path=word/styles.xml><?xml version="1.0" encoding="utf-8"?>
<w:styles xmlns:w="http://schemas.openxmlformats.org/wordprocessingml/2006/main">
  <w:style w:type="paragraph" w:styleId="Heading1">
    <w:name w:val="heading 1"/>
  </w:style>
  <w:style w:type="paragraph" w:styleId="Heading2">
    <w:name w:val="heading 2"/>
  </w:style>
  <w:style w:type="paragraph" w:styleId="Heading3">
    <w:name w:val="heading 3"/>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Remote Work Policy</dc:title>
</cp:coreProperties>
</file>