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400"/>
        <w:jc w:val="center"/>
      </w:pPr>
      <w:r>
        <w:rPr>
          <w:rFonts w:ascii="Garamond" w:cs="Garamond" w:eastAsia="Garamond" w:hAnsi="Garamond"/>
          <w:b/>
          <w:bCs/>
          <w:color w:val="1A1A2E"/>
          <w:sz w:val="52"/>
          <w:szCs w:val="52"/>
        </w:rPr>
        <w:t xml:space="preserve">THE ÆTHERIUM CODEX</w:t>
      </w:r>
    </w:p>
    <w:p>
      <w:pPr>
        <w:spacing w:after="30"/>
        <w:jc w:val="center"/>
      </w:pPr>
      <w:r>
        <w:rPr>
          <w:rFonts w:ascii="Garamond" w:cs="Garamond" w:eastAsia="Garamond" w:hAnsi="Garamond"/>
          <w:b/>
          <w:bCs/>
          <w:color w:val="2B2B4B"/>
          <w:sz w:val="36"/>
          <w:szCs w:val="36"/>
        </w:rPr>
        <w:t xml:space="preserve">UNIFIED ENGINE</w:t>
      </w:r>
    </w:p>
    <w:p>
      <w:pPr>
        <w:spacing w:after="30"/>
        <w:jc w:val="center"/>
      </w:pPr>
      <w:r>
        <w:rPr>
          <w:rFonts w:ascii="Garamond" w:cs="Garamond" w:eastAsia="Garamond" w:hAnsi="Garamond"/>
          <w:color w:val="666666"/>
          <w:sz w:val="24"/>
          <w:szCs w:val="24"/>
        </w:rPr>
        <w:t xml:space="preserve">Operating Philosophy</w:t>
      </w:r>
    </w:p>
    <w:p>
      <w:pPr>
        <w:pBdr>
          <w:bottom w:val="single" w:color="CCCCCC" w:sz="3" w:space="1"/>
        </w:pBdr>
        <w:spacing w:after="80" w:before="80"/>
      </w:pPr>
      <w:r>
        <w:rPr>
          <w:sz w:val="2"/>
          <w:szCs w:val="2"/>
        </w:rPr>
        <w:t xml:space="preserve"/>
      </w:r>
    </w:p>
    <w:p>
      <w:pPr>
        <w:spacing w:after="20"/>
        <w:jc w:val="center"/>
      </w:pPr>
      <w:r>
        <w:rPr>
          <w:rFonts w:ascii="Garamond" w:cs="Garamond" w:eastAsia="Garamond" w:hAnsi="Garamond"/>
          <w:color w:val="888888"/>
          <w:sz w:val="20"/>
          <w:szCs w:val="20"/>
        </w:rPr>
        <w:t xml:space="preserve">Document 0 — Final Version</w:t>
      </w:r>
    </w:p>
    <w:p>
      <w:pPr>
        <w:spacing w:after="400"/>
        <w:jc w:val="center"/>
      </w:pPr>
      <w:r>
        <w:rPr>
          <w:rFonts w:ascii="Garamond" w:cs="Garamond" w:eastAsia="Garamond" w:hAnsi="Garamond"/>
          <w:i/>
          <w:iCs/>
          <w:color w:val="999999"/>
          <w:sz w:val="18"/>
          <w:szCs w:val="18"/>
        </w:rPr>
        <w:t xml:space="preserve">The narrative engine, the game system, and the expression layer are one architecture in three vocabularies</w:t>
      </w:r>
    </w:p>
    <w:p>
      <w:r>
        <w:br w:type="page"/>
      </w:r>
    </w:p>
    <w:p>
      <w:pPr>
        <w:pStyle w:val="Heading1"/>
        <w:spacing w:after="140" w:before="300"/>
      </w:pPr>
      <w:r>
        <w:rPr>
          <w:rFonts w:ascii="Garamond" w:cs="Garamond" w:eastAsia="Garamond" w:hAnsi="Garamond"/>
          <w:b/>
          <w:bCs/>
          <w:color w:val="1A1A2E"/>
        </w:rPr>
        <w:t xml:space="preserve">THE CORE INSIGHT</w:t>
      </w:r>
    </w:p>
    <w:p>
      <w:pPr>
        <w:spacing w:after="100" w:line="276"/>
      </w:pPr>
      <w:r>
        <w:rPr>
          <w:rFonts w:ascii="Garamond" w:cs="Garamond" w:eastAsia="Garamond" w:hAnsi="Garamond"/>
          <w:b w:val="false"/>
          <w:bCs w:val="false"/>
          <w:i w:val="false"/>
          <w:iCs w:val="false"/>
          <w:color w:val="333333"/>
          <w:sz w:val="21"/>
          <w:szCs w:val="21"/>
        </w:rPr>
        <w:t xml:space="preserve">There are not three systems. There is one system described three ways.</w:t>
      </w:r>
    </w:p>
    <w:p>
      <w:pPr>
        <w:spacing w:after="100" w:line="276"/>
      </w:pPr>
      <w:r>
        <w:rPr>
          <w:rFonts w:ascii="Garamond" w:cs="Garamond" w:eastAsia="Garamond" w:hAnsi="Garamond"/>
          <w:b w:val="false"/>
          <w:bCs w:val="false"/>
          <w:i w:val="false"/>
          <w:iCs w:val="false"/>
          <w:color w:val="333333"/>
          <w:sz w:val="21"/>
          <w:szCs w:val="21"/>
        </w:rPr>
        <w:t xml:space="preserve">The narrative engine generates situations through profiling, pressure extraction, front organization, clock tracking, symptom placement, observation collapse, and feedback compounding. The game system resolves situations through Condition Tracks, Composite Defense, Soak, the Spell Sentence, talent trees, Fulcrum Points, and the four-pillar resource model. The expression layer presents situations through attention direction, temporal texture, information sequencing, evidentiary presentation, embodied expression, serial packaging, and persistence encoding.</w:t>
      </w:r>
    </w:p>
    <w:p>
      <w:pPr>
        <w:spacing w:after="100" w:line="276"/>
      </w:pPr>
      <w:r>
        <w:rPr>
          <w:rFonts w:ascii="Garamond" w:cs="Garamond" w:eastAsia="Garamond" w:hAnsi="Garamond"/>
          <w:b w:val="false"/>
          <w:bCs w:val="false"/>
          <w:i w:val="false"/>
          <w:iCs w:val="false"/>
          <w:color w:val="333333"/>
          <w:sz w:val="21"/>
          <w:szCs w:val="21"/>
        </w:rPr>
        <w:t xml:space="preserve">These are not three layers stacked on top of each other. They are three readings of the same architecture. The Spell Sentence IS the symptom vocabulary. Condition Tracks ARE clocks. The Legacy System IS the feedback loop. The Psyche Schema IS the profiling instrument. The Political Zoetrope IS the civilizational front system. The isotope map IS the resource and expression layer simultaneously. There are no analogies in the preceding sentences. Each IS statement is an identity statement.</w:t>
      </w:r>
    </w:p>
    <w:p>
      <w:r>
        <w:br w:type="page"/>
      </w:r>
    </w:p>
    <w:p>
      <w:pPr>
        <w:pStyle w:val="Heading1"/>
        <w:spacing w:after="140" w:before="300"/>
      </w:pPr>
      <w:r>
        <w:rPr>
          <w:rFonts w:ascii="Garamond" w:cs="Garamond" w:eastAsia="Garamond" w:hAnsi="Garamond"/>
          <w:b/>
          <w:bCs/>
          <w:color w:val="1A1A2E"/>
        </w:rPr>
        <w:t xml:space="preserve">THE SEVEN VERTEBRAE</w:t>
      </w:r>
    </w:p>
    <w:p>
      <w:pPr>
        <w:spacing w:after="50" w:line="276"/>
      </w:pPr>
      <w:r>
        <w:rPr>
          <w:rFonts w:ascii="Garamond" w:cs="Garamond" w:eastAsia="Garamond" w:hAnsi="Garamond"/>
          <w:b w:val="false"/>
          <w:bCs w:val="false"/>
          <w:i w:val="false"/>
          <w:iCs w:val="false"/>
          <w:color w:val="333333"/>
          <w:sz w:val="21"/>
          <w:szCs w:val="21"/>
        </w:rPr>
        <w:t xml:space="preserve">The spine is a cyclic sequence of seven operations. Each cycle’s output feeds the next cycle’s input. The accumulation across cycles IS the campaign, the novel, the community, or the creative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600"/>
        <w:gridCol w:w="2400"/>
        <w:gridCol w:w="2360"/>
      </w:tblGrid>
      <w:tr>
        <w:tc>
          <w:tcPr>
            <w:tcW w:type="dxa" w:w="5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w:t>
            </w:r>
          </w:p>
        </w:tc>
        <w:tc>
          <w:tcPr>
            <w:tcW w:type="dxa" w:w="15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Vertebra</w:t>
            </w:r>
          </w:p>
        </w:tc>
        <w:tc>
          <w:tcPr>
            <w:tcW w:type="dxa" w:w="26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Function</w:t>
            </w:r>
          </w:p>
        </w:tc>
        <w:tc>
          <w:tcPr>
            <w:tcW w:type="dxa" w:w="24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Game System Identity</w:t>
            </w:r>
          </w:p>
        </w:tc>
        <w:tc>
          <w:tcPr>
            <w:tcW w:type="dxa" w:w="236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Expression Bond</w:t>
            </w:r>
          </w:p>
        </w:tc>
      </w:tr>
      <w:tr>
        <w:tc>
          <w:tcPr>
            <w:tcW w:type="dxa" w:w="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1</w:t>
            </w:r>
          </w:p>
        </w:tc>
        <w:tc>
          <w:tcPr>
            <w:tcW w:type="dxa" w:w="1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Schema</w:t>
            </w:r>
          </w:p>
        </w:tc>
        <w:tc>
          <w:tcPr>
            <w:tcW w:type="dxa" w:w="2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Profile the entity. Map identity, values, contradictions, narrative type.</w:t>
            </w:r>
          </w:p>
        </w:tc>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Psyche Schema, Archetypes, College Affiliation, Soul Stone, Legacy System</w:t>
            </w:r>
          </w:p>
        </w:tc>
        <w:tc>
          <w:tcPr>
            <w:tcW w:type="dxa" w:w="23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Persistence Encoding</w:t>
            </w:r>
          </w:p>
        </w:tc>
      </w:tr>
      <w:tr>
        <w:tc>
          <w:tcPr>
            <w:tcW w:type="dxa" w:w="5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2</w:t>
            </w:r>
          </w:p>
        </w:tc>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Pressure Points</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Extract where energy concentrates. Ten Questions + three Schema diagnostic reads.</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Condition Tracks, Poise/Clout, Composite Defense, Derived Stats</w:t>
            </w:r>
          </w:p>
        </w:tc>
        <w:tc>
          <w:tcPr>
            <w:tcW w:type="dxa" w:w="23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Evidentiary Presentation</w:t>
            </w:r>
          </w:p>
        </w:tc>
      </w:tr>
      <w:tr>
        <w:tc>
          <w:tcPr>
            <w:tcW w:type="dxa" w:w="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3</w:t>
            </w:r>
          </w:p>
        </w:tc>
        <w:tc>
          <w:tcPr>
            <w:tcW w:type="dxa" w:w="1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Fronts</w:t>
            </w:r>
          </w:p>
        </w:tc>
        <w:tc>
          <w:tcPr>
            <w:tcW w:type="dxa" w:w="2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Organize actors. Map relationships. Derive the Default Timeline.</w:t>
            </w:r>
          </w:p>
        </w:tc>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Political Zoetrope, College System, Spell Sentence as institutional action, Dual Periodic Table</w:t>
            </w:r>
          </w:p>
        </w:tc>
        <w:tc>
          <w:tcPr>
            <w:tcW w:type="dxa" w:w="23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Information Sequencing</w:t>
            </w:r>
          </w:p>
        </w:tc>
      </w:tr>
      <w:tr>
        <w:tc>
          <w:tcPr>
            <w:tcW w:type="dxa" w:w="5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4</w:t>
            </w:r>
          </w:p>
        </w:tc>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Clocks</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Track advancement. Mark thresholds. Generate bangs.</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Condition Tracks AS Clocks, Fulcrum Points, Scene/Sequel as action economy</w:t>
            </w:r>
          </w:p>
        </w:tc>
        <w:tc>
          <w:tcPr>
            <w:tcW w:type="dxa" w:w="23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Temporal Texture + Collins</w:t>
            </w:r>
          </w:p>
        </w:tc>
      </w:tr>
      <w:tr>
        <w:tc>
          <w:tcPr>
            <w:tcW w:type="dxa" w:w="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5</w:t>
            </w:r>
          </w:p>
        </w:tc>
        <w:tc>
          <w:tcPr>
            <w:tcW w:type="dxa" w:w="1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Symptoms</w:t>
            </w:r>
          </w:p>
        </w:tc>
        <w:tc>
          <w:tcPr>
            <w:tcW w:type="dxa" w:w="2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Place seeds. Hold in superposition. Ensure discovery redundancy.</w:t>
            </w:r>
          </w:p>
        </w:tc>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Spell Sentence as symptom vocabulary, Isotope specificity, Five Alchemy Layers</w:t>
            </w:r>
          </w:p>
        </w:tc>
        <w:tc>
          <w:tcPr>
            <w:tcW w:type="dxa" w:w="23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Attention Direction</w:t>
            </w:r>
          </w:p>
        </w:tc>
      </w:tr>
      <w:tr>
        <w:tc>
          <w:tcPr>
            <w:tcW w:type="dxa" w:w="5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6</w:t>
            </w:r>
          </w:p>
        </w:tc>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Adventures</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Collapse observation. Resolve engagement. Produce consequences.</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Combat/Skill/Social resolution, Talent Trees, Spell Sentence as participant action</w:t>
            </w:r>
          </w:p>
        </w:tc>
        <w:tc>
          <w:tcPr>
            <w:tcW w:type="dxa" w:w="23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Embodied Expression</w:t>
            </w:r>
          </w:p>
        </w:tc>
      </w:tr>
      <w:tr>
        <w:tc>
          <w:tcPr>
            <w:tcW w:type="dxa" w:w="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7</w:t>
            </w:r>
          </w:p>
        </w:tc>
        <w:tc>
          <w:tcPr>
            <w:tcW w:type="dxa" w:w="15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Feedback Loop</w:t>
            </w:r>
          </w:p>
        </w:tc>
        <w:tc>
          <w:tcPr>
            <w:tcW w:type="dxa" w:w="2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Cascade consequences. Read pattern. Crystallize meaning.</w:t>
            </w:r>
          </w:p>
        </w:tc>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Legacy System, XP/Mastery/ESL, Soul Stone as feedback medium, Positional Divinity</w:t>
            </w:r>
          </w:p>
        </w:tc>
        <w:tc>
          <w:tcPr>
            <w:tcW w:type="dxa" w:w="23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Serial Packaging</w:t>
            </w:r>
          </w:p>
        </w:tc>
      </w:tr>
    </w:tbl>
    <w:p>
      <w:r>
        <w:br w:type="page"/>
      </w:r>
    </w:p>
    <w:p>
      <w:pPr>
        <w:pStyle w:val="Heading1"/>
        <w:spacing w:after="140" w:before="300"/>
      </w:pPr>
      <w:r>
        <w:rPr>
          <w:rFonts w:ascii="Garamond" w:cs="Garamond" w:eastAsia="Garamond" w:hAnsi="Garamond"/>
          <w:b/>
          <w:bCs/>
          <w:color w:val="1A1A2E"/>
        </w:rPr>
        <w:t xml:space="preserve">THE THREE LENSES</w:t>
      </w:r>
    </w:p>
    <w:p>
      <w:pPr>
        <w:spacing w:after="50" w:line="276"/>
      </w:pPr>
      <w:r>
        <w:rPr>
          <w:rFonts w:ascii="Garamond" w:cs="Garamond" w:eastAsia="Garamond" w:hAnsi="Garamond"/>
          <w:b w:val="false"/>
          <w:bCs w:val="false"/>
          <w:i w:val="false"/>
          <w:iCs w:val="false"/>
          <w:color w:val="333333"/>
          <w:sz w:val="21"/>
          <w:szCs w:val="21"/>
        </w:rPr>
        <w:t xml:space="preserve">The same events are legible through three perspectives. Each perspective is correct. Each is incomplete without the other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GM Lens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prep-side view. What the operator built, what clocks are running, what fronts are acting, what truths are available. This lens sees the machinery. It is the perspective from which the system is operated. Documents 1A through 5C primarily serve this lens.</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Player Lens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experience-side view. What the participant encounters, investigates, debates, and chooses. This lens sees the fiction. It is the perspective from which the system is experienced. Document 6A primarily serves this lens. The player never sees the machinery. They see the output.</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Retrospective Lens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meaning-side view. What emerged from the collision between preparation and observation. This lens sees the pattern. It is available only after the cycle completes. Documents 7A and 7B serve this lens. The meaning was not planned. It was discovered.</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 unified engine is not optimized for one lens. It produces output legible through all three simultaneously. A session that works only from the GM perspective (mechanically functional but experientially flat) is incomplete. A session that works only from the player perspective (exciting but structurally arbitrary) is incomplete. A session that produces no retrospective pattern (fun in the moment but forgotten afterward) is incomplete. The complete session is legible through all three.</w:t>
      </w:r>
    </w:p>
    <w:p>
      <w:r>
        <w:br w:type="page"/>
      </w:r>
    </w:p>
    <w:p>
      <w:pPr>
        <w:pStyle w:val="Heading1"/>
        <w:spacing w:after="140" w:before="300"/>
      </w:pPr>
      <w:r>
        <w:rPr>
          <w:rFonts w:ascii="Garamond" w:cs="Garamond" w:eastAsia="Garamond" w:hAnsi="Garamond"/>
          <w:b/>
          <w:bCs/>
          <w:color w:val="1A1A2E"/>
        </w:rPr>
        <w:t xml:space="preserve">THE UNIVERSAL CHARACTER SHEET</w:t>
      </w:r>
    </w:p>
    <w:p>
      <w:pPr>
        <w:spacing w:after="50" w:line="276"/>
      </w:pPr>
      <w:r>
        <w:rPr>
          <w:rFonts w:ascii="Garamond" w:cs="Garamond" w:eastAsia="Garamond" w:hAnsi="Garamond"/>
          <w:b w:val="false"/>
          <w:bCs w:val="false"/>
          <w:i w:val="false"/>
          <w:iCs w:val="false"/>
          <w:color w:val="333333"/>
          <w:sz w:val="21"/>
          <w:szCs w:val="21"/>
        </w:rPr>
        <w:t xml:space="preserve">Everything uses the same character sheet. The same Schema instrument profiles player characters, NPCs, institutions, territories, gods, and the Overdeity. The same rules apply. The same build rules apply. The same pressure extraction procedure applies. The same front generation procedure applies. The same clock tracking applies. The same feedback loop applies.</w:t>
      </w:r>
    </w:p>
    <w:p>
      <w:pPr>
        <w:spacing w:after="100" w:line="276"/>
      </w:pPr>
      <w:r>
        <w:rPr>
          <w:rFonts w:ascii="Garamond" w:cs="Garamond" w:eastAsia="Garamond" w:hAnsi="Garamond"/>
          <w:b w:val="false"/>
          <w:bCs w:val="false"/>
          <w:i w:val="false"/>
          <w:iCs w:val="false"/>
          <w:color w:val="333333"/>
          <w:sz w:val="21"/>
          <w:szCs w:val="21"/>
        </w:rPr>
        <w:t xml:space="preserve">The difference between an NPC and an institution is not the system. It is the SCALE. The same Spell Sentence effect describes a character casting a spell and an institution deploying a program. The same clock template tracks a character’s wound recovery and a civilization’s governmental transition. The same Legacy System reads pattern in a character’s accumulated choices and in a territory’s accumulated factional resolutions.</w:t>
      </w:r>
    </w:p>
    <w:p>
      <w:pPr>
        <w:spacing w:after="100" w:line="276"/>
      </w:pPr>
      <w:r>
        <w:rPr>
          <w:rFonts w:ascii="Garamond" w:cs="Garamond" w:eastAsia="Garamond" w:hAnsi="Garamond"/>
          <w:b w:val="false"/>
          <w:bCs w:val="false"/>
          <w:i w:val="false"/>
          <w:iCs w:val="false"/>
          <w:color w:val="333333"/>
          <w:sz w:val="21"/>
          <w:szCs w:val="21"/>
        </w:rPr>
        <w:t xml:space="preserve">The perception of three separate game modes (character-scale, institutional-scale, civilizational-scale) is a filter across the same medium. The Fulcrum Point distance model makes this explicit: the participant extends their reach from Distance 0 (personal resolution) through Distance 3 (institutional manipulation) to Distance ∞ (cosmological intervention) on a single continuum. No game mode changes. The reach changes. The content changes. The system is the same.</w:t>
      </w:r>
    </w:p>
    <w:p>
      <w:r>
        <w:br w:type="page"/>
      </w:r>
    </w:p>
    <w:p>
      <w:pPr>
        <w:pStyle w:val="Heading1"/>
        <w:spacing w:after="140" w:before="300"/>
      </w:pPr>
      <w:r>
        <w:rPr>
          <w:rFonts w:ascii="Garamond" w:cs="Garamond" w:eastAsia="Garamond" w:hAnsi="Garamond"/>
          <w:b/>
          <w:bCs/>
          <w:color w:val="1A1A2E"/>
        </w:rPr>
        <w:t xml:space="preserve">THE OPERATING PRINCIPLES</w:t>
      </w:r>
    </w:p>
    <w:p>
      <w:pPr>
        <w:spacing w:after="50" w:line="276"/>
      </w:pPr>
      <w:r>
        <w:rPr>
          <w:rFonts w:ascii="Garamond" w:cs="Garamond" w:eastAsia="Garamond" w:hAnsi="Garamond"/>
          <w:b w:val="false"/>
          <w:bCs w:val="false"/>
          <w:i w:val="false"/>
          <w:iCs w:val="false"/>
          <w:color w:val="333333"/>
          <w:sz w:val="21"/>
          <w:szCs w:val="21"/>
        </w:rPr>
        <w:t xml:space="preserve">Nine principles that govern how the engine is used. These emerged from the build process and are carried forward as design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1. The story is in the situation, not the sequence</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Prepare density, not direction. The GM writes truths, not plots. The participants determine which truths they discover and in what order. Every path through the density produces a coherent story because the truths are internally consistent.</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2. Complexity generates energy</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Character depth IS mechanical power. The pressure point count that generates interesting story is the same count that generates Fulcrum Points. A shallow character produces few FP and few interesting situations. A contradictory character produces many of both. The system rewards complexity.</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3. Observation creates reality</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Seeds exist in superposition until the participant observes them. The GM holds multiple possible truths simultaneously. The participant’s investigation determines which one was always real. This is the Palimpsest principle made operational. Schrödinger’s Gun is not a trick. It is the setting’s physics expressed through the GM’s methodology.</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4. Meaning is retrospective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Selûnae read fate backward. The Legacy System reads character identity backward. The retrospective lens reads the campaign’s theme backward. No meaning is authored in advance. All meaning is discovered after the fact by participants who lived through the events. The campfire’s product belongs to everyone around it.</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5. The spine is a cycle, not a line</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Every output feeds the next input. The feedback loop is not an optional appendix. It is the mechanism that makes session 30 different from session 1. Without compounding, the game is a series of isolated events. With compounding, the game is a campaign.</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6. Change must be earned</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Smoothing Effect ensures that only sustained pressure from genuine tensions produces lasting change. Easy change is meaningless. Resisted change is dramatic. Clocks have segments because the world resists being altered. The resistance makes the alteration significant when it finally arrives.</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7. The operator must be invisible</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catalyst initiates the reaction without becoming part of the product. The Gray Man principle ensures that the campfire belongs to the group, not to the person who lit it. Visibility collapses participation into consumption.</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8. Every entity uses the same rules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NPCs are not exempt from the physics that govern PCs. Institutions are not exempt from the physics that govern NPCs. Gods are not exempt from the physics that govern institutions. Scale changes. Rules do not. Aíon is not an exception — Aíon is the largest-scale expression of the same system.</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9. Bucket filling precedes design decisions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Do not propose where mechanics could go until all relevant source material has been catalogued. Do not lock decisions until the data supports them. The extraction procedure at Vertebra 2 IS this principle applied to NPC generation. The same principle applies to the engine’s own development.</w:t>
            </w:r>
          </w:p>
        </w:tc>
      </w:tr>
    </w:tbl>
    <w:p>
      <w:r>
        <w:br w:type="page"/>
      </w:r>
    </w:p>
    <w:p>
      <w:pPr>
        <w:pStyle w:val="Heading1"/>
        <w:spacing w:after="140" w:before="300"/>
      </w:pPr>
      <w:r>
        <w:rPr>
          <w:rFonts w:ascii="Garamond" w:cs="Garamond" w:eastAsia="Garamond" w:hAnsi="Garamond"/>
          <w:b/>
          <w:bCs/>
          <w:color w:val="1A1A2E"/>
        </w:rPr>
        <w:t xml:space="preserve">THE DISTANCE PRINCIPLE</w:t>
      </w:r>
    </w:p>
    <w:p>
      <w:pPr>
        <w:spacing w:after="50" w:line="276"/>
      </w:pPr>
      <w:r>
        <w:rPr>
          <w:rFonts w:ascii="Garamond" w:cs="Garamond" w:eastAsia="Garamond" w:hAnsi="Garamond"/>
          <w:b w:val="false"/>
          <w:bCs w:val="false"/>
          <w:i w:val="false"/>
          <w:iCs w:val="false"/>
          <w:color w:val="333333"/>
          <w:sz w:val="21"/>
          <w:szCs w:val="21"/>
        </w:rPr>
        <w:t xml:space="preserve">Everything the participant can do is describable as a Distance operation on the spine. The cost increases with distance. The side effects increase with distance. The narrative impact increases with distance. One currency, one mechanic, one spine, different 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2200"/>
        <w:gridCol w:w="2200"/>
        <w:gridCol w:w="3060"/>
      </w:tblGrid>
      <w:tr>
        <w:tc>
          <w:tcPr>
            <w:tcW w:type="dxa" w:w="9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Dist</w:t>
            </w:r>
          </w:p>
        </w:tc>
        <w:tc>
          <w:tcPr>
            <w:tcW w:type="dxa" w:w="10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Cost</w:t>
            </w:r>
          </w:p>
        </w:tc>
        <w:tc>
          <w:tcPr>
            <w:tcW w:type="dxa" w:w="22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Target</w:t>
            </w:r>
          </w:p>
        </w:tc>
        <w:tc>
          <w:tcPr>
            <w:tcW w:type="dxa" w:w="22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Play Mode</w:t>
            </w:r>
          </w:p>
        </w:tc>
        <w:tc>
          <w:tcPr>
            <w:tcW w:type="dxa" w:w="306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Side Effect Scale</w:t>
            </w:r>
          </w:p>
        </w:tc>
      </w:tr>
      <w:tr>
        <w:tc>
          <w:tcPr>
            <w:tcW w:type="dxa" w:w="9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0</w:t>
            </w:r>
          </w:p>
        </w:tc>
        <w:tc>
          <w:tcPr>
            <w:tcW w:type="dxa" w:w="10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1 FP</w:t>
            </w:r>
          </w:p>
        </w:tc>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Current vertebra</w:t>
            </w:r>
          </w:p>
        </w:tc>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Combat, immediate action</w:t>
            </w:r>
          </w:p>
        </w:tc>
        <w:tc>
          <w:tcPr>
            <w:tcW w:type="dxa" w:w="30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Minimal — within current frame</w:t>
            </w:r>
          </w:p>
        </w:tc>
      </w:tr>
      <w:tr>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1</w:t>
            </w:r>
          </w:p>
        </w:tc>
        <w:tc>
          <w:tcPr>
            <w:tcW w:type="dxa" w:w="10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2 FP</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Adjacent vertebra</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Social encounters, exploration, seed placement</w:t>
            </w:r>
          </w:p>
        </w:tc>
        <w:tc>
          <w:tcPr>
            <w:tcW w:type="dxa" w:w="30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Minor — one skipped vertebra processes later</w:t>
            </w:r>
          </w:p>
        </w:tc>
      </w:tr>
      <w:tr>
        <w:tc>
          <w:tcPr>
            <w:tcW w:type="dxa" w:w="9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2</w:t>
            </w:r>
          </w:p>
        </w:tc>
        <w:tc>
          <w:tcPr>
            <w:tcW w:type="dxa" w:w="10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3 FP</w:t>
            </w:r>
          </w:p>
        </w:tc>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Two vertebrae away</w:t>
            </w:r>
          </w:p>
        </w:tc>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Clock manipulation, pressure point revelation</w:t>
            </w:r>
          </w:p>
        </w:tc>
        <w:tc>
          <w:tcPr>
            <w:tcW w:type="dxa" w:w="30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Moderate — front acts on outdated information</w:t>
            </w:r>
          </w:p>
        </w:tc>
      </w:tr>
      <w:tr>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3</w:t>
            </w:r>
          </w:p>
        </w:tc>
        <w:tc>
          <w:tcPr>
            <w:tcW w:type="dxa" w:w="10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4 FP</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Three vertebrae away</w:t>
            </w:r>
          </w:p>
        </w:tc>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Relationship edge alteration, Schema element reveal</w:t>
            </w:r>
          </w:p>
        </w:tc>
        <w:tc>
          <w:tcPr>
            <w:tcW w:type="dxa" w:w="30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Significant — network rebalances around altered edge</w:t>
            </w:r>
          </w:p>
        </w:tc>
      </w:tr>
      <w:tr>
        <w:tc>
          <w:tcPr>
            <w:tcW w:type="dxa" w:w="9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w:t>
            </w:r>
          </w:p>
        </w:tc>
        <w:tc>
          <w:tcPr>
            <w:tcW w:type="dxa" w:w="10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5 FP</w:t>
            </w:r>
          </w:p>
        </w:tc>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Regulatory systems</w:t>
            </w:r>
          </w:p>
        </w:tc>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Smoothing override, cosmological intervention</w:t>
            </w:r>
          </w:p>
        </w:tc>
        <w:tc>
          <w:tcPr>
            <w:tcW w:type="dxa" w:w="30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Maximum — Aíon’s architecture notices and responds</w:t>
            </w:r>
          </w:p>
        </w:tc>
      </w:tr>
    </w:tbl>
    <w:p>
      <w:r>
        <w:br w:type="page"/>
      </w:r>
    </w:p>
    <w:p>
      <w:pPr>
        <w:pStyle w:val="Heading1"/>
        <w:spacing w:after="140" w:before="300"/>
      </w:pPr>
      <w:r>
        <w:rPr>
          <w:rFonts w:ascii="Garamond" w:cs="Garamond" w:eastAsia="Garamond" w:hAnsi="Garamond"/>
          <w:b/>
          <w:bCs/>
          <w:color w:val="1A1A2E"/>
        </w:rPr>
        <w:t xml:space="preserve">THE COSMOLOGICAL GROUNDING</w:t>
      </w:r>
    </w:p>
    <w:p>
      <w:pPr>
        <w:spacing w:after="50" w:line="276"/>
      </w:pPr>
      <w:r>
        <w:rPr>
          <w:rFonts w:ascii="Garamond" w:cs="Garamond" w:eastAsia="Garamond" w:hAnsi="Garamond"/>
          <w:b w:val="false"/>
          <w:bCs w:val="false"/>
          <w:i w:val="false"/>
          <w:iCs w:val="false"/>
          <w:color w:val="333333"/>
          <w:sz w:val="21"/>
          <w:szCs w:val="21"/>
        </w:rPr>
        <w:t xml:space="preserve">The engine’s architecture is not a game designer’s abstraction imposed on a setting. It is the setting’s cosmology expressed as playable mechanics.</w:t>
      </w:r>
    </w:p>
    <w:p>
      <w:pPr>
        <w:spacing w:after="100" w:line="276"/>
      </w:pPr>
      <w:r>
        <w:rPr>
          <w:rFonts w:ascii="Garamond" w:cs="Garamond" w:eastAsia="Garamond" w:hAnsi="Garamond"/>
          <w:b w:val="false"/>
          <w:bCs w:val="false"/>
          <w:i w:val="false"/>
          <w:iCs w:val="false"/>
          <w:color w:val="333333"/>
          <w:sz w:val="21"/>
          <w:szCs w:val="21"/>
        </w:rPr>
        <w:t xml:space="preserve">The Palimpsest holds superposition states. Fulcrum Points are the participant’s ability to choose which state collapses. The Smoothing Effect is Aíon continuously spending infinite FP to maintain coherence across two merged realities. The five alchemy layers are five planes’ isotopes expressing through observable effects. The Spell Sentence is the grammar of those effects at every scale. The Legacy System is the Selûnae reading fate backward. The Zoetrope is the civilizational clock operating at the longest timescale.</w:t>
      </w:r>
    </w:p>
    <w:p>
      <w:pPr>
        <w:spacing w:after="100" w:line="276"/>
      </w:pPr>
      <w:r>
        <w:rPr>
          <w:rFonts w:ascii="Garamond" w:cs="Garamond" w:eastAsia="Garamond" w:hAnsi="Garamond"/>
          <w:b w:val="false"/>
          <w:bCs w:val="false"/>
          <w:i w:val="false"/>
          <w:iCs w:val="false"/>
          <w:color w:val="333333"/>
          <w:sz w:val="21"/>
          <w:szCs w:val="21"/>
        </w:rPr>
        <w:t xml:space="preserve">When the participant spends Fulcrum Points, they are performing a cosmological act. They are manipulating the Palimpsest. When the GM holds seeds in superposition, they are performing Aíon’s function at the table scale. When the table reads the campaign’s meaning retrospectively, they are performing the Selûnae’s function at the human scale. The game’s cosmology and the game’s mechanics are the same system. The setting’s gods and the table’s participants are performing the same operations at different scales. This is not metaphor. It is architecture.</w:t>
      </w:r>
    </w:p>
    <w:p>
      <w:r>
        <w:br w:type="page"/>
      </w:r>
    </w:p>
    <w:p>
      <w:pPr>
        <w:pStyle w:val="Heading1"/>
        <w:spacing w:after="140" w:before="300"/>
      </w:pPr>
      <w:r>
        <w:rPr>
          <w:rFonts w:ascii="Garamond" w:cs="Garamond" w:eastAsia="Garamond" w:hAnsi="Garamond"/>
          <w:b/>
          <w:bCs/>
          <w:color w:val="1A1A2E"/>
        </w:rPr>
        <w:t xml:space="preserve">THE REGULATORY SYSTEMS</w:t>
      </w:r>
    </w:p>
    <w:p>
      <w:pPr>
        <w:spacing w:after="50" w:line="276"/>
      </w:pPr>
      <w:r>
        <w:rPr>
          <w:rFonts w:ascii="Garamond" w:cs="Garamond" w:eastAsia="Garamond" w:hAnsi="Garamond"/>
          <w:b w:val="false"/>
          <w:bCs w:val="false"/>
          <w:i w:val="false"/>
          <w:iCs w:val="false"/>
          <w:color w:val="333333"/>
          <w:sz w:val="21"/>
          <w:szCs w:val="21"/>
        </w:rPr>
        <w:t xml:space="preserve">Eight systems that shape how every vertebra processes its content. Two diagnostics, one method, five governors.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System</w:t>
            </w:r>
          </w:p>
        </w:tc>
        <w:tc>
          <w:tcPr>
            <w:tcW w:type="dxa" w:w="12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Type</w:t>
            </w:r>
          </w:p>
        </w:tc>
        <w:tc>
          <w:tcPr>
            <w:tcW w:type="dxa" w:w="596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One-Line Function</w:t>
            </w:r>
          </w:p>
        </w:tc>
      </w:tr>
      <w:tr>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Information/Choice/Consequence</w:t>
            </w:r>
          </w:p>
        </w:tc>
        <w:tc>
          <w:tcPr>
            <w:tcW w:type="dxa" w:w="1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iCs/>
                <w:color w:val="333333"/>
                <w:sz w:val="18"/>
                <w:szCs w:val="18"/>
              </w:rPr>
              <w:t xml:space="preserve">Diagnostic</w:t>
            </w:r>
          </w:p>
        </w:tc>
        <w:tc>
          <w:tcPr>
            <w:tcW w:type="dxa" w:w="5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If it stalls, one of three elements is missing. Supply it.</w:t>
            </w:r>
          </w:p>
        </w:tc>
      </w:tr>
      <w:t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Red Team</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iCs/>
                <w:color w:val="333333"/>
                <w:sz w:val="18"/>
                <w:szCs w:val="18"/>
              </w:rPr>
              <w:t xml:space="preserve">Method</w:t>
            </w:r>
          </w:p>
        </w:tc>
        <w:tc>
          <w:tcPr>
            <w:tcW w:type="dxa" w:w="5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Adopt the opposing perspective to validate your work.</w:t>
            </w:r>
          </w:p>
        </w:tc>
      </w:tr>
      <w:tr>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Schema Co-Completion</w:t>
            </w:r>
          </w:p>
        </w:tc>
        <w:tc>
          <w:tcPr>
            <w:tcW w:type="dxa" w:w="1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iCs/>
                <w:color w:val="333333"/>
                <w:sz w:val="18"/>
                <w:szCs w:val="18"/>
              </w:rPr>
              <w:t xml:space="preserve">Governor</w:t>
            </w:r>
          </w:p>
        </w:tc>
        <w:tc>
          <w:tcPr>
            <w:tcW w:type="dxa" w:w="5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Optimal specification leaves room for participant contribution.</w:t>
            </w:r>
          </w:p>
        </w:tc>
      </w:tr>
      <w:t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Transportation</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iCs/>
                <w:color w:val="333333"/>
                <w:sz w:val="18"/>
                <w:szCs w:val="18"/>
              </w:rPr>
              <w:t xml:space="preserve">Governor</w:t>
            </w:r>
          </w:p>
        </w:tc>
        <w:tc>
          <w:tcPr>
            <w:tcW w:type="dxa" w:w="5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Protect the fictional dream above structural cleverness.</w:t>
            </w:r>
          </w:p>
        </w:tc>
      </w:tr>
      <w:tr>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Smoothing Effect</w:t>
            </w:r>
          </w:p>
        </w:tc>
        <w:tc>
          <w:tcPr>
            <w:tcW w:type="dxa" w:w="1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iCs/>
                <w:color w:val="333333"/>
                <w:sz w:val="18"/>
                <w:szCs w:val="18"/>
              </w:rPr>
              <w:t xml:space="preserve">Governor</w:t>
            </w:r>
          </w:p>
        </w:tc>
        <w:tc>
          <w:tcPr>
            <w:tcW w:type="dxa" w:w="5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Resist dramatic change. Reward sustained pressure.</w:t>
            </w:r>
          </w:p>
        </w:tc>
      </w:tr>
      <w:t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Three Survival Functions</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iCs/>
                <w:color w:val="333333"/>
                <w:sz w:val="18"/>
                <w:szCs w:val="18"/>
              </w:rPr>
              <w:t xml:space="preserve">Validator</w:t>
            </w:r>
          </w:p>
        </w:tc>
        <w:tc>
          <w:tcPr>
            <w:tcW w:type="dxa" w:w="5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Every cycle needs encoding, calibration, and binding.</w:t>
            </w:r>
          </w:p>
        </w:tc>
      </w:tr>
      <w:tr>
        <w:tc>
          <w:tcPr>
            <w:tcW w:type="dxa" w:w="2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Information Economy</w:t>
            </w:r>
          </w:p>
        </w:tc>
        <w:tc>
          <w:tcPr>
            <w:tcW w:type="dxa" w:w="1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iCs/>
                <w:color w:val="333333"/>
                <w:sz w:val="18"/>
                <w:szCs w:val="18"/>
              </w:rPr>
              <w:t xml:space="preserve">Governor</w:t>
            </w:r>
          </w:p>
        </w:tc>
        <w:tc>
          <w:tcPr>
            <w:tcW w:type="dxa" w:w="5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Control flow speed through supply, demand, and cost.</w:t>
            </w:r>
          </w:p>
        </w:tc>
      </w:tr>
      <w:t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Interaction Ritual</w:t>
            </w:r>
          </w:p>
        </w:tc>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iCs/>
                <w:color w:val="333333"/>
                <w:sz w:val="18"/>
                <w:szCs w:val="18"/>
              </w:rPr>
              <w:t xml:space="preserve">Prerequisite</w:t>
            </w:r>
          </w:p>
        </w:tc>
        <w:tc>
          <w:tcPr>
            <w:tcW w:type="dxa" w:w="5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Four conditions for emotional peak: focus, mood, awareness, boundary.</w:t>
            </w:r>
          </w:p>
        </w:tc>
      </w:tr>
    </w:tbl>
    <w:p>
      <w:r>
        <w:br w:type="page"/>
      </w:r>
    </w:p>
    <w:p>
      <w:pPr>
        <w:pStyle w:val="Heading1"/>
        <w:spacing w:after="140" w:before="300"/>
      </w:pPr>
      <w:r>
        <w:rPr>
          <w:rFonts w:ascii="Garamond" w:cs="Garamond" w:eastAsia="Garamond" w:hAnsi="Garamond"/>
          <w:b/>
          <w:bCs/>
          <w:color w:val="1A1A2E"/>
        </w:rPr>
        <w:t xml:space="preserve">THE CAMPFIRE PRINCIPLE</w:t>
      </w:r>
    </w:p>
    <w:p>
      <w:pPr>
        <w:spacing w:after="50" w:line="276"/>
      </w:pPr>
      <w:r>
        <w:rPr>
          <w:rFonts w:ascii="Garamond" w:cs="Garamond" w:eastAsia="Garamond" w:hAnsi="Garamond"/>
          <w:b w:val="false"/>
          <w:bCs w:val="false"/>
          <w:i w:val="false"/>
          <w:iCs w:val="false"/>
          <w:color w:val="333333"/>
          <w:sz w:val="21"/>
          <w:szCs w:val="21"/>
        </w:rPr>
        <w:t xml:space="preserve">The unified engine is a campfire. The operator lights it and steps back. The participants gather around it and co-create. The fire’s fuel is prepared density — truths held in superposition. The fire’s heat is emotional engagement produced when Collins’ conditions are met. The fire’s light is meaning — the retrospective pattern that emerges when the table looks at the path they’ve walked together.</w:t>
      </w:r>
    </w:p>
    <w:p>
      <w:pPr>
        <w:spacing w:after="100" w:line="276"/>
      </w:pPr>
      <w:r>
        <w:rPr>
          <w:rFonts w:ascii="Garamond" w:cs="Garamond" w:eastAsia="Garamond" w:hAnsi="Garamond"/>
          <w:b w:val="false"/>
          <w:bCs w:val="false"/>
          <w:i w:val="false"/>
          <w:iCs w:val="false"/>
          <w:color w:val="333333"/>
          <w:sz w:val="21"/>
          <w:szCs w:val="21"/>
        </w:rPr>
        <w:t xml:space="preserve">The campfire is not a metaphor for the engine. The campfire IS what the engine produces. The three survival functions (information encoding, social norm calibration, group binding) are not aspirational goals. They are the outputs of a properly operating spine cycle. A cycle that produces all three is a complete session. A cycle that produces fewer is mechanically functional but humanly incomplete.</w:t>
      </w:r>
    </w:p>
    <w:p>
      <w:pPr>
        <w:spacing w:after="100" w:line="276"/>
      </w:pPr>
      <w:r>
        <w:rPr>
          <w:rFonts w:ascii="Garamond" w:cs="Garamond" w:eastAsia="Garamond" w:hAnsi="Garamond"/>
          <w:b w:val="false"/>
          <w:bCs w:val="false"/>
          <w:i w:val="false"/>
          <w:iCs w:val="false"/>
          <w:color w:val="333333"/>
          <w:sz w:val="21"/>
          <w:szCs w:val="21"/>
        </w:rPr>
        <w:t xml:space="preserve">The engine’s ultimate product is not a story. It is a shared experience that the participants remember, reference, and use to understand themselves and each other. The story is the residue. The experience is the product. The meaning is the gift the participants give each other by tending the fire together.</w:t>
      </w:r>
    </w:p>
    <w:p>
      <w:r>
        <w:br w:type="page"/>
      </w:r>
    </w:p>
    <w:p>
      <w:pPr>
        <w:pStyle w:val="Heading1"/>
        <w:spacing w:after="140" w:before="300"/>
      </w:pPr>
      <w:r>
        <w:rPr>
          <w:rFonts w:ascii="Garamond" w:cs="Garamond" w:eastAsia="Garamond" w:hAnsi="Garamond"/>
          <w:b/>
          <w:bCs/>
          <w:color w:val="1A1A2E"/>
        </w:rPr>
        <w:t xml:space="preserve">THE DOCUMENT MAP</w:t>
      </w:r>
    </w:p>
    <w:p>
      <w:pPr>
        <w:spacing w:after="50" w:line="276"/>
      </w:pPr>
      <w:r>
        <w:rPr>
          <w:rFonts w:ascii="Garamond" w:cs="Garamond" w:eastAsia="Garamond" w:hAnsi="Garamond"/>
          <w:b w:val="false"/>
          <w:bCs w:val="false"/>
          <w:i w:val="false"/>
          <w:iCs w:val="false"/>
          <w:color w:val="333333"/>
          <w:sz w:val="21"/>
          <w:szCs w:val="21"/>
        </w:rPr>
        <w:t xml:space="preserve">Twenty-one documents specifying the complete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Phase</w:t>
            </w:r>
          </w:p>
        </w:tc>
        <w:tc>
          <w:tcPr>
            <w:tcW w:type="dxa" w:w="26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Document</w:t>
            </w:r>
          </w:p>
        </w:tc>
        <w:tc>
          <w:tcPr>
            <w:tcW w:type="dxa" w:w="596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Content</w:t>
            </w:r>
          </w:p>
        </w:tc>
      </w:tr>
      <w:tr>
        <w:tc>
          <w:tcPr>
            <w:tcW w:type="dxa" w:w="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1</w:t>
            </w:r>
          </w:p>
        </w:tc>
        <w:tc>
          <w:tcPr>
            <w:tcW w:type="dxa" w:w="2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0 — Operating Philosophy</w:t>
            </w:r>
          </w:p>
        </w:tc>
        <w:tc>
          <w:tcPr>
            <w:tcW w:type="dxa" w:w="5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This document. The architecture’s foundational principles, read last, written last.</w:t>
            </w:r>
          </w:p>
        </w:tc>
      </w:tr>
      <w:tr>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1</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1A — Psyche Schema v4</w:t>
            </w:r>
          </w:p>
        </w:tc>
        <w:tc>
          <w:tcPr>
            <w:tcW w:type="dxa" w:w="5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profiling instrument. 10-band overlay, three sections, companion elements, FP generation.</w:t>
            </w:r>
          </w:p>
        </w:tc>
      </w:tr>
      <w:tr>
        <w:tc>
          <w:tcPr>
            <w:tcW w:type="dxa" w:w="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1</w:t>
            </w:r>
          </w:p>
        </w:tc>
        <w:tc>
          <w:tcPr>
            <w:tcW w:type="dxa" w:w="2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1A Addendum — Diagnostics</w:t>
            </w:r>
          </w:p>
        </w:tc>
        <w:tc>
          <w:tcPr>
            <w:tcW w:type="dxa" w:w="5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Five corrected diagnostic findings from the Schema’s development process.</w:t>
            </w:r>
          </w:p>
        </w:tc>
      </w:tr>
      <w:tr>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1</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1B — Profiling Companions</w:t>
            </w:r>
          </w:p>
        </w:tc>
        <w:tc>
          <w:tcPr>
            <w:tcW w:type="dxa" w:w="5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Applying the Schema to players, institutions, territories, gods. Composite stacking.</w:t>
            </w:r>
          </w:p>
        </w:tc>
      </w:tr>
      <w:tr>
        <w:tc>
          <w:tcPr>
            <w:tcW w:type="dxa" w:w="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1</w:t>
            </w:r>
          </w:p>
        </w:tc>
        <w:tc>
          <w:tcPr>
            <w:tcW w:type="dxa" w:w="2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2A — Pressure Extraction</w:t>
            </w:r>
          </w:p>
        </w:tc>
        <w:tc>
          <w:tcPr>
            <w:tcW w:type="dxa" w:w="5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Ten Questions, three Schema reads, dual reading, contextual interpretation, eight-step procedure.</w:t>
            </w:r>
          </w:p>
        </w:tc>
      </w:tr>
      <w:tr>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1</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2B — NPC Assessment Card</w:t>
            </w:r>
          </w:p>
        </w:tc>
        <w:tc>
          <w:tcPr>
            <w:tcW w:type="dxa" w:w="5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Two-page fillable template for persistent pressure storage. Progressive fill protocol.</w:t>
            </w:r>
          </w:p>
        </w:tc>
      </w:tr>
      <w:tr>
        <w:tc>
          <w:tcPr>
            <w:tcW w:type="dxa" w:w="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2</w:t>
            </w:r>
          </w:p>
        </w:tc>
        <w:tc>
          <w:tcPr>
            <w:tcW w:type="dxa" w:w="2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3A — Front Architecture</w:t>
            </w:r>
          </w:p>
        </w:tc>
        <w:tc>
          <w:tcPr>
            <w:tcW w:type="dxa" w:w="5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Four front types, eight-field template, representation chain, Great/Little Tradition, Default Timeline.</w:t>
            </w:r>
          </w:p>
        </w:tc>
      </w:tr>
      <w:tr>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2</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3B — Relationship Map</w:t>
            </w:r>
          </w:p>
        </w:tc>
        <w:tc>
          <w:tcPr>
            <w:tcW w:type="dxa" w:w="5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Five node types, three edge properties, four propagation rules, six map patterns, maintenance checklist.</w:t>
            </w:r>
          </w:p>
        </w:tc>
      </w:tr>
      <w:tr>
        <w:tc>
          <w:tcPr>
            <w:tcW w:type="dxa" w:w="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2</w:t>
            </w:r>
          </w:p>
        </w:tc>
        <w:tc>
          <w:tcPr>
            <w:tcW w:type="dxa" w:w="2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3C — Faction Turn Procedures</w:t>
            </w:r>
          </w:p>
        </w:tc>
        <w:tc>
          <w:tcPr>
            <w:tcW w:type="dxa" w:w="5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Four action types, nine-college methodology matrix, ten-step between-session procedure, Zoetrope coupling.</w:t>
            </w:r>
          </w:p>
        </w:tc>
      </w:tr>
      <w:tr>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3</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4A — Clock System</w:t>
            </w:r>
          </w:p>
        </w:tc>
        <w:tc>
          <w:tcPr>
            <w:tcW w:type="dxa" w:w="5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Condition Track identity, nine-field template, four scales, threshold coupling, bang generation.</w:t>
            </w:r>
          </w:p>
        </w:tc>
      </w:tr>
      <w:tr>
        <w:tc>
          <w:tcPr>
            <w:tcW w:type="dxa" w:w="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3</w:t>
            </w:r>
          </w:p>
        </w:tc>
        <w:tc>
          <w:tcPr>
            <w:tcW w:type="dxa" w:w="2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4B — Fulcrum Points</w:t>
            </w:r>
          </w:p>
        </w:tc>
        <w:tc>
          <w:tcPr>
            <w:tcW w:type="dxa" w:w="5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Distance model, pool generation, Mastery as reach, bidirectional response, planar expression, unified resolution.</w:t>
            </w:r>
          </w:p>
        </w:tc>
      </w:tr>
      <w:tr>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3</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4C — Pacing and Beat Analysis</w:t>
            </w:r>
          </w:p>
        </w:tc>
        <w:tc>
          <w:tcPr>
            <w:tcW w:type="dxa" w:w="5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Beat vocabulary, Scene/Sequel structure, session generator integration, six session patterns, session boundaries.</w:t>
            </w:r>
          </w:p>
        </w:tc>
      </w:tr>
      <w:tr>
        <w:tc>
          <w:tcPr>
            <w:tcW w:type="dxa" w:w="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3</w:t>
            </w:r>
          </w:p>
        </w:tc>
        <w:tc>
          <w:tcPr>
            <w:tcW w:type="dxa" w:w="2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5A — Seed Management</w:t>
            </w:r>
          </w:p>
        </w:tc>
        <w:tc>
          <w:tcPr>
            <w:tcW w:type="dxa" w:w="5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Five tools (Three Clue Rule, Schrödinger, Chekhov, Lazy DM, Node-Based), seven-step prep workflow, seed tracking.</w:t>
            </w:r>
          </w:p>
        </w:tc>
      </w:tr>
      <w:tr>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3</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5B — Oracle Tables</w:t>
            </w:r>
          </w:p>
        </w:tc>
        <w:tc>
          <w:tcPr>
            <w:tcW w:type="dxa" w:w="5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Three-axis system (d10 × d20 × d6 = 1,200 combinations), interpretation procedure, worked examples, contextual modifiers.</w:t>
            </w:r>
          </w:p>
        </w:tc>
      </w:tr>
      <w:tr>
        <w:tc>
          <w:tcPr>
            <w:tcW w:type="dxa" w:w="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3</w:t>
            </w:r>
          </w:p>
        </w:tc>
        <w:tc>
          <w:tcPr>
            <w:tcW w:type="dxa" w:w="2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5C — Isotope Expression Guide</w:t>
            </w:r>
          </w:p>
        </w:tc>
        <w:tc>
          <w:tcPr>
            <w:tcW w:type="dxa" w:w="5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Five alchemy layer profiles, cross-layer symptoms, translation procedure, territorial profiles.</w:t>
            </w:r>
          </w:p>
        </w:tc>
      </w:tr>
      <w:tr>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3</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6A — Resolution and Collapse</w:t>
            </w:r>
          </w:p>
        </w:tc>
        <w:tc>
          <w:tcPr>
            <w:tcW w:type="dxa" w:w="5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Three resolution systems, ACH, belief activation, compels, flashbacks, participant toolkit, collapse output.</w:t>
            </w:r>
          </w:p>
        </w:tc>
      </w:tr>
      <w:tr>
        <w:tc>
          <w:tcPr>
            <w:tcW w:type="dxa" w:w="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4</w:t>
            </w:r>
          </w:p>
        </w:tc>
        <w:tc>
          <w:tcPr>
            <w:tcW w:type="dxa" w:w="2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7A — Consequence and Legacy</w:t>
            </w:r>
          </w:p>
        </w:tc>
        <w:tc>
          <w:tcPr>
            <w:tcW w:type="dxa" w:w="5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Cascade procedure, Legacy System, compounding world, Chekhov tracking, positional divinity cycling, retrospective read.</w:t>
            </w:r>
          </w:p>
        </w:tc>
      </w:tr>
      <w:tr>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4</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7B — Collective Memory</w:t>
            </w:r>
          </w:p>
        </w:tc>
        <w:tc>
          <w:tcPr>
            <w:tcW w:type="dxa" w:w="5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ledger, cultural trauma, participatory correction, Selûnae Principle, Microscope, eleven-tool feedback toolkit.</w:t>
            </w:r>
          </w:p>
        </w:tc>
      </w:tr>
      <w:tr>
        <w:tc>
          <w:tcPr>
            <w:tcW w:type="dxa" w:w="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5</w:t>
            </w:r>
          </w:p>
        </w:tc>
        <w:tc>
          <w:tcPr>
            <w:tcW w:type="dxa" w:w="2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R1 — Regulatory Systems</w:t>
            </w:r>
          </w:p>
        </w:tc>
        <w:tc>
          <w:tcPr>
            <w:tcW w:type="dxa" w:w="5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All eight systems: McDowall, Red Team, Bartlett, Transportation, Smoothing, Three Functions, Info Economy, Collins.</w:t>
            </w:r>
          </w:p>
        </w:tc>
      </w:tr>
      <w:tr>
        <w:tc>
          <w:tcPr>
            <w:tcW w:type="dxa" w:w="8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5</w:t>
            </w:r>
          </w:p>
        </w:tc>
        <w:tc>
          <w:tcPr>
            <w:tcW w:type="dxa" w:w="26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C1 — Catalysts and Activation</w:t>
            </w:r>
          </w:p>
        </w:tc>
        <w:tc>
          <w:tcPr>
            <w:tcW w:type="dxa" w:w="5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Four-Phase Plan (SERE/Tradecraft/SADRAT/Gray Man), Gray Man Principle, Modularity, cross-media activation, self-check.</w:t>
            </w:r>
          </w:p>
        </w:tc>
      </w:tr>
      <w:tr>
        <w:tc>
          <w:tcPr>
            <w:tcW w:type="dxa" w:w="8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6</w:t>
            </w:r>
          </w:p>
        </w:tc>
        <w:tc>
          <w:tcPr>
            <w:tcW w:type="dxa" w:w="2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6B — Worked Examples</w:t>
            </w:r>
          </w:p>
        </w:tc>
        <w:tc>
          <w:tcPr>
            <w:tcW w:type="dxa" w:w="5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Three full spine cycles through three lenses. The proof of concept.</w:t>
            </w:r>
          </w:p>
        </w:tc>
      </w:tr>
    </w:tbl>
    <w:p>
      <w:pPr>
        <w:spacing w:after="100" w:line="276"/>
      </w:pPr>
      <w:r>
        <w:rPr>
          <w:rFonts w:ascii="Garamond" w:cs="Garamond" w:eastAsia="Garamond" w:hAnsi="Garamond"/>
          <w:b w:val="false"/>
          <w:bCs w:val="false"/>
          <w:i w:val="false"/>
          <w:iCs w:val="false"/>
          <w:color w:val="333333"/>
          <w:sz w:val="21"/>
          <w:szCs w:val="21"/>
        </w:rPr>
        <w:t xml:space="preserve"/>
      </w:r>
    </w:p>
    <w:p>
      <w:pPr>
        <w:pBdr>
          <w:bottom w:val="single" w:color="CCCCCC" w:sz="3" w:space="1"/>
        </w:pBdr>
        <w:spacing w:after="80" w:before="80"/>
      </w:pPr>
      <w:r>
        <w:rPr>
          <w:sz w:val="2"/>
          <w:szCs w:val="2"/>
        </w:rPr>
        <w:t xml:space="preserve"/>
      </w:r>
    </w:p>
    <w:p>
      <w:pPr>
        <w:spacing w:after="100" w:line="276"/>
      </w:pPr>
      <w:r>
        <w:rPr>
          <w:rFonts w:ascii="Garamond" w:cs="Garamond" w:eastAsia="Garamond" w:hAnsi="Garamond"/>
          <w:b w:val="false"/>
          <w:bCs w:val="false"/>
          <w:i/>
          <w:iCs/>
          <w:color w:val="888888"/>
          <w:sz w:val="21"/>
          <w:szCs w:val="21"/>
        </w:rPr>
        <w:t xml:space="preserve">The spine is specified. The documents are built. The architecture is one system in three vocabularies, cyclic, self-correcting, scale-independent, and cosmologically grounded. The next phase is playtesting — running it at a table to calibrate the values, validate the procedures, and discover what the architecture produces when real participants collapse its superpositions into real, shared, remembered experience.</w:t>
      </w:r>
    </w:p>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Garamond" w:cs="Garamond" w:eastAsia="Garamond" w:hAnsi="Garamond"/>
      <w:b/>
      <w:bCs/>
      <w:color w:val="1A1A2E"/>
      <w:sz w:val="30"/>
      <w:szCs w:val="30"/>
    </w:rPr>
  </w:style>
  <w:style w:type="paragraph" w:styleId="Heading2">
    <w:name w:val="Heading 2"/>
    <w:basedOn w:val="Normal"/>
    <w:next w:val="Normal"/>
    <w:qFormat/>
    <w:pPr>
      <w:spacing w:after="140" w:before="260"/>
      <w:outlineLvl w:val="1"/>
    </w:pPr>
    <w:rPr>
      <w:rFonts w:ascii="Garamond" w:cs="Garamond" w:eastAsia="Garamond" w:hAnsi="Garamond"/>
      <w:b/>
      <w:bCs/>
      <w:color w:val="2B2B4B"/>
      <w:sz w:val="25"/>
      <w:szCs w:val="25"/>
    </w:rPr>
  </w:style>
  <w:style w:type="paragraph" w:styleId="Heading3">
    <w:name w:val="Heading 3"/>
    <w:basedOn w:val="Normal"/>
    <w:next w:val="Normal"/>
    <w:qFormat/>
    <w:pPr>
      <w:spacing w:after="100" w:before="200"/>
      <w:outlineLvl w:val="2"/>
    </w:pPr>
    <w:rPr>
      <w:rFonts w:ascii="Garamond" w:cs="Garamond" w:eastAsia="Garamond" w:hAnsi="Garamond"/>
      <w:b/>
      <w:bCs/>
      <w:color w:val="4444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2026-04-15T03:22:56.790Z</dcterms:created>
  <dcterms:modified xsi:type="dcterms:W3CDTF">2026-04-15T03:22:56.791Z</dcterms:modified>
</cp:coreProperties>
</file>

<file path=docProps/custom.xml><?xml version="1.0" encoding="utf-8"?>
<Properties xmlns="http://schemas.openxmlformats.org/officeDocument/2006/custom-properties" xmlns:vt="http://schemas.openxmlformats.org/officeDocument/2006/docPropsVTypes"/>
</file>