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jc w:val="center"/>
      </w:pPr>
      <w:r>
        <w:rPr>
          <w:rFonts w:ascii="Garamond" w:cs="Garamond" w:eastAsia="Garamond" w:hAnsi="Garamond"/>
          <w:b/>
          <w:bCs/>
          <w:color w:val="1A1A2E"/>
          <w:sz w:val="36"/>
          <w:szCs w:val="36"/>
        </w:rPr>
        <w:t xml:space="preserve">DOCUMENT 1A — ADDENDUM</w:t>
      </w:r>
    </w:p>
    <w:p>
      <w:pPr>
        <w:spacing w:after="20"/>
        <w:jc w:val="center"/>
      </w:pPr>
      <w:r>
        <w:rPr>
          <w:rFonts w:ascii="Garamond" w:cs="Garamond" w:eastAsia="Garamond" w:hAnsi="Garamond"/>
          <w:color w:val="666666"/>
          <w:sz w:val="22"/>
          <w:szCs w:val="22"/>
        </w:rPr>
        <w:t xml:space="preserve">Diagnostic Findings: Corrected Resolutions</w:t>
      </w:r>
    </w:p>
    <w:p>
      <w:pPr>
        <w:spacing w:after="30"/>
        <w:jc w:val="center"/>
      </w:pPr>
      <w:r>
        <w:rPr>
          <w:rFonts w:ascii="Garamond" w:cs="Garamond" w:eastAsia="Garamond" w:hAnsi="Garamond"/>
          <w:i/>
          <w:iCs/>
          <w:color w:val="999999"/>
          <w:sz w:val="18"/>
          <w:szCs w:val="18"/>
        </w:rPr>
        <w:t xml:space="preserve">Supersedes Section 15 of Document 1A (Psyche Schema System Reference v4)</w:t>
      </w:r>
    </w:p>
    <w:p>
      <w:pPr>
        <w:pBdr>
          <w:bottom w:val="single" w:color="CCCCCC" w:sz="3" w:space="1"/>
        </w:pBdr>
        <w:spacing w:after="80" w:before="80"/>
      </w:pPr>
      <w:r>
        <w:rPr>
          <w:sz w:val="2"/>
          <w:szCs w:val="2"/>
        </w:rPr>
        <w:t xml:space="preserve"/>
      </w:r>
    </w:p>
    <w:p>
      <w:pPr>
        <w:spacing w:after="60" w:line="276"/>
      </w:pPr>
      <w:r>
        <w:rPr>
          <w:rFonts w:ascii="Garamond" w:cs="Garamond" w:eastAsia="Garamond" w:hAnsi="Garamond"/>
          <w:b w:val="false"/>
          <w:bCs w:val="false"/>
          <w:i w:val="false"/>
          <w:iCs w:val="false"/>
          <w:color w:val="333333"/>
          <w:sz w:val="21"/>
          <w:szCs w:val="21"/>
        </w:rPr>
        <w:t xml:space="preserve">The original diagnostic findings in Section 15 were identified during proof-of-concept testing under the pre-unified architecture. The unified spine, the universal character sheet principle, and the regulatory systems resolve or reframe each finding. This addendum replaces Section 15 with corrected resolutions.</w:t>
      </w:r>
    </w:p>
    <w:p>
      <w:pPr>
        <w:pStyle w:val="Heading1"/>
        <w:spacing w:after="140" w:before="300"/>
      </w:pPr>
      <w:r>
        <w:rPr>
          <w:rFonts w:ascii="Garamond" w:cs="Garamond" w:eastAsia="Garamond" w:hAnsi="Garamond"/>
          <w:b/>
          <w:bCs/>
          <w:color w:val="1A1A2E"/>
        </w:rPr>
        <w:t xml:space="preserve">1. FALSE PRECISION</w:t>
      </w:r>
    </w:p>
    <w:p>
      <w:pPr>
        <w:spacing w:after="40" w:line="276"/>
      </w:pPr>
      <w:r>
        <w:rPr>
          <w:rFonts w:ascii="Garamond" w:cs="Garamond" w:eastAsia="Garamond" w:hAnsi="Garamond"/>
          <w:b/>
          <w:bCs/>
          <w:color w:val="1A1A2E"/>
          <w:sz w:val="21"/>
          <w:szCs w:val="21"/>
        </w:rPr>
        <w:t xml:space="preserve">Original finding: </w:t>
      </w:r>
      <w:r>
        <w:rPr>
          <w:rFonts w:ascii="Garamond" w:cs="Garamond" w:eastAsia="Garamond" w:hAnsi="Garamond"/>
          <w:b w:val="false"/>
          <w:bCs w:val="false"/>
          <w:i w:val="false"/>
          <w:iCs w:val="false"/>
          <w:color w:val="333333"/>
          <w:sz w:val="21"/>
          <w:szCs w:val="21"/>
        </w:rPr>
        <w:t xml:space="preserve">GM-authored NPC scores feel authoritative but are estimates. Why 85 and not 80? There is no derivation formula for GM-generated scores.</w:t>
      </w:r>
    </w:p>
    <w:p>
      <w:pPr>
        <w:spacing w:after="60" w:line="276"/>
      </w:pPr>
      <w:r>
        <w:rPr>
          <w:rFonts w:ascii="Garamond" w:cs="Garamond" w:eastAsia="Garamond" w:hAnsi="Garamond"/>
          <w:b/>
          <w:bCs/>
          <w:color w:val="1A1A2E"/>
          <w:sz w:val="21"/>
          <w:szCs w:val="21"/>
        </w:rPr>
        <w:t xml:space="preserve">Status: </w:t>
      </w:r>
      <w:r>
        <w:rPr>
          <w:rFonts w:ascii="Garamond" w:cs="Garamond" w:eastAsia="Garamond" w:hAnsi="Garamond"/>
          <w:b w:val="false"/>
          <w:bCs w:val="false"/>
          <w:i w:val="false"/>
          <w:iCs w:val="false"/>
          <w:color w:val="333333"/>
          <w:sz w:val="21"/>
          <w:szCs w:val="21"/>
        </w:rPr>
        <w:t xml:space="preserve">Resolved.</w:t>
      </w:r>
    </w:p>
    <w:p>
      <w:pPr>
        <w:spacing w:after="100" w:line="276"/>
      </w:pPr>
      <w:r>
        <w:rPr>
          <w:rFonts w:ascii="Garamond" w:cs="Garamond" w:eastAsia="Garamond" w:hAnsi="Garamond"/>
          <w:b w:val="false"/>
          <w:bCs w:val="false"/>
          <w:i w:val="false"/>
          <w:iCs w:val="false"/>
          <w:color w:val="333333"/>
          <w:sz w:val="21"/>
          <w:szCs w:val="21"/>
        </w:rPr>
        <w:t xml:space="preserve">The system never reads individual scores as absolute values. It reads three relative properties: outlier status (above 80 or below 20), asymmetric splits (gap exceeding 50 points between paired aspects), and pattern breaks (scores contradicting the expected profile). All three are relative readings. A score of 82 and a score of 88 produce identical diagnostic output — both are outliers, both generate 1 Fulcrum Point, both signal a load-bearing conviction.</w:t>
      </w:r>
    </w:p>
    <w:p>
      <w:pPr>
        <w:spacing w:after="100" w:line="276"/>
      </w:pPr>
      <w:r>
        <w:rPr>
          <w:rFonts w:ascii="Garamond" w:cs="Garamond" w:eastAsia="Garamond" w:hAnsi="Garamond"/>
          <w:b w:val="false"/>
          <w:bCs w:val="false"/>
          <w:i w:val="false"/>
          <w:iCs w:val="false"/>
          <w:color w:val="333333"/>
          <w:sz w:val="21"/>
          <w:szCs w:val="21"/>
        </w:rPr>
        <w:t xml:space="preserve">The 10-band overlay compounds this resolution. The GM does not need the exact number. They need the correct band. Any score within 81-100 maps to d12 and produces the same mechanical expression. The difference between 82 and 88 is invisible to the resolution system.</w:t>
      </w:r>
    </w:p>
    <w:p>
      <w:pPr>
        <w:pStyle w:val="Heading2"/>
        <w:spacing w:after="100" w:before="220"/>
      </w:pPr>
      <w:r>
        <w:rPr>
          <w:rFonts w:ascii="Garamond" w:cs="Garamond" w:eastAsia="Garamond" w:hAnsi="Garamond"/>
          <w:b/>
          <w:bCs/>
          <w:color w:val="2B2B4B"/>
        </w:rPr>
        <w:t xml:space="preserve">Corrected Procedure</w:t>
      </w:r>
    </w:p>
    <w:p>
      <w:pPr>
        <w:spacing w:after="100" w:line="276"/>
      </w:pPr>
      <w:r>
        <w:rPr>
          <w:rFonts w:ascii="Garamond" w:cs="Garamond" w:eastAsia="Garamond" w:hAnsi="Garamond"/>
          <w:b w:val="false"/>
          <w:bCs w:val="false"/>
          <w:i w:val="false"/>
          <w:iCs w:val="false"/>
          <w:color w:val="333333"/>
          <w:sz w:val="21"/>
          <w:szCs w:val="21"/>
        </w:rPr>
        <w:t xml:space="preserve">For GM-generated NPCs, assign bands rather than specific numbers. The six bands are: Absent (1-10, no die), Minimal (11-20, d4), Developing (21-40, d6), Established (41-60, d8), Dominant (61-80, d10), Load-bearing (81-100, d12). Band assignment is honest about its resolution. It does not claim decimal precision it cannot support.</w:t>
      </w:r>
    </w:p>
    <w:p>
      <w:pPr>
        <w:spacing w:after="100" w:line="276"/>
      </w:pPr>
      <w:r>
        <w:rPr>
          <w:rFonts w:ascii="Garamond" w:cs="Garamond" w:eastAsia="Garamond" w:hAnsi="Garamond"/>
          <w:b w:val="false"/>
          <w:bCs w:val="false"/>
          <w:i w:val="false"/>
          <w:iCs w:val="false"/>
          <w:color w:val="333333"/>
          <w:sz w:val="21"/>
          <w:szCs w:val="21"/>
        </w:rPr>
        <w:t xml:space="preserve">Specific numerical scores are a player-facing refinement for characters who complete the full questionnaire. The questionnaire’s structured intake produces answers specific enough to justify placement within a band. NPCs generated through the five-question shortcut produce band assignments. Both produce the same diagnostic output — the pressure point identification reads bands, not points.</w:t>
      </w:r>
    </w:p>
    <w:p>
      <w:pPr>
        <w:pBdr>
          <w:bottom w:val="single" w:color="CCCCCC" w:sz="3" w:space="1"/>
        </w:pBdr>
        <w:spacing w:after="80" w:before="80"/>
      </w:pPr>
      <w:r>
        <w:rPr>
          <w:sz w:val="2"/>
          <w:szCs w:val="2"/>
        </w:rPr>
        <w:t xml:space="preserve"/>
      </w:r>
    </w:p>
    <w:p>
      <w:pPr>
        <w:pStyle w:val="Heading1"/>
        <w:spacing w:after="140" w:before="300"/>
      </w:pPr>
      <w:r>
        <w:rPr>
          <w:rFonts w:ascii="Garamond" w:cs="Garamond" w:eastAsia="Garamond" w:hAnsi="Garamond"/>
          <w:b/>
          <w:bCs/>
          <w:color w:val="1A1A2E"/>
        </w:rPr>
        <w:t xml:space="preserve">2. HEART’S COMPASS AUTHORSHIP</w:t>
      </w:r>
    </w:p>
    <w:p>
      <w:pPr>
        <w:spacing w:after="40" w:line="276"/>
      </w:pPr>
      <w:r>
        <w:rPr>
          <w:rFonts w:ascii="Garamond" w:cs="Garamond" w:eastAsia="Garamond" w:hAnsi="Garamond"/>
          <w:b/>
          <w:bCs/>
          <w:color w:val="1A1A2E"/>
          <w:sz w:val="21"/>
          <w:szCs w:val="21"/>
        </w:rPr>
        <w:t xml:space="preserve">Original finding: </w:t>
      </w:r>
      <w:r>
        <w:rPr>
          <w:rFonts w:ascii="Garamond" w:cs="Garamond" w:eastAsia="Garamond" w:hAnsi="Garamond"/>
          <w:b w:val="false"/>
          <w:bCs w:val="false"/>
          <w:i w:val="false"/>
          <w:iCs w:val="false"/>
          <w:color w:val="333333"/>
          <w:sz w:val="21"/>
          <w:szCs w:val="21"/>
        </w:rPr>
        <w:t xml:space="preserve">Sections I-II are derivable from position and philosophy. Section III requires GM authorship. This was framed as a gap in the engine.</w:t>
      </w:r>
    </w:p>
    <w:p>
      <w:pPr>
        <w:spacing w:after="60" w:line="276"/>
      </w:pPr>
      <w:r>
        <w:rPr>
          <w:rFonts w:ascii="Garamond" w:cs="Garamond" w:eastAsia="Garamond" w:hAnsi="Garamond"/>
          <w:b/>
          <w:bCs/>
          <w:color w:val="1A1A2E"/>
          <w:sz w:val="21"/>
          <w:szCs w:val="21"/>
        </w:rPr>
        <w:t xml:space="preserve">Status: </w:t>
      </w:r>
      <w:r>
        <w:rPr>
          <w:rFonts w:ascii="Garamond" w:cs="Garamond" w:eastAsia="Garamond" w:hAnsi="Garamond"/>
          <w:b w:val="false"/>
          <w:bCs w:val="false"/>
          <w:i w:val="false"/>
          <w:iCs w:val="false"/>
          <w:color w:val="333333"/>
          <w:sz w:val="21"/>
          <w:szCs w:val="21"/>
        </w:rPr>
        <w:t xml:space="preserve">Reframed as correct design.</w:t>
      </w:r>
    </w:p>
    <w:p>
      <w:pPr>
        <w:spacing w:after="100" w:line="276"/>
      </w:pPr>
      <w:r>
        <w:rPr>
          <w:rFonts w:ascii="Garamond" w:cs="Garamond" w:eastAsia="Garamond" w:hAnsi="Garamond"/>
          <w:b w:val="false"/>
          <w:bCs w:val="false"/>
          <w:i w:val="false"/>
          <w:iCs w:val="false"/>
          <w:color w:val="333333"/>
          <w:sz w:val="21"/>
          <w:szCs w:val="21"/>
        </w:rPr>
        <w:t xml:space="preserve">Schema Theory (Bartlett), one of the spine’s regulatory systems, establishes that participants co-complete underspecified elements with personally meaningful content. The GM is a participant in the spine. The Heart’s Compass is the designated entry point for the GM’s creative investment. The “authorship burden” is the same mechanism as the player’s contribution at Vertebra 6 (Adventures) — it is the participation that makes the output meaningful rather than mechanical.</w:t>
      </w:r>
    </w:p>
    <w:p>
      <w:pPr>
        <w:spacing w:after="100" w:line="276"/>
      </w:pPr>
      <w:r>
        <w:rPr>
          <w:rFonts w:ascii="Garamond" w:cs="Garamond" w:eastAsia="Garamond" w:hAnsi="Garamond"/>
          <w:b w:val="false"/>
          <w:bCs w:val="false"/>
          <w:i w:val="false"/>
          <w:iCs w:val="false"/>
          <w:color w:val="333333"/>
          <w:sz w:val="21"/>
          <w:szCs w:val="21"/>
        </w:rPr>
        <w:t xml:space="preserve">A fully derivable NPC would be a mechanical output with no soul. The Heart’s Compass is where the GM invests enough personal creative energy that the NPC stops being a structural position and starts being a person. The Corin 35 score derived from “military people have dark humor” IS the GM’s schema filling the gap with their knowledge of military fiction. That is not a failure of the engine. That is the engine working as designed — the underspecification invited the GM’s contribution, and the GM contributed from their own experience.</w:t>
      </w:r>
    </w:p>
    <w:p>
      <w:pPr>
        <w:pStyle w:val="Heading2"/>
        <w:spacing w:after="100" w:before="220"/>
      </w:pPr>
      <w:r>
        <w:rPr>
          <w:rFonts w:ascii="Garamond" w:cs="Garamond" w:eastAsia="Garamond" w:hAnsi="Garamond"/>
          <w:b/>
          <w:bCs/>
          <w:color w:val="2B2B4B"/>
        </w:rPr>
        <w:t xml:space="preserve">Corrected Framing</w:t>
      </w:r>
    </w:p>
    <w:p>
      <w:pPr>
        <w:spacing w:after="100" w:line="276"/>
      </w:pPr>
      <w:r>
        <w:rPr>
          <w:rFonts w:ascii="Garamond" w:cs="Garamond" w:eastAsia="Garamond" w:hAnsi="Garamond"/>
          <w:b w:val="false"/>
          <w:bCs w:val="false"/>
          <w:i w:val="false"/>
          <w:iCs w:val="false"/>
          <w:color w:val="333333"/>
          <w:sz w:val="21"/>
          <w:szCs w:val="21"/>
        </w:rPr>
        <w:t xml:space="preserve">Section III is not a derivation gap. It is the designated entry point for GM authorship. The procedure should acknowledge this explicitly:</w:t>
      </w:r>
    </w:p>
    <w:p>
      <w:pPr>
        <w:spacing w:after="60" w:line="276"/>
      </w:pPr>
      <w:r>
        <w:rPr>
          <w:rFonts w:ascii="Garamond" w:cs="Garamond" w:eastAsia="Garamond" w:hAnsi="Garamond"/>
          <w:b w:val="false"/>
          <w:bCs w:val="false"/>
          <w:i/>
          <w:iCs/>
          <w:color w:val="555555"/>
          <w:sz w:val="21"/>
          <w:szCs w:val="21"/>
        </w:rPr>
        <w:t xml:space="preserve">Sections I and II are derivable from position and philosophy. Section III is where you make the character a person. The engine provides the structure. You provide the heart. This is not a limitation. This is your contribution to the campfire.</w:t>
      </w:r>
    </w:p>
    <w:p>
      <w:pPr>
        <w:spacing w:after="100" w:line="276"/>
      </w:pPr>
      <w:r>
        <w:rPr>
          <w:rFonts w:ascii="Garamond" w:cs="Garamond" w:eastAsia="Garamond" w:hAnsi="Garamond"/>
          <w:b w:val="false"/>
          <w:bCs w:val="false"/>
          <w:i w:val="false"/>
          <w:iCs w:val="false"/>
          <w:color w:val="333333"/>
          <w:sz w:val="21"/>
          <w:szCs w:val="21"/>
        </w:rPr>
        <w:t xml:space="preserve">The five-question shortcut handles this correctly by asking for the fear (one Heart’s Compass data point) and the contradiction (one pattern break). Those two inputs are sufficient for the GM’s schema to fill the remaining Heart’s Compass dimensions through natural co-completion during play. The NPC does not need a complete Heart’s Compass at generation. They need enough for the first encounter. Play reveals the rest.</w:t>
      </w:r>
    </w:p>
    <w:p>
      <w:pPr>
        <w:pBdr>
          <w:bottom w:val="single" w:color="CCCCCC" w:sz="3" w:space="1"/>
        </w:pBdr>
        <w:spacing w:after="80" w:before="80"/>
      </w:pPr>
      <w:r>
        <w:rPr>
          <w:sz w:val="2"/>
          <w:szCs w:val="2"/>
        </w:rPr>
        <w:t xml:space="preserve"/>
      </w:r>
    </w:p>
    <w:p>
      <w:pPr>
        <w:pStyle w:val="Heading1"/>
        <w:spacing w:after="140" w:before="300"/>
      </w:pPr>
      <w:r>
        <w:rPr>
          <w:rFonts w:ascii="Garamond" w:cs="Garamond" w:eastAsia="Garamond" w:hAnsi="Garamond"/>
          <w:b/>
          <w:bCs/>
          <w:color w:val="1A1A2E"/>
        </w:rPr>
        <w:t xml:space="preserve">3. EXTERNAL PRESSURE GAP</w:t>
      </w:r>
    </w:p>
    <w:p>
      <w:pPr>
        <w:spacing w:after="40" w:line="276"/>
      </w:pPr>
      <w:r>
        <w:rPr>
          <w:rFonts w:ascii="Garamond" w:cs="Garamond" w:eastAsia="Garamond" w:hAnsi="Garamond"/>
          <w:b/>
          <w:bCs/>
          <w:color w:val="1A1A2E"/>
          <w:sz w:val="21"/>
          <w:szCs w:val="21"/>
        </w:rPr>
        <w:t xml:space="preserve">Original finding: </w:t>
      </w:r>
      <w:r>
        <w:rPr>
          <w:rFonts w:ascii="Garamond" w:cs="Garamond" w:eastAsia="Garamond" w:hAnsi="Garamond"/>
          <w:b w:val="false"/>
          <w:bCs w:val="false"/>
          <w:i w:val="false"/>
          <w:iCs w:val="false"/>
          <w:color w:val="333333"/>
          <w:sz w:val="21"/>
          <w:szCs w:val="21"/>
        </w:rPr>
        <w:t xml:space="preserve">The derivation handles NPC-internal pressure (what the Schema reveals) but not NPC-external pressure (what the environment does TO the person regardless of their Schema). This was identified as a missing step in the derivation procedure.</w:t>
      </w:r>
    </w:p>
    <w:p>
      <w:pPr>
        <w:spacing w:after="60" w:line="276"/>
      </w:pPr>
      <w:r>
        <w:rPr>
          <w:rFonts w:ascii="Garamond" w:cs="Garamond" w:eastAsia="Garamond" w:hAnsi="Garamond"/>
          <w:b/>
          <w:bCs/>
          <w:color w:val="1A1A2E"/>
          <w:sz w:val="21"/>
          <w:szCs w:val="21"/>
        </w:rPr>
        <w:t xml:space="preserve">Status: </w:t>
      </w:r>
      <w:r>
        <w:rPr>
          <w:rFonts w:ascii="Garamond" w:cs="Garamond" w:eastAsia="Garamond" w:hAnsi="Garamond"/>
          <w:b w:val="false"/>
          <w:bCs w:val="false"/>
          <w:i w:val="false"/>
          <w:iCs w:val="false"/>
          <w:color w:val="333333"/>
          <w:sz w:val="21"/>
          <w:szCs w:val="21"/>
        </w:rPr>
        <w:t xml:space="preserve">Resolved by the universal character sheet principle.</w:t>
      </w:r>
    </w:p>
    <w:p>
      <w:pPr>
        <w:spacing w:after="100" w:line="276"/>
      </w:pPr>
      <w:r>
        <w:rPr>
          <w:rFonts w:ascii="Garamond" w:cs="Garamond" w:eastAsia="Garamond" w:hAnsi="Garamond"/>
          <w:b w:val="false"/>
          <w:bCs w:val="false"/>
          <w:i w:val="false"/>
          <w:iCs w:val="false"/>
          <w:color w:val="333333"/>
          <w:sz w:val="21"/>
          <w:szCs w:val="21"/>
        </w:rPr>
        <w:t xml:space="preserve">The unified architecture establishes that everything uses the same character sheet. The POSITION has its own pressure profile. A headmaster position generates specific pressures regardless of who occupies it — institutional maintenance demands, inter-college diplomacy requirements, faculty management obligations, resource allocation decisions. These are not derived from the person’s Schema. They are derived from the position’s Schema.</w:t>
      </w:r>
    </w:p>
    <w:p>
      <w:pPr>
        <w:pStyle w:val="Heading2"/>
        <w:spacing w:after="100" w:before="220"/>
      </w:pPr>
      <w:r>
        <w:rPr>
          <w:rFonts w:ascii="Garamond" w:cs="Garamond" w:eastAsia="Garamond" w:hAnsi="Garamond"/>
          <w:b/>
          <w:bCs/>
          <w:color w:val="2B2B4B"/>
        </w:rPr>
        <w:t xml:space="preserve">Corrected Procedure</w:t>
      </w:r>
    </w:p>
    <w:p>
      <w:pPr>
        <w:spacing w:after="100" w:line="276"/>
      </w:pPr>
      <w:r>
        <w:rPr>
          <w:rFonts w:ascii="Garamond" w:cs="Garamond" w:eastAsia="Garamond" w:hAnsi="Garamond"/>
          <w:b w:val="false"/>
          <w:bCs w:val="false"/>
          <w:i w:val="false"/>
          <w:iCs w:val="false"/>
          <w:color w:val="333333"/>
          <w:sz w:val="21"/>
          <w:szCs w:val="21"/>
        </w:rPr>
        <w:t xml:space="preserve">Add one step to the NPC-to-Adventure derivation procedure. After reading the NPC’s personal Schema for internal pressure points, read the POSITION’s pressure profile for external pressure points. Two Schema readings — one for the person, one for the role — producing two sets of fronts that interact.</w:t>
      </w:r>
    </w:p>
    <w:p>
      <w:pPr>
        <w:spacing w:after="100" w:line="276"/>
      </w:pPr>
      <w:r>
        <w:rPr>
          <w:rFonts w:ascii="Garamond" w:cs="Garamond" w:eastAsia="Garamond" w:hAnsi="Garamond"/>
          <w:b/>
          <w:bCs/>
          <w:color w:val="1A1A2E"/>
          <w:sz w:val="21"/>
          <w:szCs w:val="21"/>
        </w:rPr>
        <w:t xml:space="preserve">Internal fronts: </w:t>
      </w:r>
      <w:r>
        <w:rPr>
          <w:rFonts w:ascii="Garamond" w:cs="Garamond" w:eastAsia="Garamond" w:hAnsi="Garamond"/>
          <w:b w:val="false"/>
          <w:bCs w:val="false"/>
          <w:i w:val="false"/>
          <w:iCs w:val="false"/>
          <w:color w:val="333333"/>
          <w:sz w:val="21"/>
          <w:szCs w:val="21"/>
        </w:rPr>
        <w:t xml:space="preserve">Internal fronts are driven by the NPC’s personal tensions. They exist because of who the person is. Kyril’s Vestus Containment front (from the Veyra pattern break) and The Aíon Silence front (from the Constantine/Mother tension) are internal fronts.</w:t>
      </w:r>
    </w:p>
    <w:p>
      <w:pPr>
        <w:spacing w:after="100" w:line="276"/>
      </w:pPr>
      <w:r>
        <w:rPr>
          <w:rFonts w:ascii="Garamond" w:cs="Garamond" w:eastAsia="Garamond" w:hAnsi="Garamond"/>
          <w:b/>
          <w:bCs/>
          <w:color w:val="1A1A2E"/>
          <w:sz w:val="21"/>
          <w:szCs w:val="21"/>
        </w:rPr>
        <w:t xml:space="preserve">External fronts: </w:t>
      </w:r>
      <w:r>
        <w:rPr>
          <w:rFonts w:ascii="Garamond" w:cs="Garamond" w:eastAsia="Garamond" w:hAnsi="Garamond"/>
          <w:b w:val="false"/>
          <w:bCs w:val="false"/>
          <w:i w:val="false"/>
          <w:iCs w:val="false"/>
          <w:color w:val="333333"/>
          <w:sz w:val="21"/>
          <w:szCs w:val="21"/>
        </w:rPr>
        <w:t xml:space="preserve">External fronts are driven by the position’s structural demands. They exist because of what the role requires regardless of who occupies it. Kyril’s Institutional Maintenance front and The Political Leverage Problem are external fronts. Any headmaster of Mortis Ævum would face these pressures.</w:t>
      </w:r>
    </w:p>
    <w:p>
      <w:pPr>
        <w:spacing w:after="100" w:line="276"/>
      </w:pPr>
      <w:r>
        <w:rPr>
          <w:rFonts w:ascii="Garamond" w:cs="Garamond" w:eastAsia="Garamond" w:hAnsi="Garamond"/>
          <w:b/>
          <w:bCs/>
          <w:color w:val="1A1A2E"/>
          <w:sz w:val="21"/>
          <w:szCs w:val="21"/>
        </w:rPr>
        <w:t xml:space="preserve">The intersection: </w:t>
      </w:r>
      <w:r>
        <w:rPr>
          <w:rFonts w:ascii="Garamond" w:cs="Garamond" w:eastAsia="Garamond" w:hAnsi="Garamond"/>
          <w:b w:val="false"/>
          <w:bCs w:val="false"/>
          <w:i w:val="false"/>
          <w:iCs w:val="false"/>
          <w:color w:val="333333"/>
          <w:sz w:val="21"/>
          <w:szCs w:val="21"/>
        </w:rPr>
        <w:t xml:space="preserve">The intersection between internal and external fronts is where the richest story lives. How does this specific person’s internal tensions interact with this specific position’s structural demands? Kyril’s personal Vestus containment pulls attention away from the position’s institutional maintenance demand. That interaction — internal front competing with external front for the NPC’s finite attention — is the pressure that produces observable symptoms the party can detect.</w:t>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This also retroactively explains the Colonel proof-of-concept’s Front 4 (Succession Question). That front was invented by the GM because the personal Schema could not generate it. With the corrected procedure, Front 4 would have been derived from the positional reading — “what does the senior officer position generate?” produces “other officers see this person as a leadership candidate” as a structural demand of the role, not as a property of the person occupying it.</w:t>
      </w:r>
    </w:p>
    <w:p>
      <w:pPr>
        <w:pBdr>
          <w:bottom w:val="single" w:color="CCCCCC" w:sz="3" w:space="1"/>
        </w:pBdr>
        <w:spacing w:after="80" w:before="80"/>
      </w:pPr>
      <w:r>
        <w:rPr>
          <w:sz w:val="2"/>
          <w:szCs w:val="2"/>
        </w:rPr>
        <w:t xml:space="preserve"/>
      </w:r>
    </w:p>
    <w:p>
      <w:pPr>
        <w:pStyle w:val="Heading1"/>
        <w:spacing w:after="140" w:before="300"/>
      </w:pPr>
      <w:r>
        <w:rPr>
          <w:rFonts w:ascii="Garamond" w:cs="Garamond" w:eastAsia="Garamond" w:hAnsi="Garamond"/>
          <w:b/>
          <w:bCs/>
          <w:color w:val="1A1A2E"/>
        </w:rPr>
        <w:t xml:space="preserve">4. CREATIVE INTERPRETATION STEP</w:t>
      </w:r>
    </w:p>
    <w:p>
      <w:pPr>
        <w:spacing w:after="40" w:line="276"/>
      </w:pPr>
      <w:r>
        <w:rPr>
          <w:rFonts w:ascii="Garamond" w:cs="Garamond" w:eastAsia="Garamond" w:hAnsi="Garamond"/>
          <w:b/>
          <w:bCs/>
          <w:color w:val="1A1A2E"/>
          <w:sz w:val="21"/>
          <w:szCs w:val="21"/>
        </w:rPr>
        <w:t xml:space="preserve">Original finding: </w:t>
      </w:r>
      <w:r>
        <w:rPr>
          <w:rFonts w:ascii="Garamond" w:cs="Garamond" w:eastAsia="Garamond" w:hAnsi="Garamond"/>
          <w:b w:val="false"/>
          <w:bCs w:val="false"/>
          <w:i w:val="false"/>
          <w:iCs w:val="false"/>
          <w:color w:val="333333"/>
          <w:sz w:val="21"/>
          <w:szCs w:val="21"/>
        </w:rPr>
        <w:t xml:space="preserve">The mapping from pressure point to front requires creative interpretation informed by setting knowledge. This step was hidden in the derivation procedure.</w:t>
      </w:r>
    </w:p>
    <w:p>
      <w:pPr>
        <w:spacing w:after="60" w:line="276"/>
      </w:pPr>
      <w:r>
        <w:rPr>
          <w:rFonts w:ascii="Garamond" w:cs="Garamond" w:eastAsia="Garamond" w:hAnsi="Garamond"/>
          <w:b/>
          <w:bCs/>
          <w:color w:val="1A1A2E"/>
          <w:sz w:val="21"/>
          <w:szCs w:val="21"/>
        </w:rPr>
        <w:t xml:space="preserve">Status: </w:t>
      </w:r>
      <w:r>
        <w:rPr>
          <w:rFonts w:ascii="Garamond" w:cs="Garamond" w:eastAsia="Garamond" w:hAnsi="Garamond"/>
          <w:b w:val="false"/>
          <w:bCs w:val="false"/>
          <w:i w:val="false"/>
          <w:iCs w:val="false"/>
          <w:color w:val="333333"/>
          <w:sz w:val="21"/>
          <w:szCs w:val="21"/>
        </w:rPr>
        <w:t xml:space="preserve">Named and acknowledged. The step is now explicit.</w:t>
      </w:r>
    </w:p>
    <w:p>
      <w:pPr>
        <w:spacing w:after="100" w:line="276"/>
      </w:pPr>
      <w:r>
        <w:rPr>
          <w:rFonts w:ascii="Garamond" w:cs="Garamond" w:eastAsia="Garamond" w:hAnsi="Garamond"/>
          <w:b w:val="false"/>
          <w:bCs w:val="false"/>
          <w:i w:val="false"/>
          <w:iCs w:val="false"/>
          <w:color w:val="333333"/>
          <w:sz w:val="21"/>
          <w:szCs w:val="21"/>
        </w:rPr>
        <w:t xml:space="preserve">The step is named: Contextual Interpretation. It sits between pressure point identification (analysis) and front mapping (construction). The procedure should mark the transition clearly:</w:t>
      </w:r>
    </w:p>
    <w:p>
      <w:pPr>
        <w:spacing w:after="60" w:line="276"/>
      </w:pPr>
      <w:r>
        <w:rPr>
          <w:rFonts w:ascii="Garamond" w:cs="Garamond" w:eastAsia="Garamond" w:hAnsi="Garamond"/>
          <w:b w:val="false"/>
          <w:bCs w:val="false"/>
          <w:i/>
          <w:iCs/>
          <w:color w:val="555555"/>
          <w:sz w:val="21"/>
          <w:szCs w:val="21"/>
        </w:rPr>
        <w:t xml:space="preserve">Steps 1-2 are analysis. Step 3 is interpretation. You are now contributing, not calculating.</w:t>
      </w:r>
    </w:p>
    <w:p>
      <w:pPr>
        <w:pStyle w:val="Heading2"/>
        <w:spacing w:after="100" w:before="220"/>
      </w:pPr>
      <w:r>
        <w:rPr>
          <w:rFonts w:ascii="Garamond" w:cs="Garamond" w:eastAsia="Garamond" w:hAnsi="Garamond"/>
          <w:b/>
          <w:bCs/>
          <w:color w:val="2B2B4B"/>
        </w:rPr>
        <w:t xml:space="preserve">The Three Sub-Operations</w:t>
      </w:r>
    </w:p>
    <w:p>
      <w:pPr>
        <w:spacing w:after="100" w:line="276"/>
      </w:pPr>
      <w:r>
        <w:rPr>
          <w:rFonts w:ascii="Garamond" w:cs="Garamond" w:eastAsia="Garamond" w:hAnsi="Garamond"/>
          <w:b/>
          <w:bCs/>
          <w:color w:val="1A1A2E"/>
          <w:sz w:val="21"/>
          <w:szCs w:val="21"/>
        </w:rPr>
        <w:t xml:space="preserve">1. Operational Context: </w:t>
      </w:r>
      <w:r>
        <w:rPr>
          <w:rFonts w:ascii="Garamond" w:cs="Garamond" w:eastAsia="Garamond" w:hAnsi="Garamond"/>
          <w:b w:val="false"/>
          <w:bCs w:val="false"/>
          <w:i w:val="false"/>
          <w:iCs w:val="false"/>
          <w:color w:val="333333"/>
          <w:sz w:val="21"/>
          <w:szCs w:val="21"/>
        </w:rPr>
        <w:t xml:space="preserve">For each pressure point, ask: where in this NPC’s operational life does this tension manifest? The answer requires knowing the NPC’s college methodology, their position’s daily demands, and the current state of the setting around them. Kyril’s Veritas/Gnosis split manifests as the Vestus Containment front because of the specific setting fact that Vestus IS the Gnosis aspect made divine. A different NPC with the same split in a different setting context would produce a completely different front.</w:t>
      </w:r>
    </w:p>
    <w:p>
      <w:pPr>
        <w:spacing w:after="100" w:line="276"/>
      </w:pPr>
      <w:r>
        <w:rPr>
          <w:rFonts w:ascii="Garamond" w:cs="Garamond" w:eastAsia="Garamond" w:hAnsi="Garamond"/>
          <w:b/>
          <w:bCs/>
          <w:color w:val="1A1A2E"/>
          <w:sz w:val="21"/>
          <w:szCs w:val="21"/>
        </w:rPr>
        <w:t xml:space="preserve">2. Personal Shaping: </w:t>
      </w:r>
      <w:r>
        <w:rPr>
          <w:rFonts w:ascii="Garamond" w:cs="Garamond" w:eastAsia="Garamond" w:hAnsi="Garamond"/>
          <w:b w:val="false"/>
          <w:bCs w:val="false"/>
          <w:i w:val="false"/>
          <w:iCs w:val="false"/>
          <w:color w:val="333333"/>
          <w:sz w:val="21"/>
          <w:szCs w:val="21"/>
        </w:rPr>
        <w:t xml:space="preserve">For each external pressure point (from the positional reading), ask: how does this NPC’s personal Schema shape their response to the positional demand? The headmaster position demands institutional maintenance. Kyril’s Constantine 95 means he handles this demand through absolute duty. A different headmaster with Constantine 40 would delegate, producing a completely different institutional culture.</w:t>
      </w:r>
    </w:p>
    <w:p>
      <w:pPr>
        <w:spacing w:after="100" w:line="276"/>
      </w:pPr>
      <w:r>
        <w:rPr>
          <w:rFonts w:ascii="Garamond" w:cs="Garamond" w:eastAsia="Garamond" w:hAnsi="Garamond"/>
          <w:b/>
          <w:bCs/>
          <w:color w:val="1A1A2E"/>
          <w:sz w:val="21"/>
          <w:szCs w:val="21"/>
        </w:rPr>
        <w:t xml:space="preserve">3. Intersection Check: </w:t>
      </w:r>
      <w:r>
        <w:rPr>
          <w:rFonts w:ascii="Garamond" w:cs="Garamond" w:eastAsia="Garamond" w:hAnsi="Garamond"/>
          <w:b w:val="false"/>
          <w:bCs w:val="false"/>
          <w:i w:val="false"/>
          <w:iCs w:val="false"/>
          <w:color w:val="333333"/>
          <w:sz w:val="21"/>
          <w:szCs w:val="21"/>
        </w:rPr>
        <w:t xml:space="preserve">Check whether any internal and external fronts interact. Do the personal tensions amplify or dampen the positional demands? Where does the NPC’s attention divide between personal and positional fronts? The allocation of finite attention between competing fronts IS the dramatic engine. An NPC whose internal fronts consume all attention neglects their external obligations. An NPC whose external obligations consume all attention suppresses their internal tensions until they erupt.</w:t>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creative interpretation step is the same mechanism operating at every level of the campfire — the engine provides the framework, the GM interprets it through their own experience and setting knowledge. The interpretation is the GM’s contribution. It cannot and should not be automated. The procedure’s job is to make the invitation explicit so the GM knows when they are calculating and when they are creating.</w:t>
      </w:r>
    </w:p>
    <w:p>
      <w:pPr>
        <w:pBdr>
          <w:bottom w:val="single" w:color="CCCCCC" w:sz="3" w:space="1"/>
        </w:pBdr>
        <w:spacing w:after="80" w:before="80"/>
      </w:pPr>
      <w:r>
        <w:rPr>
          <w:sz w:val="2"/>
          <w:szCs w:val="2"/>
        </w:rPr>
        <w:t xml:space="preserve"/>
      </w:r>
    </w:p>
    <w:p>
      <w:pPr>
        <w:pStyle w:val="Heading1"/>
        <w:spacing w:after="140" w:before="300"/>
      </w:pPr>
      <w:r>
        <w:rPr>
          <w:rFonts w:ascii="Garamond" w:cs="Garamond" w:eastAsia="Garamond" w:hAnsi="Garamond"/>
          <w:b/>
          <w:bCs/>
          <w:color w:val="1A1A2E"/>
        </w:rPr>
        <w:t xml:space="preserve">5. CLOCK PARAMETERIZATION TIMING</w:t>
      </w:r>
    </w:p>
    <w:p>
      <w:pPr>
        <w:spacing w:after="40" w:line="276"/>
      </w:pPr>
      <w:r>
        <w:rPr>
          <w:rFonts w:ascii="Garamond" w:cs="Garamond" w:eastAsia="Garamond" w:hAnsi="Garamond"/>
          <w:b/>
          <w:bCs/>
          <w:color w:val="1A1A2E"/>
          <w:sz w:val="21"/>
          <w:szCs w:val="21"/>
        </w:rPr>
        <w:t xml:space="preserve">Original finding: </w:t>
      </w:r>
      <w:r>
        <w:rPr>
          <w:rFonts w:ascii="Garamond" w:cs="Garamond" w:eastAsia="Garamond" w:hAnsi="Garamond"/>
          <w:b w:val="false"/>
          <w:bCs w:val="false"/>
          <w:i w:val="false"/>
          <w:iCs w:val="false"/>
          <w:color w:val="333333"/>
          <w:sz w:val="21"/>
          <w:szCs w:val="21"/>
        </w:rPr>
        <w:t xml:space="preserve">Schema derivation produces fronts with potential clocks, not parameterized clocks. Specific clock values (segments, thresholds, terminal states) need play context. This was framed as a limitation of the derivation procedure.</w:t>
      </w:r>
    </w:p>
    <w:p>
      <w:pPr>
        <w:spacing w:after="60" w:line="276"/>
      </w:pPr>
      <w:r>
        <w:rPr>
          <w:rFonts w:ascii="Garamond" w:cs="Garamond" w:eastAsia="Garamond" w:hAnsi="Garamond"/>
          <w:b/>
          <w:bCs/>
          <w:color w:val="1A1A2E"/>
          <w:sz w:val="21"/>
          <w:szCs w:val="21"/>
        </w:rPr>
        <w:t xml:space="preserve">Status: </w:t>
      </w:r>
      <w:r>
        <w:rPr>
          <w:rFonts w:ascii="Garamond" w:cs="Garamond" w:eastAsia="Garamond" w:hAnsi="Garamond"/>
          <w:b w:val="false"/>
          <w:bCs w:val="false"/>
          <w:i w:val="false"/>
          <w:iCs w:val="false"/>
          <w:color w:val="333333"/>
          <w:sz w:val="21"/>
          <w:szCs w:val="21"/>
        </w:rPr>
        <w:t xml:space="preserve">Confirmed as correct architecture.</w:t>
      </w:r>
    </w:p>
    <w:p>
      <w:pPr>
        <w:spacing w:after="100" w:line="276"/>
      </w:pPr>
      <w:r>
        <w:rPr>
          <w:rFonts w:ascii="Garamond" w:cs="Garamond" w:eastAsia="Garamond" w:hAnsi="Garamond"/>
          <w:b w:val="false"/>
          <w:bCs w:val="false"/>
          <w:i w:val="false"/>
          <w:iCs w:val="false"/>
          <w:color w:val="333333"/>
          <w:sz w:val="21"/>
          <w:szCs w:val="21"/>
        </w:rPr>
        <w:t xml:space="preserve">The spine has distinct prep-phase and play-phase operations. Vertebrae 1-3 (Schema, Pressure Points, Fronts) are prep-phase — they establish what exists before play begins. Vertebrae 4-7 (Clocks, Symptoms, Adventures, Feedback Loop) are play-phase — they operate during and between sessions. The boundary between Fronts and Clocks is the boundary between prep and play.</w:t>
      </w:r>
    </w:p>
    <w:p>
      <w:pPr>
        <w:pStyle w:val="Heading2"/>
        <w:spacing w:after="100" w:before="220"/>
      </w:pPr>
      <w:r>
        <w:rPr>
          <w:rFonts w:ascii="Garamond" w:cs="Garamond" w:eastAsia="Garamond" w:hAnsi="Garamond"/>
          <w:b/>
          <w:bCs/>
          <w:color w:val="2B2B4B"/>
        </w:rPr>
        <w:t xml:space="preserve">Prep-Phase Output</w:t>
      </w:r>
    </w:p>
    <w:p>
      <w:pPr>
        <w:spacing w:after="100" w:line="276"/>
      </w:pPr>
      <w:r>
        <w:rPr>
          <w:rFonts w:ascii="Garamond" w:cs="Garamond" w:eastAsia="Garamond" w:hAnsi="Garamond"/>
          <w:b w:val="false"/>
          <w:bCs w:val="false"/>
          <w:i w:val="false"/>
          <w:iCs w:val="false"/>
          <w:color w:val="333333"/>
          <w:sz w:val="21"/>
          <w:szCs w:val="21"/>
        </w:rPr>
        <w:t xml:space="preserve">The Schema derivation produces the front’s clock POTENTIAL — a list of what this front could be tracking, what the tick triggers might be, what the terminal states would look like. This is the menu. The GM creates these during prep without committing to specific mechanical values.</w:t>
      </w:r>
    </w:p>
    <w:p>
      <w:pPr>
        <w:spacing w:after="100" w:line="276"/>
      </w:pPr>
      <w:r>
        <w:rPr>
          <w:rFonts w:ascii="Garamond" w:cs="Garamond" w:eastAsia="Garamond" w:hAnsi="Garamond"/>
          <w:b w:val="false"/>
          <w:bCs w:val="false"/>
          <w:i w:val="false"/>
          <w:iCs w:val="false"/>
          <w:color w:val="333333"/>
          <w:sz w:val="21"/>
          <w:szCs w:val="21"/>
        </w:rPr>
        <w:t xml:space="preserve">A well-prepped front has 2-4 potential clocks described in narrative terms: “This front could track how aggressively Vestus’s agents probe the archives, or how quickly the containment protocols are being circumvented, or how much of Kyril’s attention is being diverted from institutional maintenance.” Each potential clock is one sentence. No segments. No thresholds. No terminal state mechanics. Just what it would track.</w:t>
      </w:r>
    </w:p>
    <w:p>
      <w:pPr>
        <w:pStyle w:val="Heading2"/>
        <w:spacing w:after="100" w:before="220"/>
      </w:pPr>
      <w:r>
        <w:rPr>
          <w:rFonts w:ascii="Garamond" w:cs="Garamond" w:eastAsia="Garamond" w:hAnsi="Garamond"/>
          <w:b/>
          <w:bCs/>
          <w:color w:val="2B2B4B"/>
        </w:rPr>
        <w:t xml:space="preserve">Play-Phase Output</w:t>
      </w:r>
    </w:p>
    <w:p>
      <w:pPr>
        <w:spacing w:after="100" w:line="276"/>
      </w:pPr>
      <w:r>
        <w:rPr>
          <w:rFonts w:ascii="Garamond" w:cs="Garamond" w:eastAsia="Garamond" w:hAnsi="Garamond"/>
          <w:b w:val="false"/>
          <w:bCs w:val="false"/>
          <w:i w:val="false"/>
          <w:iCs w:val="false"/>
          <w:color w:val="333333"/>
          <w:sz w:val="21"/>
          <w:szCs w:val="21"/>
        </w:rPr>
        <w:t xml:space="preserve">When a front enters active play — when the party engages with the area of the setting where the front operates — the GM instantiates specific clocks from the potential menu. The clock template’s nine fields are filled in at this point using the play context to set appropriate values.</w:t>
      </w:r>
    </w:p>
    <w:p>
      <w:pPr>
        <w:spacing w:after="100" w:line="276"/>
      </w:pPr>
      <w:r>
        <w:rPr>
          <w:rFonts w:ascii="Garamond" w:cs="Garamond" w:eastAsia="Garamond" w:hAnsi="Garamond"/>
          <w:b w:val="false"/>
          <w:bCs w:val="false"/>
          <w:i w:val="false"/>
          <w:iCs w:val="false"/>
          <w:color w:val="333333"/>
          <w:sz w:val="21"/>
          <w:szCs w:val="21"/>
        </w:rPr>
        <w:t xml:space="preserve">Segments are set based on how long the situation should run at the table. A 4-segment clock resolves in one session. A 6-segment clock runs across two or three sessions. An 8-segment clock is a multi-session arc. The GM calibrates to desired pacing, not to abstract correctness.</w:t>
      </w:r>
    </w:p>
    <w:p>
      <w:pPr>
        <w:spacing w:after="100" w:line="276"/>
      </w:pPr>
      <w:r>
        <w:rPr>
          <w:rFonts w:ascii="Garamond" w:cs="Garamond" w:eastAsia="Garamond" w:hAnsi="Garamond"/>
          <w:b w:val="false"/>
          <w:bCs w:val="false"/>
          <w:i w:val="false"/>
          <w:iCs w:val="false"/>
          <w:color w:val="333333"/>
          <w:sz w:val="21"/>
          <w:szCs w:val="21"/>
        </w:rPr>
        <w:t xml:space="preserve">Tick triggers are set based on what the party is doing. An event-triggered clock ticks when specific party actions occur. A session-triggered clock ticks automatically between sessions, creating pressure regardless of party behavior. A hybrid uses both. The trigger type is chosen based on whether the GM wants the clock to respond to the party (event) or pressure the party (session).</w:t>
      </w:r>
    </w:p>
    <w:p>
      <w:pPr>
        <w:spacing w:after="100" w:line="276"/>
      </w:pPr>
      <w:r>
        <w:rPr>
          <w:rFonts w:ascii="Garamond" w:cs="Garamond" w:eastAsia="Garamond" w:hAnsi="Garamond"/>
          <w:b w:val="false"/>
          <w:bCs w:val="false"/>
          <w:i w:val="false"/>
          <w:iCs w:val="false"/>
          <w:color w:val="333333"/>
          <w:sz w:val="21"/>
          <w:szCs w:val="21"/>
        </w:rPr>
        <w:t xml:space="preserve">The intervention threshold is set based on dramatic structure. Place it where the transition from “preventable” to “mitigable” produces the most dramatic decision point. Usually halfway to two-thirds through the segments.</w:t>
      </w:r>
    </w:p>
    <w:p>
      <w:pPr>
        <w:pStyle w:val="Heading2"/>
        <w:spacing w:after="100" w:before="220"/>
      </w:pPr>
      <w:r>
        <w:rPr>
          <w:rFonts w:ascii="Garamond" w:cs="Garamond" w:eastAsia="Garamond" w:hAnsi="Garamond"/>
          <w:b/>
          <w:bCs/>
          <w:color w:val="2B2B4B"/>
        </w:rPr>
        <w:t xml:space="preserve">The Advantage of Separation</w:t>
      </w:r>
    </w:p>
    <w:p>
      <w:pPr>
        <w:spacing w:after="100" w:line="276"/>
      </w:pPr>
      <w:r>
        <w:rPr>
          <w:rFonts w:ascii="Garamond" w:cs="Garamond" w:eastAsia="Garamond" w:hAnsi="Garamond"/>
          <w:b w:val="false"/>
          <w:bCs w:val="false"/>
          <w:i w:val="false"/>
          <w:iCs w:val="false"/>
          <w:color w:val="333333"/>
          <w:sz w:val="21"/>
          <w:szCs w:val="21"/>
        </w:rPr>
        <w:t xml:space="preserve">The GM can prep extensively — many fronts, many potential clocks — without overcommitting to specifics that play might invalidate. A front whose potential clocks include “tracking Vestus’s probe escalation” becomes an instantiated clock with specific segments only when the party enters the City of Folly and the front becomes relevant. If the party never goes to the City of Folly, the clock potential enriched the GM’s understanding of the setting without requiring mechanical parameterization.</w:t>
      </w:r>
    </w:p>
    <w:p>
      <w:pPr>
        <w:spacing w:after="100" w:line="276"/>
      </w:pPr>
      <w:r>
        <w:rPr>
          <w:rFonts w:ascii="Garamond" w:cs="Garamond" w:eastAsia="Garamond" w:hAnsi="Garamond"/>
          <w:b w:val="false"/>
          <w:bCs w:val="false"/>
          <w:i w:val="false"/>
          <w:iCs w:val="false"/>
          <w:color w:val="333333"/>
          <w:sz w:val="21"/>
          <w:szCs w:val="21"/>
        </w:rPr>
        <w:t xml:space="preserve">Prep that does not reach the table is not wasted. It is density that informs the GM’s improvisation, colors NPC behavior, and creates the sense of a world in motion beyond the party’s immediate field of view. But density does not need mechanical specifics until it reaches the table. The separation between prep-phase potential and play-phase parameterization is the engine’s efficiency mechanism.</w:t>
      </w:r>
    </w:p>
    <w:p>
      <w:pPr>
        <w:pBdr>
          <w:bottom w:val="single" w:color="CCCCCC" w:sz="3" w:space="1"/>
        </w:pBdr>
        <w:spacing w:after="80" w:before="80"/>
      </w:pPr>
      <w:r>
        <w:rPr>
          <w:sz w:val="2"/>
          <w:szCs w:val="2"/>
        </w:rPr>
        <w:t xml:space="preserve"/>
      </w:r>
    </w:p>
    <w:p>
      <w:pPr>
        <w:pStyle w:val="Heading1"/>
        <w:spacing w:after="140" w:before="300"/>
      </w:pPr>
      <w:r>
        <w:rPr>
          <w:rFonts w:ascii="Garamond" w:cs="Garamond" w:eastAsia="Garamond" w:hAnsi="Garamond"/>
          <w:b/>
          <w:bCs/>
          <w:color w:val="1A1A2E"/>
        </w:rPr>
        <w:t xml:space="preserve">RESOLUTION SUMMARY</w:t>
      </w:r>
    </w:p>
    <w:p>
      <w:pPr>
        <w:spacing w:after="100" w:line="276"/>
      </w:pPr>
      <w:r>
        <w:rPr>
          <w:rFonts w:ascii="Garamond" w:cs="Garamond" w:eastAsia="Garamond" w:hAnsi="Garamond"/>
          <w:b w:val="false"/>
          <w:bCs w:val="false"/>
          <w:i w:val="false"/>
          <w:iCs w:val="false"/>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Finding</w:t>
            </w:r>
          </w:p>
        </w:tc>
        <w:tc>
          <w:tcPr>
            <w:tcW w:type="dxa" w:w="1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Status</w:t>
            </w:r>
          </w:p>
        </w:tc>
        <w:tc>
          <w:tcPr>
            <w:tcW w:type="dxa" w:w="63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Resolution</w:t>
            </w:r>
          </w:p>
        </w:tc>
      </w:tr>
      <w:tr>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False Precision</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2E7D32"/>
                <w:sz w:val="18"/>
                <w:szCs w:val="18"/>
              </w:rPr>
              <w:t xml:space="preserve">Resolved</w:t>
            </w:r>
          </w:p>
        </w:tc>
        <w:tc>
          <w:tcPr>
            <w:tcW w:type="dxa" w:w="6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system reads bands, not points. GM-generated NPCs use band assignment (Absent through Load-bearing). Diagnostic reads are relative, not absolute. A score of 82 and 88 are mechanically identical.</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Heart’s Compass</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E65100"/>
                <w:sz w:val="18"/>
                <w:szCs w:val="18"/>
              </w:rPr>
              <w:t xml:space="preserve">Reframed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Not a gap. The designated entry point for GM creative contribution. The engine provides structure. The GM provides the heart. Underspecification invites co-completion through play.</w:t>
            </w:r>
          </w:p>
        </w:tc>
      </w:tr>
      <w:tr>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External Pressure</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2E7D32"/>
                <w:sz w:val="18"/>
                <w:szCs w:val="18"/>
              </w:rPr>
              <w:t xml:space="preserve">Resolved</w:t>
            </w:r>
          </w:p>
        </w:tc>
        <w:tc>
          <w:tcPr>
            <w:tcW w:type="dxa" w:w="6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Read the position’s Schema alongside the person’s. Two readings, two front sets. The intersection between internal and external fronts is where the richest story lives.</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Creative Interp.</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E65100"/>
                <w:sz w:val="18"/>
                <w:szCs w:val="18"/>
              </w:rPr>
              <w:t xml:space="preserve">Named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Contextual Interpretation step is now explicit between analysis and front mapping. Three sub-operations: operational context, personal shaping, intersection check.</w:t>
            </w:r>
          </w:p>
        </w:tc>
      </w:tr>
      <w:tr>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Clock Timing</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1565C0"/>
                <w:sz w:val="18"/>
                <w:szCs w:val="18"/>
              </w:rPr>
              <w:t xml:space="preserve">Confirmed</w:t>
            </w:r>
          </w:p>
        </w:tc>
        <w:tc>
          <w:tcPr>
            <w:tcW w:type="dxa" w:w="6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Correct architecture, not a limitation. Prep produces potential (narrative descriptions). Play produces parameterization (mechanical values). The boundary between Fronts and Clocks is the boundary between prep and play.</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666666"/>
          <w:sz w:val="21"/>
          <w:szCs w:val="21"/>
        </w:rPr>
        <w:t xml:space="preserve">The core pipeline — Schema to pressure points to fronts — was sound before these corrections. The corrections refine the edges: how scores are assigned (bands not points), where authorship enters (Heart’s Compass by design), how external pressure is captured (positional Schema reading), where creative judgment is required (named and explicit), and when clocks become mechanical (play-phase, not prep-phase). The architecture holds. The procedure is now complete.</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aramond" w:cs="Garamond" w:eastAsia="Garamond" w:hAnsi="Garamond"/>
      <w:b/>
      <w:bCs/>
      <w:color w:val="1A1A2E"/>
      <w:sz w:val="28"/>
      <w:szCs w:val="28"/>
    </w:rPr>
  </w:style>
  <w:style w:type="paragraph" w:styleId="Heading2">
    <w:name w:val="Heading 2"/>
    <w:basedOn w:val="Normal"/>
    <w:next w:val="Normal"/>
    <w:qFormat/>
    <w:pPr>
      <w:spacing w:after="120" w:before="240"/>
      <w:outlineLvl w:val="1"/>
    </w:pPr>
    <w:rPr>
      <w:rFonts w:ascii="Garamond" w:cs="Garamond" w:eastAsia="Garamond" w:hAnsi="Garamond"/>
      <w:b/>
      <w:bCs/>
      <w:color w:val="2B2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2026-04-15T00:47:09.335Z</dcterms:created>
  <dcterms:modified xsi:type="dcterms:W3CDTF">2026-04-15T00:47:09.336Z</dcterms:modified>
</cp:coreProperties>
</file>

<file path=docProps/custom.xml><?xml version="1.0" encoding="utf-8"?>
<Properties xmlns="http://schemas.openxmlformats.org/officeDocument/2006/custom-properties" xmlns:vt="http://schemas.openxmlformats.org/officeDocument/2006/docPropsVTypes"/>
</file>