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RESOLUTION AND COLLAPSE</w:t>
      </w:r>
    </w:p>
    <w:p>
      <w:pPr>
        <w:spacing w:after="30"/>
        <w:jc w:val="center"/>
      </w:pPr>
      <w:r>
        <w:rPr>
          <w:rFonts w:ascii="Garamond" w:cs="Garamond" w:eastAsia="Garamond" w:hAnsi="Garamond"/>
          <w:color w:val="666666"/>
          <w:sz w:val="24"/>
          <w:szCs w:val="24"/>
        </w:rPr>
        <w:t xml:space="preserve">Where Participants Meet Seeds</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6A — Vertebra 6: Adventures</w:t>
      </w:r>
    </w:p>
    <w:p>
      <w:pPr>
        <w:spacing w:after="500"/>
        <w:jc w:val="center"/>
      </w:pPr>
      <w:r>
        <w:rPr>
          <w:rFonts w:ascii="Garamond" w:cs="Garamond" w:eastAsia="Garamond" w:hAnsi="Garamond"/>
          <w:i/>
          <w:iCs/>
          <w:color w:val="999999"/>
          <w:sz w:val="18"/>
          <w:szCs w:val="18"/>
        </w:rPr>
        <w:t xml:space="preserve">The moment of observation collapse — where the superposition resolves into one actual state</w:t>
      </w:r>
    </w:p>
    <w:p>
      <w:r>
        <w:br w:type="page"/>
      </w:r>
    </w:p>
    <w:p>
      <w:pPr>
        <w:pStyle w:val="Heading1"/>
        <w:spacing w:after="140" w:before="300"/>
      </w:pPr>
      <w:r>
        <w:rPr>
          <w:rFonts w:ascii="Garamond" w:cs="Garamond" w:eastAsia="Garamond" w:hAnsi="Garamond"/>
          <w:b/>
          <w:bCs/>
          <w:color w:val="1A1A2E"/>
        </w:rPr>
        <w:t xml:space="preserve">WHAT OBSERVATION COLLAPSE IS</w:t>
      </w:r>
    </w:p>
    <w:p>
      <w:pPr>
        <w:spacing w:after="100" w:line="276"/>
      </w:pPr>
      <w:r>
        <w:rPr>
          <w:rFonts w:ascii="Garamond" w:cs="Garamond" w:eastAsia="Garamond" w:hAnsi="Garamond"/>
          <w:b w:val="false"/>
          <w:bCs w:val="false"/>
          <w:i w:val="false"/>
          <w:iCs w:val="false"/>
          <w:color w:val="333333"/>
          <w:sz w:val="21"/>
          <w:szCs w:val="21"/>
        </w:rPr>
        <w:t xml:space="preserve">Every seed placed at Vertebra 5 exists as a situation with multiple possible resolutions. The party encounters the seed. The engagement resolves through the game’s mechanical systems. One resolution becomes real. The others collapse. The story that emerges is the record of which resolutions became real and why.</w:t>
      </w:r>
    </w:p>
    <w:p>
      <w:pPr>
        <w:spacing w:after="100" w:line="276"/>
      </w:pPr>
      <w:r>
        <w:rPr>
          <w:rFonts w:ascii="Garamond" w:cs="Garamond" w:eastAsia="Garamond" w:hAnsi="Garamond"/>
          <w:b w:val="false"/>
          <w:bCs w:val="false"/>
          <w:i w:val="false"/>
          <w:iCs w:val="false"/>
          <w:color w:val="333333"/>
          <w:sz w:val="21"/>
          <w:szCs w:val="21"/>
        </w:rPr>
        <w:t xml:space="preserve">This is the Palimpsest principle expressed as gameplay. The world holds superposition states until participants observe them. The observation is not passive — it is the participant’s engagement with the seed through action, investigation, combat, negotiation, or deliberate inaction. The engagement collapses the superposition. The game’s resolution mechanics determine WHICH state becomes real. The participant’s choices determine HOW they engage with the superposition.</w:t>
      </w:r>
    </w:p>
    <w:p>
      <w:pPr>
        <w:spacing w:after="100" w:line="276"/>
      </w:pPr>
      <w:r>
        <w:rPr>
          <w:rFonts w:ascii="Garamond" w:cs="Garamond" w:eastAsia="Garamond" w:hAnsi="Garamond"/>
          <w:b w:val="false"/>
          <w:bCs w:val="false"/>
          <w:i w:val="false"/>
          <w:iCs w:val="false"/>
          <w:color w:val="333333"/>
          <w:sz w:val="21"/>
          <w:szCs w:val="21"/>
        </w:rPr>
        <w:t xml:space="preserve">Vertebra 6 is where the player lens dominates. The other vertebrae are primarily GM-facing (prep, management, tracking). This vertebra is participant-facing. It is the moment of play — the experience of encountering the world and changing it through engagement.</w:t>
      </w:r>
    </w:p>
    <w:p>
      <w:r>
        <w:br w:type="page"/>
      </w:r>
    </w:p>
    <w:p>
      <w:pPr>
        <w:pStyle w:val="Heading1"/>
        <w:spacing w:after="140" w:before="300"/>
      </w:pPr>
      <w:r>
        <w:rPr>
          <w:rFonts w:ascii="Garamond" w:cs="Garamond" w:eastAsia="Garamond" w:hAnsi="Garamond"/>
          <w:b/>
          <w:bCs/>
          <w:color w:val="1A1A2E"/>
        </w:rPr>
        <w:t xml:space="preserve">THE RESOLUTION SYSTEMS</w:t>
      </w:r>
    </w:p>
    <w:p>
      <w:pPr>
        <w:spacing w:after="50" w:line="276"/>
      </w:pPr>
      <w:r>
        <w:rPr>
          <w:rFonts w:ascii="Garamond" w:cs="Garamond" w:eastAsia="Garamond" w:hAnsi="Garamond"/>
          <w:b w:val="false"/>
          <w:bCs w:val="false"/>
          <w:i w:val="false"/>
          <w:iCs w:val="false"/>
          <w:color w:val="333333"/>
          <w:sz w:val="21"/>
          <w:szCs w:val="21"/>
        </w:rPr>
        <w:t xml:space="preserve">Three resolution systems handle observation collapse across different domains. All three are Distance 0 operations on the spine — the participant is at Adventures and manipulating Adventures. Fulcrum Point spends at this distance (1 FP) enhance the resolution. Spends at greater distances reach into other vertebrae from this position.</w:t>
      </w:r>
    </w:p>
    <w:p>
      <w:pPr>
        <w:pStyle w:val="Heading2"/>
        <w:spacing w:after="100" w:before="220"/>
      </w:pPr>
      <w:r>
        <w:rPr>
          <w:rFonts w:ascii="Garamond" w:cs="Garamond" w:eastAsia="Garamond" w:hAnsi="Garamond"/>
          <w:b/>
          <w:bCs/>
          <w:color w:val="2B2B4B"/>
        </w:rPr>
        <w:t xml:space="preserve">Physical Resolution (Combat)</w:t>
      </w:r>
    </w:p>
    <w:p>
      <w:pPr>
        <w:spacing w:after="100" w:line="276"/>
      </w:pPr>
      <w:r>
        <w:rPr>
          <w:rFonts w:ascii="Garamond" w:cs="Garamond" w:eastAsia="Garamond" w:hAnsi="Garamond"/>
          <w:b w:val="false"/>
          <w:bCs w:val="false"/>
          <w:i w:val="false"/>
          <w:iCs w:val="false"/>
          <w:color w:val="333333"/>
          <w:sz w:val="21"/>
          <w:szCs w:val="21"/>
        </w:rPr>
        <w:t xml:space="preserve">The participant encounters a physical threat or obstacle. The resolution uses the combat system: initiative, attack rolls against Composite Defense, damage against Soak, Condition Track (Physical) advancement. Each attack is a micro-collapse — the superposition of “hit or miss” resolving into one state through dice and modifiers.</w:t>
      </w:r>
    </w:p>
    <w:p>
      <w:pPr>
        <w:spacing w:after="100" w:line="276"/>
      </w:pPr>
      <w:r>
        <w:rPr>
          <w:rFonts w:ascii="Garamond" w:cs="Garamond" w:eastAsia="Garamond" w:hAnsi="Garamond"/>
          <w:b w:val="false"/>
          <w:bCs w:val="false"/>
          <w:i w:val="false"/>
          <w:iCs w:val="false"/>
          <w:color w:val="333333"/>
          <w:sz w:val="21"/>
          <w:szCs w:val="21"/>
        </w:rPr>
        <w:t xml:space="preserve">The Spell Sentence is the participant’s action vocabulary during physical resolution. A character casting a Spell Sentence construction (Effect + Primary Subtype + Construction Pool purchases) is performing the same operation as the institutional fronts at Vertebra 3 — deploying the setting’s magical physics toward an objective. The scale differs. The grammar is identical.</w:t>
      </w:r>
    </w:p>
    <w:p>
      <w:pPr>
        <w:spacing w:after="100" w:line="276"/>
      </w:pPr>
      <w:r>
        <w:rPr>
          <w:rFonts w:ascii="Garamond" w:cs="Garamond" w:eastAsia="Garamond" w:hAnsi="Garamond"/>
          <w:b w:val="false"/>
          <w:bCs w:val="false"/>
          <w:i w:val="false"/>
          <w:iCs w:val="false"/>
          <w:color w:val="333333"/>
          <w:sz w:val="21"/>
          <w:szCs w:val="21"/>
        </w:rPr>
        <w:t xml:space="preserve">The talent trees (24 top-level across Foundational Styles, Defensive Philosophies, Tactical/General, Esoteric/Resource) determine which physical resolution options the participant can access. The talent selection IS the participant’s mechanical vocabulary — what they can do during collapse is defined by what they invested in during character creation and advancement.</w:t>
      </w:r>
    </w:p>
    <w:p>
      <w:pPr>
        <w:pStyle w:val="Heading2"/>
        <w:spacing w:after="100" w:before="220"/>
      </w:pPr>
      <w:r>
        <w:rPr>
          <w:rFonts w:ascii="Garamond" w:cs="Garamond" w:eastAsia="Garamond" w:hAnsi="Garamond"/>
          <w:b/>
          <w:bCs/>
          <w:color w:val="2B2B4B"/>
        </w:rPr>
        <w:t xml:space="preserve">Social Resolution</w:t>
      </w:r>
    </w:p>
    <w:p>
      <w:pPr>
        <w:spacing w:after="100" w:line="276"/>
      </w:pPr>
      <w:r>
        <w:rPr>
          <w:rFonts w:ascii="Garamond" w:cs="Garamond" w:eastAsia="Garamond" w:hAnsi="Garamond"/>
          <w:b w:val="false"/>
          <w:bCs w:val="false"/>
          <w:i w:val="false"/>
          <w:iCs w:val="false"/>
          <w:color w:val="333333"/>
          <w:sz w:val="21"/>
          <w:szCs w:val="21"/>
        </w:rPr>
        <w:t xml:space="preserve">The participant encounters a social situation — negotiation, persuasion, intimidation, deception, or social combat. The resolution uses the Poise/Clout system: social attacks against social defenses, Condition Track (Social) advancement, relationship edge modification.</w:t>
      </w:r>
    </w:p>
    <w:p>
      <w:pPr>
        <w:spacing w:after="100" w:line="276"/>
      </w:pPr>
      <w:r>
        <w:rPr>
          <w:rFonts w:ascii="Garamond" w:cs="Garamond" w:eastAsia="Garamond" w:hAnsi="Garamond"/>
          <w:b w:val="false"/>
          <w:bCs w:val="false"/>
          <w:i w:val="false"/>
          <w:iCs w:val="false"/>
          <w:color w:val="333333"/>
          <w:sz w:val="21"/>
          <w:szCs w:val="21"/>
        </w:rPr>
        <w:t xml:space="preserve">Social resolution is not a separate game mode. It is the same Distance 0 operation using social mechanics instead of physical ones. The participant deploys social “attacks” (arguments, persuasion, leverage, charm) against the target’s social “defenses” (Poise = social HP, Clout = social background influence). When Poise depletes, the target’s social position changes — they concede, flee, or counterattack. The mechanical structure mirrors combat because both are observation collapse through contested resolution.</w:t>
      </w:r>
    </w:p>
    <w:p>
      <w:pPr>
        <w:spacing w:after="100" w:line="276"/>
      </w:pPr>
      <w:r>
        <w:rPr>
          <w:rFonts w:ascii="Garamond" w:cs="Garamond" w:eastAsia="Garamond" w:hAnsi="Garamond"/>
          <w:b w:val="false"/>
          <w:bCs w:val="false"/>
          <w:i w:val="false"/>
          <w:iCs w:val="false"/>
          <w:color w:val="333333"/>
          <w:sz w:val="21"/>
          <w:szCs w:val="21"/>
        </w:rPr>
        <w:t xml:space="preserve">Fulcrum Points at Distance 1-2 during social resolution reach into adjacent vertebrae: revealing a hidden pressure point about the NPC (Distance 2, reaching into Pressure Points), or placing a social seed (“I happen to know the mayor” — Distance 1, reaching into Symptoms). Social play naturally extends across multiple distances because social situations involve information, relationship, and history beyond the immediate moment.</w:t>
      </w:r>
    </w:p>
    <w:p>
      <w:pPr>
        <w:pStyle w:val="Heading2"/>
        <w:spacing w:after="100" w:before="220"/>
      </w:pPr>
      <w:r>
        <w:rPr>
          <w:rFonts w:ascii="Garamond" w:cs="Garamond" w:eastAsia="Garamond" w:hAnsi="Garamond"/>
          <w:b/>
          <w:bCs/>
          <w:color w:val="2B2B4B"/>
        </w:rPr>
        <w:t xml:space="preserve">Skill Resolution</w:t>
      </w:r>
    </w:p>
    <w:p>
      <w:pPr>
        <w:spacing w:after="100" w:line="276"/>
      </w:pPr>
      <w:r>
        <w:rPr>
          <w:rFonts w:ascii="Garamond" w:cs="Garamond" w:eastAsia="Garamond" w:hAnsi="Garamond"/>
          <w:b w:val="false"/>
          <w:bCs w:val="false"/>
          <w:i w:val="false"/>
          <w:iCs w:val="false"/>
          <w:color w:val="333333"/>
          <w:sz w:val="21"/>
          <w:szCs w:val="21"/>
        </w:rPr>
        <w:t xml:space="preserve">The participant encounters a task requiring specific competency. The resolution uses ability checks against a Target Number (TN). The TN reflects the difficulty of the task as shaped by the current conditions. The check resolves the superposition of “succeed or fail” into one state.</w:t>
      </w:r>
    </w:p>
    <w:p>
      <w:pPr>
        <w:spacing w:after="100" w:line="276"/>
      </w:pPr>
      <w:r>
        <w:rPr>
          <w:rFonts w:ascii="Garamond" w:cs="Garamond" w:eastAsia="Garamond" w:hAnsi="Garamond"/>
          <w:b w:val="false"/>
          <w:bCs w:val="false"/>
          <w:i w:val="false"/>
          <w:iCs w:val="false"/>
          <w:color w:val="333333"/>
          <w:sz w:val="21"/>
          <w:szCs w:val="21"/>
        </w:rPr>
        <w:t xml:space="preserve">Skill resolution is the most frequent collapse type — investigation checks to discover seeds, perception checks to notice symptoms, knowledge checks to interpret evidence. Each successful check reveals information that shifts the participant’s understanding of the situation. Each failed check maintains the current superposition state and may produce alternative information (partial success) or complications (critical failure).</w:t>
      </w:r>
    </w:p>
    <w:p>
      <w:r>
        <w:br w:type="page"/>
      </w:r>
    </w:p>
    <w:p>
      <w:pPr>
        <w:pStyle w:val="Heading1"/>
        <w:spacing w:after="140" w:before="300"/>
      </w:pPr>
      <w:r>
        <w:rPr>
          <w:rFonts w:ascii="Garamond" w:cs="Garamond" w:eastAsia="Garamond" w:hAnsi="Garamond"/>
          <w:b/>
          <w:bCs/>
          <w:color w:val="1A1A2E"/>
        </w:rPr>
        <w:t xml:space="preserve">ANALYSIS OF COMPETING HYPOTHESES</w:t>
      </w:r>
    </w:p>
    <w:p>
      <w:pPr>
        <w:spacing w:after="50" w:line="276"/>
      </w:pPr>
      <w:r>
        <w:rPr>
          <w:rFonts w:ascii="Garamond" w:cs="Garamond" w:eastAsia="Garamond" w:hAnsi="Garamond"/>
          <w:b w:val="false"/>
          <w:bCs w:val="false"/>
          <w:i w:val="false"/>
          <w:iCs w:val="false"/>
          <w:color w:val="333333"/>
          <w:sz w:val="21"/>
          <w:szCs w:val="21"/>
        </w:rPr>
        <w:t xml:space="preserve">When the participant encounters multiple seeds that could explain the same situation, ACH provides the analytical framework for processing them. Derived from CIA tradecraft methodology, ACH is the intelligence analysis tool for determining which explanation best fits the available evidence.</w:t>
      </w:r>
    </w:p>
    <w:p>
      <w:pPr>
        <w:spacing w:after="100" w:line="276"/>
      </w:pPr>
      <w:r>
        <w:rPr>
          <w:rFonts w:ascii="Garamond" w:cs="Garamond" w:eastAsia="Garamond" w:hAnsi="Garamond"/>
          <w:b/>
          <w:bCs/>
          <w:color w:val="1A1A2E"/>
          <w:sz w:val="21"/>
          <w:szCs w:val="21"/>
        </w:rPr>
        <w:t xml:space="preserve">1. Generate hypotheses: </w:t>
      </w:r>
      <w:r>
        <w:rPr>
          <w:rFonts w:ascii="Garamond" w:cs="Garamond" w:eastAsia="Garamond" w:hAnsi="Garamond"/>
          <w:b w:val="false"/>
          <w:bCs w:val="false"/>
          <w:i w:val="false"/>
          <w:iCs w:val="false"/>
          <w:color w:val="333333"/>
          <w:sz w:val="21"/>
          <w:szCs w:val="21"/>
        </w:rPr>
        <w:t xml:space="preserve">List every possible explanation for the observed symptoms. Do not evaluate yet. The list should be comprehensive — include explanations you think are unlikely. The unlikely ones discipline the analysis.</w:t>
      </w:r>
    </w:p>
    <w:p>
      <w:pPr>
        <w:spacing w:after="100" w:line="276"/>
      </w:pPr>
      <w:r>
        <w:rPr>
          <w:rFonts w:ascii="Garamond" w:cs="Garamond" w:eastAsia="Garamond" w:hAnsi="Garamond"/>
          <w:b/>
          <w:bCs/>
          <w:color w:val="1A1A2E"/>
          <w:sz w:val="21"/>
          <w:szCs w:val="21"/>
        </w:rPr>
        <w:t xml:space="preserve">2. Evaluate evidence against each hypothesis: </w:t>
      </w:r>
      <w:r>
        <w:rPr>
          <w:rFonts w:ascii="Garamond" w:cs="Garamond" w:eastAsia="Garamond" w:hAnsi="Garamond"/>
          <w:b w:val="false"/>
          <w:bCs w:val="false"/>
          <w:i w:val="false"/>
          <w:iCs w:val="false"/>
          <w:color w:val="333333"/>
          <w:sz w:val="21"/>
          <w:szCs w:val="21"/>
        </w:rPr>
        <w:t xml:space="preserve">For each piece of evidence (each seed encountered, each clue discovered, each NPC testimony), evaluate whether it supports, contradicts, or is neutral toward each hypothesis. Build the matrix.</w:t>
      </w:r>
    </w:p>
    <w:p>
      <w:pPr>
        <w:spacing w:after="100" w:line="276"/>
      </w:pPr>
      <w:r>
        <w:rPr>
          <w:rFonts w:ascii="Garamond" w:cs="Garamond" w:eastAsia="Garamond" w:hAnsi="Garamond"/>
          <w:b/>
          <w:bCs/>
          <w:color w:val="1A1A2E"/>
          <w:sz w:val="21"/>
          <w:szCs w:val="21"/>
        </w:rPr>
        <w:t xml:space="preserve">3. Identify the diagnostic gap: </w:t>
      </w:r>
      <w:r>
        <w:rPr>
          <w:rFonts w:ascii="Garamond" w:cs="Garamond" w:eastAsia="Garamond" w:hAnsi="Garamond"/>
          <w:b w:val="false"/>
          <w:bCs w:val="false"/>
          <w:i w:val="false"/>
          <w:iCs w:val="false"/>
          <w:color w:val="333333"/>
          <w:sz w:val="21"/>
          <w:szCs w:val="21"/>
        </w:rPr>
        <w:t xml:space="preserve">The hypothesis with the most supporting evidence and fewest contradictions is the strongest. But the critical output is identifying the DIAGNOSTIC evidence — the single piece of information that would definitively distinguish between the top two hypotheses. That diagnostic gap IS the next investigative objective.</w:t>
      </w:r>
    </w:p>
    <w:p>
      <w:pPr>
        <w:spacing w:after="100" w:line="276"/>
      </w:pPr>
      <w:r>
        <w:rPr>
          <w:rFonts w:ascii="Garamond" w:cs="Garamond" w:eastAsia="Garamond" w:hAnsi="Garamond"/>
          <w:b w:val="false"/>
          <w:bCs w:val="false"/>
          <w:i w:val="false"/>
          <w:iCs w:val="false"/>
          <w:color w:val="333333"/>
          <w:sz w:val="21"/>
          <w:szCs w:val="21"/>
        </w:rPr>
        <w:t xml:space="preserve">ACH converts a plot debate into a mission briefing. The party stops arguing about what they THINK is happening and starts identifying what they NEED TO KNOW to distinguish between explanations. The gap becomes the next adventure’s objective. The investigation is directed by the analysis rather than by intuition.</w:t>
      </w:r>
    </w:p>
    <w:p>
      <w:r>
        <w:br w:type="page"/>
      </w:r>
    </w:p>
    <w:p>
      <w:pPr>
        <w:pStyle w:val="Heading1"/>
        <w:spacing w:after="140" w:before="300"/>
      </w:pPr>
      <w:r>
        <w:rPr>
          <w:rFonts w:ascii="Garamond" w:cs="Garamond" w:eastAsia="Garamond" w:hAnsi="Garamond"/>
          <w:b/>
          <w:bCs/>
          <w:color w:val="1A1A2E"/>
        </w:rPr>
        <w:t xml:space="preserve">BELIEF ACTIVATION</w:t>
      </w:r>
    </w:p>
    <w:p>
      <w:pPr>
        <w:spacing w:after="50" w:line="276"/>
      </w:pPr>
      <w:r>
        <w:rPr>
          <w:rFonts w:ascii="Garamond" w:cs="Garamond" w:eastAsia="Garamond" w:hAnsi="Garamond"/>
          <w:b w:val="false"/>
          <w:bCs w:val="false"/>
          <w:i w:val="false"/>
          <w:iCs w:val="false"/>
          <w:color w:val="333333"/>
          <w:sz w:val="21"/>
          <w:szCs w:val="21"/>
        </w:rPr>
        <w:t xml:space="preserve">Beliefs (Document 1A) are Schema elements that create mandatory engagement. Certain seeds automatically trigger observation collapse because the participant’s profile demands response. The character CANNOT walk away.</w:t>
      </w:r>
    </w:p>
    <w:p>
      <w:pPr>
        <w:spacing w:after="100" w:line="276"/>
      </w:pPr>
      <w:r>
        <w:rPr>
          <w:rFonts w:ascii="Garamond" w:cs="Garamond" w:eastAsia="Garamond" w:hAnsi="Garamond"/>
          <w:b w:val="false"/>
          <w:bCs w:val="false"/>
          <w:i w:val="false"/>
          <w:iCs w:val="false"/>
          <w:color w:val="333333"/>
          <w:sz w:val="21"/>
          <w:szCs w:val="21"/>
        </w:rPr>
        <w:t xml:space="preserve">A character with the belief “I will protect the innocent” encounters a seed involving a threatened innocent. The belief activates. The player does not choose whether to engage — the belief commits them. The choice is HOW to engage, not WHETHER. This is the bonding mechanism between Vertebra 1 (who you are) and Vertebra 6 (how you engage). The Schema reaches across the spine and grabs the situation.</w:t>
      </w:r>
    </w:p>
    <w:p>
      <w:pPr>
        <w:spacing w:after="100" w:line="276"/>
      </w:pPr>
      <w:r>
        <w:rPr>
          <w:rFonts w:ascii="Garamond" w:cs="Garamond" w:eastAsia="Garamond" w:hAnsi="Garamond"/>
          <w:b w:val="false"/>
          <w:bCs w:val="false"/>
          <w:i w:val="false"/>
          <w:iCs w:val="false"/>
          <w:color w:val="333333"/>
          <w:sz w:val="21"/>
          <w:szCs w:val="21"/>
        </w:rPr>
        <w:t xml:space="preserve">Belief activation produces the campaign’s most character-defining moments because the engagement is compulsory and the method is chosen. The gap between “I must act” and “how do I act” is where the character’s identity crystallizes. The choice under compulsion reveals more than any elective decision.</w:t>
      </w:r>
    </w:p>
    <w:p>
      <w:pPr>
        <w:spacing w:after="100" w:line="276"/>
      </w:pPr>
      <w:r>
        <w:rPr>
          <w:rFonts w:ascii="Garamond" w:cs="Garamond" w:eastAsia="Garamond" w:hAnsi="Garamond"/>
          <w:b w:val="false"/>
          <w:bCs w:val="false"/>
          <w:i w:val="false"/>
          <w:iCs w:val="false"/>
          <w:color w:val="333333"/>
          <w:sz w:val="21"/>
          <w:szCs w:val="21"/>
        </w:rPr>
        <w:t xml:space="preserve">When a belief is tested and found wanting — when the character acts against their stated belief because the situation demanded it — the belief may change. Belief modification is a significant character event. It should emerge from play through the pressure of a specific situation, not be revised arbitrarily between sessions. The moment of belief change IS the character’s turning point.</w:t>
      </w:r>
    </w:p>
    <w:p>
      <w:r>
        <w:br w:type="page"/>
      </w:r>
    </w:p>
    <w:p>
      <w:pPr>
        <w:pStyle w:val="Heading1"/>
        <w:spacing w:after="140" w:before="300"/>
      </w:pPr>
      <w:r>
        <w:rPr>
          <w:rFonts w:ascii="Garamond" w:cs="Garamond" w:eastAsia="Garamond" w:hAnsi="Garamond"/>
          <w:b/>
          <w:bCs/>
          <w:color w:val="1A1A2E"/>
        </w:rPr>
        <w:t xml:space="preserve">FATE-STYLE COMPELS</w:t>
      </w:r>
    </w:p>
    <w:p>
      <w:pPr>
        <w:spacing w:after="50" w:line="276"/>
      </w:pPr>
      <w:r>
        <w:rPr>
          <w:rFonts w:ascii="Garamond" w:cs="Garamond" w:eastAsia="Garamond" w:hAnsi="Garamond"/>
          <w:b w:val="false"/>
          <w:bCs w:val="false"/>
          <w:i w:val="false"/>
          <w:iCs w:val="false"/>
          <w:color w:val="333333"/>
          <w:sz w:val="21"/>
          <w:szCs w:val="21"/>
        </w:rPr>
        <w:t xml:space="preserve">Character traits as sources of complication, not just bonuses. A compel occurs when the character’s own profile interacts with a seed to produce an unexpected difficulty.</w:t>
      </w:r>
    </w:p>
    <w:p>
      <w:pPr>
        <w:spacing w:after="100" w:line="276"/>
      </w:pPr>
      <w:r>
        <w:rPr>
          <w:rFonts w:ascii="Garamond" w:cs="Garamond" w:eastAsia="Garamond" w:hAnsi="Garamond"/>
          <w:b w:val="false"/>
          <w:bCs w:val="false"/>
          <w:i w:val="false"/>
          <w:iCs w:val="false"/>
          <w:color w:val="333333"/>
          <w:sz w:val="21"/>
          <w:szCs w:val="21"/>
        </w:rPr>
        <w:t xml:space="preserve">The Redemption-narrative character (Document 1A, Narrative Identity) encounters the same seed differently than the Contamination-narrative character. The Redemption character sees the crisis as a setup for eventual positive outcome and engages with hope. The Contamination character sees it as confirmation that positive developments always corrupt and engages with defensive pessimism. Same seed. Different profile. Different engagement. Different collapse.</w:t>
      </w:r>
    </w:p>
    <w:p>
      <w:pPr>
        <w:spacing w:after="100" w:line="276"/>
      </w:pPr>
      <w:r>
        <w:rPr>
          <w:rFonts w:ascii="Garamond" w:cs="Garamond" w:eastAsia="Garamond" w:hAnsi="Garamond"/>
          <w:b w:val="false"/>
          <w:bCs w:val="false"/>
          <w:i w:val="false"/>
          <w:iCs w:val="false"/>
          <w:color w:val="333333"/>
          <w:sz w:val="21"/>
          <w:szCs w:val="21"/>
        </w:rPr>
        <w:t xml:space="preserve">Compels do not require mechanical enforcement. They emerge from honest character portrayal. When a player says “My character wouldn’t trust this NPC because of what happened in session 4,” that is a self-compel — the character’s accumulated experience (the Legacy at Vertebra 7 feeding back into Schema at Vertebra 1) distorting their engagement at Vertebra 6. The player is operating the full spine cycle in a single decision.</w:t>
      </w:r>
    </w:p>
    <w:p>
      <w:pPr>
        <w:spacing w:after="100" w:line="276"/>
      </w:pPr>
      <w:r>
        <w:rPr>
          <w:rFonts w:ascii="Garamond" w:cs="Garamond" w:eastAsia="Garamond" w:hAnsi="Garamond"/>
          <w:b w:val="false"/>
          <w:bCs w:val="false"/>
          <w:i w:val="false"/>
          <w:iCs w:val="false"/>
          <w:color w:val="333333"/>
          <w:sz w:val="21"/>
          <w:szCs w:val="21"/>
        </w:rPr>
        <w:t xml:space="preserve">The GM can offer explicit compels: “Your Constantine 95 means you feel obligated to help even though this is not your problem. Do you resist the obligation or accept it?” The question makes the Schema’s influence visible to the player. Accepting the compel produces complications (the obligation diverts resources from the party’s current objective). Resisting the compel produces internal pressure (the Schema’s tension increases because the character acted against a load-bearing value). Both outcomes generate story.</w:t>
      </w:r>
    </w:p>
    <w:p>
      <w:r>
        <w:br w:type="page"/>
      </w:r>
    </w:p>
    <w:p>
      <w:pPr>
        <w:pStyle w:val="Heading1"/>
        <w:spacing w:after="140" w:before="300"/>
      </w:pPr>
      <w:r>
        <w:rPr>
          <w:rFonts w:ascii="Garamond" w:cs="Garamond" w:eastAsia="Garamond" w:hAnsi="Garamond"/>
          <w:b/>
          <w:bCs/>
          <w:color w:val="1A1A2E"/>
        </w:rPr>
        <w:t xml:space="preserve">FLASHBACKS: REVERSE-DIRECTION COLLAPSE</w:t>
      </w:r>
    </w:p>
    <w:p>
      <w:pPr>
        <w:spacing w:after="50" w:line="276"/>
      </w:pPr>
      <w:r>
        <w:rPr>
          <w:rFonts w:ascii="Garamond" w:cs="Garamond" w:eastAsia="Garamond" w:hAnsi="Garamond"/>
          <w:b w:val="false"/>
          <w:bCs w:val="false"/>
          <w:i w:val="false"/>
          <w:iCs w:val="false"/>
          <w:color w:val="333333"/>
          <w:sz w:val="21"/>
          <w:szCs w:val="21"/>
        </w:rPr>
        <w:t xml:space="preserve">Normal collapse is forward-facing: the participant encounters a seed and responds in the present moment. Flashback collapse is backward-facing: the participant declares a past action that retroactively placed a seed or created a condition that changes the present situation.</w:t>
      </w:r>
    </w:p>
    <w:p>
      <w:pPr>
        <w:spacing w:after="100" w:line="276"/>
      </w:pPr>
      <w:r>
        <w:rPr>
          <w:rFonts w:ascii="Garamond" w:cs="Garamond" w:eastAsia="Garamond" w:hAnsi="Garamond"/>
          <w:b w:val="false"/>
          <w:bCs w:val="false"/>
          <w:i w:val="false"/>
          <w:iCs w:val="false"/>
          <w:color w:val="333333"/>
          <w:sz w:val="21"/>
          <w:szCs w:val="21"/>
        </w:rPr>
        <w:t xml:space="preserve">“Of course I bribed the guard yesterday.” The participant spends FP at Distance 1 (reaching into Symptoms from Adventures) and declares that a past action produced a current condition. The bribe was always there. The guard was always amenable. The Palimpsest collapsed backward — observation from the present determining what was true in the past.</w:t>
      </w:r>
    </w:p>
    <w:p>
      <w:pPr>
        <w:spacing w:after="100" w:line="276"/>
      </w:pPr>
      <w:r>
        <w:rPr>
          <w:rFonts w:ascii="Garamond" w:cs="Garamond" w:eastAsia="Garamond" w:hAnsi="Garamond"/>
          <w:b w:val="false"/>
          <w:bCs w:val="false"/>
          <w:i w:val="false"/>
          <w:iCs w:val="false"/>
          <w:color w:val="333333"/>
          <w:sz w:val="21"/>
          <w:szCs w:val="21"/>
        </w:rPr>
        <w:t xml:space="preserve">This is Schrödinger’s Gun given to the participants. The GM uses Schrödinger’s Gun to place seeds forward in time (the truth was always in the location the party searches). The participant uses flashbacks to place seeds backward in time (the preparation was always completed before the operation began).</w:t>
      </w:r>
    </w:p>
    <w:p>
      <w:pPr>
        <w:pStyle w:val="Heading2"/>
        <w:spacing w:after="100" w:before="220"/>
      </w:pPr>
      <w:r>
        <w:rPr>
          <w:rFonts w:ascii="Garamond" w:cs="Garamond" w:eastAsia="Garamond" w:hAnsi="Garamond"/>
          <w:b/>
          <w:bCs/>
          <w:color w:val="2B2B4B"/>
        </w:rPr>
        <w:t xml:space="preserve">Flashback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Simple preparation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1 FP (Distance 0). “I brought the right tool.” The preparation is minor and plausible. No verification needed.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Complex preparation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2 FP (Distance 1). “I bribed the guard yesterday.” The preparation involved an interaction that changes current conditions. The GM may require a retroactive skill check.</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Elaborate preparation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3 FP (Distance 2). “I spent last week setting up a false identity in this town.” The preparation involved sustained activity that established infrastructure. The GM determines what was achievable and what complications arose.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Structural revision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4+ FP (Distance 3). “The merchant and I have been corresponding for months.” The preparation retroactively establishes a relationship edge that did not previously exist on the map. Major deferred consequences apply.</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Flashbacks are the Selûnae mechanism given to players — reading fate backwards as an active gameplay tool. The story was always going to include this preparation. The participant is not inventing a new fact. They are collapsing a superposition that was always available. The FP cost represents the narrative energy required to make retroactive observation believable within the fiction.</w:t>
      </w:r>
    </w:p>
    <w:p>
      <w:r>
        <w:br w:type="page"/>
      </w:r>
    </w:p>
    <w:p>
      <w:pPr>
        <w:pStyle w:val="Heading1"/>
        <w:spacing w:after="140" w:before="300"/>
      </w:pPr>
      <w:r>
        <w:rPr>
          <w:rFonts w:ascii="Garamond" w:cs="Garamond" w:eastAsia="Garamond" w:hAnsi="Garamond"/>
          <w:b/>
          <w:bCs/>
          <w:color w:val="1A1A2E"/>
        </w:rPr>
        <w:t xml:space="preserve">THE PARTICIPANT’S TOOLKIT</w:t>
      </w:r>
    </w:p>
    <w:p>
      <w:pPr>
        <w:spacing w:after="50" w:line="276"/>
      </w:pPr>
      <w:r>
        <w:rPr>
          <w:rFonts w:ascii="Garamond" w:cs="Garamond" w:eastAsia="Garamond" w:hAnsi="Garamond"/>
          <w:b w:val="false"/>
          <w:bCs w:val="false"/>
          <w:i w:val="false"/>
          <w:iCs w:val="false"/>
          <w:color w:val="333333"/>
          <w:sz w:val="21"/>
          <w:szCs w:val="21"/>
        </w:rPr>
        <w:t xml:space="preserve">What the participant brings to Vertebra 6. The mechanical vocabulary for engaging with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Talent Trees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24 top-level trees across four categories define what the character can DO during collapse. Foundational Styles (8), Defensive Philosophies (3), Tactical/General (7), Esoteric/Resource (5). Talent selection IS build identity.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Spell Sentence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19 canonical effects + Variable, each with scaling tables and isotope mappings. The grammar for magical action. The same grammar that describes symptoms (Vertebra 5) also describes player actions. The world speaks Spell Sentence. The player speaks it back.</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Composite Defense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How resistant the target is to the collapse. Composite Defense replaces AC. It determines the threshold for successful engagement. Not a single number — different defense components resist different attack types.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Soak</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Damage reduction that operates after the defense is penetrated. Soak reduces the consequence of successful collapse. The mechanical buffer between engagement and outcome.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Target Number (TN)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difficulty threshold for skill resolution. Replaces DC. Set by the GM based on the situation’s current conditions. The TN is the Smoothing Effect’s micro-expression — the world’s resistance to being changed at this specific point.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Condition Tracks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four tracks (Physical, Mental, Social, Metaphysical) are the participant’s clock instances. Each engagement that produces damage advances a track. The participant’s state at Vertebra 6 IS their current Condition Track positions.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Fulcrum Points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metacurrency for reaching beyond Distance 0. At this vertebra, the participant can spend to boost rolls (D0), place seeds (D1), manipulate clocks (D2), alter relationships (D3), or override regulatory systems (D∞). See Document 4B.</w:t>
            </w:r>
          </w:p>
        </w:tc>
      </w:tr>
    </w:tbl>
    <w:p>
      <w:r>
        <w:br w:type="page"/>
      </w:r>
    </w:p>
    <w:p>
      <w:pPr>
        <w:pStyle w:val="Heading1"/>
        <w:spacing w:after="140" w:before="300"/>
      </w:pPr>
      <w:r>
        <w:rPr>
          <w:rFonts w:ascii="Garamond" w:cs="Garamond" w:eastAsia="Garamond" w:hAnsi="Garamond"/>
          <w:b/>
          <w:bCs/>
          <w:color w:val="1A1A2E"/>
        </w:rPr>
        <w:t xml:space="preserve">THE COLLAPSE PRODUCES CONSEQUENCES</w:t>
      </w:r>
    </w:p>
    <w:p>
      <w:pPr>
        <w:spacing w:after="50" w:line="276"/>
      </w:pPr>
      <w:r>
        <w:rPr>
          <w:rFonts w:ascii="Garamond" w:cs="Garamond" w:eastAsia="Garamond" w:hAnsi="Garamond"/>
          <w:b w:val="false"/>
          <w:bCs w:val="false"/>
          <w:i w:val="false"/>
          <w:iCs w:val="false"/>
          <w:color w:val="333333"/>
          <w:sz w:val="21"/>
          <w:szCs w:val="21"/>
        </w:rPr>
        <w:t xml:space="preserve">Every resolved engagement produces output that feeds Vertebra 7 (Feedback Loop). The collapse is not the end of the process. It is the input for the next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Clock modifications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Did the engagement advance or retard a clock? A defeated enemy front’s clock retards. A failed defense advances the attacker’s clock. Update the clock tracker.</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Relationship changes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Did the engagement create, strengthen, weaken, or sever an edge? Successful negotiation increases trust. Betrayal increases tension. New alliances create edges. Update the map.</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NPC state changes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Did the engagement modify an NPC’s personal clock position? A defeated NPC may trend further toward failure. A spared enemy may reassess. Update the Assessment Card.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Condition Track positions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participant’s own track positions carry forward. Unhealed damage IS persistent consequence. Partial recovery IS the compounding weight of previous cycles.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Chekhov resolutions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Did the engagement resolve an outstanding seed? Cross it off the truth list. Note the resolution in the ledger. The obligation is fulfilled.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New seeds placed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Did the engagement produce new information, new relationships, or new situations? Each is a potential seed for future cycles. Add to the truth list.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consequences flow from Vertebra 6 into Vertebra 7 (Feedback Loop), where they are processed for cascade effects, Legacy pattern updating, and retrospective coherence. The spine cycles.</w:t>
      </w:r>
    </w:p>
    <w:p>
      <w:r>
        <w:br w:type="page"/>
      </w:r>
    </w:p>
    <w:p>
      <w:pPr>
        <w:pStyle w:val="Heading1"/>
        <w:spacing w:after="140" w:before="300"/>
      </w:pPr>
      <w:r>
        <w:rPr>
          <w:rFonts w:ascii="Garamond" w:cs="Garamond" w:eastAsia="Garamond" w:hAnsi="Garamond"/>
          <w:b/>
          <w:bCs/>
          <w:color w:val="1A1A2E"/>
        </w:rPr>
        <w:t xml:space="preserve">EXPRESSION GUIDANCE: EMBODIED EXPRESSION</w:t>
      </w:r>
    </w:p>
    <w:p>
      <w:pPr>
        <w:spacing w:after="50" w:line="276"/>
      </w:pPr>
      <w:r>
        <w:rPr>
          <w:rFonts w:ascii="Garamond" w:cs="Garamond" w:eastAsia="Garamond" w:hAnsi="Garamond"/>
          <w:b w:val="false"/>
          <w:bCs w:val="false"/>
          <w:i w:val="false"/>
          <w:iCs w:val="false"/>
          <w:color w:val="333333"/>
          <w:sz w:val="21"/>
          <w:szCs w:val="21"/>
        </w:rPr>
        <w:t xml:space="preserve">Vertebra 6’s strongest expression bond is Embodied Expression — the physical manifestation of abstract states through body, space, and silence. The collapse moment is where theatrical technique has its greatest impact because it is the moment of maximum participant engagement.</w:t>
      </w:r>
    </w:p>
    <w:p>
      <w:pPr>
        <w:pStyle w:val="Heading2"/>
        <w:spacing w:after="100" w:before="220"/>
      </w:pPr>
      <w:r>
        <w:rPr>
          <w:rFonts w:ascii="Garamond" w:cs="Garamond" w:eastAsia="Garamond" w:hAnsi="Garamond"/>
          <w:b/>
          <w:bCs/>
          <w:color w:val="2B2B4B"/>
        </w:rPr>
        <w:t xml:space="preserve">The Dramatic Pause</w:t>
      </w:r>
    </w:p>
    <w:p>
      <w:pPr>
        <w:spacing w:after="100" w:line="276"/>
      </w:pPr>
      <w:r>
        <w:rPr>
          <w:rFonts w:ascii="Garamond" w:cs="Garamond" w:eastAsia="Garamond" w:hAnsi="Garamond"/>
          <w:b w:val="false"/>
          <w:bCs w:val="false"/>
          <w:i w:val="false"/>
          <w:iCs w:val="false"/>
          <w:color w:val="333333"/>
          <w:sz w:val="21"/>
          <w:szCs w:val="21"/>
        </w:rPr>
        <w:t xml:space="preserve">Silence before a critical decision. Not a performative pause — a genuine beat of consideration. “Lacuna looks at the prisoner for a long time. Then he says: let him go.” The pause did the work. The decision landed because there was space before it. At the table, the pause signals that this moment matters. The other participants stop and attend. Collins’ focused attention condition is met through the silence itself.</w:t>
      </w:r>
    </w:p>
    <w:p>
      <w:pPr>
        <w:pStyle w:val="Heading2"/>
        <w:spacing w:after="100" w:before="220"/>
      </w:pPr>
      <w:r>
        <w:rPr>
          <w:rFonts w:ascii="Garamond" w:cs="Garamond" w:eastAsia="Garamond" w:hAnsi="Garamond"/>
          <w:b/>
          <w:bCs/>
          <w:color w:val="2B2B4B"/>
        </w:rPr>
        <w:t xml:space="preserve">Blocking</w:t>
      </w:r>
    </w:p>
    <w:p>
      <w:pPr>
        <w:spacing w:after="100" w:line="276"/>
      </w:pPr>
      <w:r>
        <w:rPr>
          <w:rFonts w:ascii="Garamond" w:cs="Garamond" w:eastAsia="Garamond" w:hAnsi="Garamond"/>
          <w:b w:val="false"/>
          <w:bCs w:val="false"/>
          <w:i w:val="false"/>
          <w:iCs w:val="false"/>
          <w:color w:val="333333"/>
          <w:sz w:val="21"/>
          <w:szCs w:val="21"/>
        </w:rPr>
        <w:t xml:space="preserve">Spatial relationships communicate power, intimacy, conflict, and alliance. The participant cannot physically move at the table, but they can describe spatial positioning. “Lacuna positions himself between the prisoner and the door.” The positioning IS the statement. No dialogue needed. The physical arrangement communicates protectiveness without declaring it. Describe where the character is, who they are near, what they face. The spatial information communicates relationships that dialogue cannot.</w:t>
      </w:r>
    </w:p>
    <w:p>
      <w:pPr>
        <w:pStyle w:val="Heading2"/>
        <w:spacing w:after="100" w:before="220"/>
      </w:pPr>
      <w:r>
        <w:rPr>
          <w:rFonts w:ascii="Garamond" w:cs="Garamond" w:eastAsia="Garamond" w:hAnsi="Garamond"/>
          <w:b/>
          <w:bCs/>
          <w:color w:val="2B2B4B"/>
        </w:rPr>
        <w:t xml:space="preserve">Stage Business</w:t>
      </w:r>
    </w:p>
    <w:p>
      <w:pPr>
        <w:spacing w:after="100" w:line="276"/>
      </w:pPr>
      <w:r>
        <w:rPr>
          <w:rFonts w:ascii="Garamond" w:cs="Garamond" w:eastAsia="Garamond" w:hAnsi="Garamond"/>
          <w:b w:val="false"/>
          <w:bCs w:val="false"/>
          <w:i w:val="false"/>
          <w:iCs w:val="false"/>
          <w:color w:val="333333"/>
          <w:sz w:val="21"/>
          <w:szCs w:val="21"/>
        </w:rPr>
        <w:t xml:space="preserve">Small physical actions performed during scenes that communicate inner state without dialogue. Writing in the ledger. Cleaning a weapon. Touching a scar. Each action communicates something the character is not saying. The table reads it unconsciously. The character’s instincts (Document 1A) are the scripted stage business — the automatic behaviors that reveal identity through action rather than declaration.</w:t>
      </w:r>
    </w:p>
    <w:p>
      <w:pPr>
        <w:pStyle w:val="Heading2"/>
        <w:spacing w:after="100" w:before="220"/>
      </w:pPr>
      <w:r>
        <w:rPr>
          <w:rFonts w:ascii="Garamond" w:cs="Garamond" w:eastAsia="Garamond" w:hAnsi="Garamond"/>
          <w:b/>
          <w:bCs/>
          <w:color w:val="2B2B4B"/>
        </w:rPr>
        <w:t xml:space="preserve">Ensemble Awareness</w:t>
      </w:r>
    </w:p>
    <w:p>
      <w:pPr>
        <w:spacing w:after="100" w:line="276"/>
      </w:pPr>
      <w:r>
        <w:rPr>
          <w:rFonts w:ascii="Garamond" w:cs="Garamond" w:eastAsia="Garamond" w:hAnsi="Garamond"/>
          <w:b w:val="false"/>
          <w:bCs w:val="false"/>
          <w:i w:val="false"/>
          <w:iCs w:val="false"/>
          <w:color w:val="333333"/>
          <w:sz w:val="21"/>
          <w:szCs w:val="21"/>
        </w:rPr>
        <w:t xml:space="preserve">The collapse is not a solo performance. Other participants are present. Their reactions to the collapse event are part of the scene. Noticing another character’s response — “Lacuna notices the cleric has been quiet since the priestess mentioned the temple” — creates ensemble awareness. The table starts noticing each other. The DM starts thinking about how NPCs relate to the whole party, not just the speaker.</w:t>
      </w:r>
    </w:p>
    <w:p>
      <w:pPr>
        <w:pStyle w:val="Heading2"/>
        <w:spacing w:after="100" w:before="220"/>
      </w:pPr>
      <w:r>
        <w:rPr>
          <w:rFonts w:ascii="Garamond" w:cs="Garamond" w:eastAsia="Garamond" w:hAnsi="Garamond"/>
          <w:b/>
          <w:bCs/>
          <w:color w:val="2B2B4B"/>
        </w:rPr>
        <w:t xml:space="preserve">The “This Could Be You” Moment</w:t>
      </w:r>
    </w:p>
    <w:p>
      <w:pPr>
        <w:spacing w:after="100" w:line="276"/>
      </w:pPr>
      <w:r>
        <w:rPr>
          <w:rFonts w:ascii="Garamond" w:cs="Garamond" w:eastAsia="Garamond" w:hAnsi="Garamond"/>
          <w:b w:val="false"/>
          <w:bCs w:val="false"/>
          <w:i w:val="false"/>
          <w:iCs w:val="false"/>
          <w:color w:val="333333"/>
          <w:sz w:val="21"/>
          <w:szCs w:val="21"/>
        </w:rPr>
        <w:t xml:space="preserve">The design principle from Vertebra 5 (Document 5A) becomes the FELT EXPERIENCE here. The seed was designed with personal relevance hooks. At Vertebra 6, those hooks activate. The participant is not just observing a dilemma — they are FEELING it as though they face it personally. Transportation Theory (regulatory system) governs how deeply the participant enters the fictional space. When transportation is complete, the collapse is experienced as real choice with real weight. The table remembers these moments because they were lived, not watched.</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iCs/>
          <w:color w:val="888888"/>
          <w:sz w:val="21"/>
          <w:szCs w:val="21"/>
        </w:rPr>
        <w:t xml:space="preserve">The consequences produced at this vertebra flow into Vertebra 7 (Document 7A: Consequence and Legacy Procedures, Document 7B: Collective Memory and Retrospective Tools). The collapse is the input. The feedback loop is the processing. The modified spine state is the output. The cycle repeats.</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2026-04-15T01:46:54.200Z</dcterms:created>
  <dcterms:modified xsi:type="dcterms:W3CDTF">2026-04-15T01:46:54.201Z</dcterms:modified>
</cp:coreProperties>
</file>

<file path=docProps/custom.xml><?xml version="1.0" encoding="utf-8"?>
<Properties xmlns="http://schemas.openxmlformats.org/officeDocument/2006/custom-properties" xmlns:vt="http://schemas.openxmlformats.org/officeDocument/2006/docPropsVTypes"/>
</file>