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1800"/>
        <w:jc w:val="center"/>
      </w:pPr>
      <w:r>
        <w:rPr>
          <w:rFonts w:ascii="Garamond" w:cs="Garamond" w:eastAsia="Garamond" w:hAnsi="Garamond"/>
          <w:b/>
          <w:bCs/>
          <w:color w:val="1A1A2E"/>
          <w:sz w:val="44"/>
          <w:szCs w:val="44"/>
        </w:rPr>
        <w:t xml:space="preserve">COLLECTIVE MEMORY</w:t>
      </w:r>
    </w:p>
    <w:p>
      <w:pPr>
        <w:spacing w:after="30"/>
        <w:jc w:val="center"/>
      </w:pPr>
      <w:r>
        <w:rPr>
          <w:rFonts w:ascii="Garamond" w:cs="Garamond" w:eastAsia="Garamond" w:hAnsi="Garamond"/>
          <w:color w:val="666666"/>
          <w:sz w:val="24"/>
          <w:szCs w:val="24"/>
        </w:rPr>
        <w:t xml:space="preserve">Retrospective Tools for the Living Campaign</w:t>
      </w:r>
    </w:p>
    <w:p>
      <w:pPr>
        <w:pBdr>
          <w:bottom w:val="single" w:color="CCCCCC" w:sz="3" w:space="1"/>
        </w:pBdr>
        <w:spacing w:after="80" w:before="80"/>
      </w:pPr>
      <w:r>
        <w:rPr>
          <w:sz w:val="2"/>
          <w:szCs w:val="2"/>
        </w:rPr>
        <w:t xml:space="preserve"/>
      </w:r>
    </w:p>
    <w:p>
      <w:pPr>
        <w:spacing w:after="20"/>
        <w:jc w:val="center"/>
      </w:pPr>
      <w:r>
        <w:rPr>
          <w:rFonts w:ascii="Garamond" w:cs="Garamond" w:eastAsia="Garamond" w:hAnsi="Garamond"/>
          <w:color w:val="888888"/>
          <w:sz w:val="20"/>
          <w:szCs w:val="20"/>
        </w:rPr>
        <w:t xml:space="preserve">Document 7B — Vertebra 7: Feedback Loop (Companion)</w:t>
      </w:r>
    </w:p>
    <w:p>
      <w:pPr>
        <w:spacing w:after="500"/>
        <w:jc w:val="center"/>
      </w:pPr>
      <w:r>
        <w:rPr>
          <w:rFonts w:ascii="Garamond" w:cs="Garamond" w:eastAsia="Garamond" w:hAnsi="Garamond"/>
          <w:i/>
          <w:iCs/>
          <w:color w:val="999999"/>
          <w:sz w:val="18"/>
          <w:szCs w:val="18"/>
        </w:rPr>
        <w:t xml:space="preserve">The instruments that transform sessions into history and history into meaning</w:t>
      </w:r>
    </w:p>
    <w:p>
      <w:r>
        <w:br w:type="page"/>
      </w:r>
    </w:p>
    <w:p>
      <w:pPr>
        <w:pStyle w:val="Heading1"/>
        <w:spacing w:after="140" w:before="300"/>
      </w:pPr>
      <w:r>
        <w:rPr>
          <w:rFonts w:ascii="Garamond" w:cs="Garamond" w:eastAsia="Garamond" w:hAnsi="Garamond"/>
          <w:b/>
          <w:bCs/>
          <w:color w:val="1A1A2E"/>
        </w:rPr>
        <w:t xml:space="preserve">THE LEDGER</w:t>
      </w:r>
    </w:p>
    <w:p>
      <w:pPr>
        <w:spacing w:after="100" w:line="276"/>
      </w:pPr>
      <w:r>
        <w:rPr>
          <w:rFonts w:ascii="Garamond" w:cs="Garamond" w:eastAsia="Garamond" w:hAnsi="Garamond"/>
          <w:b w:val="false"/>
          <w:bCs w:val="false"/>
          <w:i w:val="false"/>
          <w:iCs w:val="false"/>
          <w:color w:val="333333"/>
          <w:sz w:val="21"/>
          <w:szCs w:val="21"/>
        </w:rPr>
        <w:t xml:space="preserve">The ledger is the campaign’s collective memory artifact. It is a physical or digital record maintained by the table that tracks what happened, who was involved, what was promised, what was discovered, and what remains unresolved. The ledger is not the GM’s notes. It is the GROUP’s notes — the shared record that everyone at the table can reference, correct, and build upon.</w:t>
      </w:r>
    </w:p>
    <w:p>
      <w:pPr>
        <w:spacing w:after="100" w:line="276"/>
      </w:pPr>
      <w:r>
        <w:rPr>
          <w:rFonts w:ascii="Garamond" w:cs="Garamond" w:eastAsia="Garamond" w:hAnsi="Garamond"/>
          <w:b w:val="false"/>
          <w:bCs w:val="false"/>
          <w:i w:val="false"/>
          <w:iCs w:val="false"/>
          <w:color w:val="333333"/>
          <w:sz w:val="21"/>
          <w:szCs w:val="21"/>
        </w:rPr>
        <w:t xml:space="preserve">The ledger performs three functions: it encodes information (the first survival function — knowledge embedded in experience), it enables participatory correction (the oral tradition’s error-checking mechanism), and it anchors the group’s shared identity around common memories (the third survival function — group binding through collective reference).</w:t>
      </w:r>
    </w:p>
    <w:p>
      <w:pPr>
        <w:pStyle w:val="Heading2"/>
        <w:spacing w:after="100" w:before="220"/>
      </w:pPr>
      <w:r>
        <w:rPr>
          <w:rFonts w:ascii="Garamond" w:cs="Garamond" w:eastAsia="Garamond" w:hAnsi="Garamond"/>
          <w:b/>
          <w:bCs/>
          <w:color w:val="2B2B4B"/>
        </w:rPr>
        <w:t xml:space="preserve">What to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Session number and date</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The calendar anchor. Allows cross-referencing with the GM’s notes and the NPC Assessment Cards’ contradictions logs.</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NPCs encountered</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Name, first impression, and one notable detail. Not a full profile — that lives on the Assessment Card. The ledger records the PARTY’S experience of the NPC, not the GM’s knowledge.</w:t>
            </w:r>
          </w:p>
        </w:tc>
      </w:tr>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Promises made</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Who promised what to whom. Every promise is a debt edge on the relationship map (Document 3B). The ledger tracks the party’s side of the debt. Outstanding promises are Chekhov obligations.</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Discoveries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Facts learned. Clues found. Secrets revealed. Each discovery is a collapsed seed — a truth that transitioned from the GM’s truth list to the party’s knowledge. Recording it ensures the payoff is registered and the Chekhov obligation is noted as fulfilled.</w:t>
            </w:r>
          </w:p>
        </w:tc>
      </w:tr>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Contradictions</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When two pieces of information conflict. The merchant said X but the innkeeper said Y. Each contradiction is either a Goffman gap (one NPC’s front stage leaking), a representation chain distortion (the same source filtered differently), or a genuine mystery (both are wrong, the truth is elsewhere). Recording contradictions creates investigative leads.</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Unresolved threads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Questions that arose and were not answered this session. Situations left mid-resolution. Clocks the party detected but did not engage with. Each unresolved thread is a potential opening for the next session.</w:t>
            </w:r>
          </w:p>
        </w:tc>
      </w:tr>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The moment</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The single most memorable moment from the session. What the table will remember. Recording it anchors the session in collective memory and provides the persistence encoding’s strongest anchor point.</w:t>
            </w:r>
          </w:p>
        </w:tc>
      </w:tr>
    </w:tbl>
    <w:p>
      <w:pPr>
        <w:pStyle w:val="Heading2"/>
        <w:spacing w:after="100" w:before="220"/>
      </w:pPr>
      <w:r>
        <w:rPr>
          <w:rFonts w:ascii="Garamond" w:cs="Garamond" w:eastAsia="Garamond" w:hAnsi="Garamond"/>
          <w:b/>
          <w:bCs/>
          <w:color w:val="2B2B4B"/>
        </w:rPr>
        <w:t xml:space="preserve">How to Maintain the Ledger</w:t>
      </w:r>
    </w:p>
    <w:p>
      <w:pPr>
        <w:spacing w:after="100" w:line="276"/>
      </w:pPr>
      <w:r>
        <w:rPr>
          <w:rFonts w:ascii="Garamond" w:cs="Garamond" w:eastAsia="Garamond" w:hAnsi="Garamond"/>
          <w:b w:val="false"/>
          <w:bCs w:val="false"/>
          <w:i w:val="false"/>
          <w:iCs w:val="false"/>
          <w:color w:val="333333"/>
          <w:sz w:val="21"/>
          <w:szCs w:val="21"/>
        </w:rPr>
        <w:t xml:space="preserve">One person writes during the session. This person is the scribe — the role can rotate or be permanent. The scribe captures in real time: names, facts, promises, contradictions. The rest of the table contributes corrections and additions during the session’s Sequel moments (Document 4C) when the pace allows.</w:t>
      </w:r>
    </w:p>
    <w:p>
      <w:pPr>
        <w:spacing w:after="100" w:line="276"/>
      </w:pPr>
      <w:r>
        <w:rPr>
          <w:rFonts w:ascii="Garamond" w:cs="Garamond" w:eastAsia="Garamond" w:hAnsi="Garamond"/>
          <w:b w:val="false"/>
          <w:bCs w:val="false"/>
          <w:i w:val="false"/>
          <w:iCs w:val="false"/>
          <w:color w:val="333333"/>
          <w:sz w:val="21"/>
          <w:szCs w:val="21"/>
        </w:rPr>
        <w:t xml:space="preserve">Between sessions, the scribe reviews and cleans the notes. Entries are organized by session number. Outstanding threads from previous sessions are flagged. The ledger is available to all players at the start of the next session.</w:t>
      </w:r>
    </w:p>
    <w:p>
      <w:pPr>
        <w:spacing w:after="100" w:line="276"/>
      </w:pPr>
      <w:r>
        <w:rPr>
          <w:rFonts w:ascii="Garamond" w:cs="Garamond" w:eastAsia="Garamond" w:hAnsi="Garamond"/>
          <w:b w:val="false"/>
          <w:bCs w:val="false"/>
          <w:i w:val="false"/>
          <w:iCs w:val="false"/>
          <w:color w:val="333333"/>
          <w:sz w:val="21"/>
          <w:szCs w:val="21"/>
        </w:rPr>
        <w:t xml:space="preserve">The GM does NOT write the ledger. The GM has their own tools (front sheets, clock trackers, Assessment Cards, relationship map). The ledger is the PLAYER-SIDE record. Its accuracy reflects what the party actually paid attention to, not what the GM intended them to notice. The gap between the GM’s notes and the ledger IS diagnostic data — it reveals what the party tracked and what they missed.</w:t>
      </w:r>
    </w:p>
    <w:p>
      <w:pPr>
        <w:pStyle w:val="Heading2"/>
        <w:spacing w:after="100" w:before="220"/>
      </w:pPr>
      <w:r>
        <w:rPr>
          <w:rFonts w:ascii="Garamond" w:cs="Garamond" w:eastAsia="Garamond" w:hAnsi="Garamond"/>
          <w:b/>
          <w:bCs/>
          <w:color w:val="2B2B4B"/>
        </w:rPr>
        <w:t xml:space="preserve">The Ledger as Recap Tool</w:t>
      </w:r>
    </w:p>
    <w:p>
      <w:pPr>
        <w:spacing w:after="100" w:line="276"/>
      </w:pPr>
      <w:r>
        <w:rPr>
          <w:rFonts w:ascii="Garamond" w:cs="Garamond" w:eastAsia="Garamond" w:hAnsi="Garamond"/>
          <w:b w:val="false"/>
          <w:bCs w:val="false"/>
          <w:i w:val="false"/>
          <w:iCs w:val="false"/>
          <w:color w:val="333333"/>
          <w:sz w:val="21"/>
          <w:szCs w:val="21"/>
        </w:rPr>
        <w:t xml:space="preserve">At the start of each session, the scribe (or another player) delivers the recap from the ledger. Not the complete record — the selective recap. Two to three threads that are most relevant to THIS session. This is the “Previously On” from television (Document 4C) delivered in the player’s voice rather than the GM’s.</w:t>
      </w:r>
    </w:p>
    <w:p>
      <w:pPr>
        <w:spacing w:after="100" w:line="276"/>
      </w:pPr>
      <w:r>
        <w:rPr>
          <w:rFonts w:ascii="Garamond" w:cs="Garamond" w:eastAsia="Garamond" w:hAnsi="Garamond"/>
          <w:b w:val="false"/>
          <w:bCs w:val="false"/>
          <w:i w:val="false"/>
          <w:iCs w:val="false"/>
          <w:color w:val="333333"/>
          <w:sz w:val="21"/>
          <w:szCs w:val="21"/>
        </w:rPr>
        <w:t xml:space="preserve">The selective recap IS attention direction (Vertebra 5 expression). Which threads the recap emphasizes primes the table’s collective memory for the content that will recur. The choice of what to include and exclude shapes the session’s starting frame. A recap that emphasizes the missing blacksmith’s brother primes investigation. A recap that emphasizes the Redbrand threat primes confrontation. Same ledger, different selections, different session energy.</w:t>
      </w:r>
    </w:p>
    <w:p>
      <w:r>
        <w:br w:type="page"/>
      </w:r>
    </w:p>
    <w:p>
      <w:pPr>
        <w:pStyle w:val="Heading1"/>
        <w:spacing w:after="140" w:before="300"/>
      </w:pPr>
      <w:r>
        <w:rPr>
          <w:rFonts w:ascii="Garamond" w:cs="Garamond" w:eastAsia="Garamond" w:hAnsi="Garamond"/>
          <w:b/>
          <w:bCs/>
          <w:color w:val="1A1A2E"/>
        </w:rPr>
        <w:t xml:space="preserve">CULTURAL TRAUMA</w:t>
      </w:r>
    </w:p>
    <w:p>
      <w:pPr>
        <w:spacing w:after="50" w:line="276"/>
      </w:pPr>
      <w:r>
        <w:rPr>
          <w:rFonts w:ascii="Garamond" w:cs="Garamond" w:eastAsia="Garamond" w:hAnsi="Garamond"/>
          <w:b w:val="false"/>
          <w:bCs w:val="false"/>
          <w:i w:val="false"/>
          <w:iCs w:val="false"/>
          <w:color w:val="333333"/>
          <w:sz w:val="21"/>
          <w:szCs w:val="21"/>
        </w:rPr>
        <w:t xml:space="preserve">Not every event in the campaign carries equal weight. Some events become defining — they reshape the group’s understanding of the setting, permanently alter the campaign’s tone, and become reference points that subsequent events are measured against. These are cultural traumas.</w:t>
      </w:r>
    </w:p>
    <w:p>
      <w:pPr>
        <w:pStyle w:val="Heading2"/>
        <w:spacing w:after="100" w:before="220"/>
      </w:pPr>
      <w:r>
        <w:rPr>
          <w:rFonts w:ascii="Garamond" w:cs="Garamond" w:eastAsia="Garamond" w:hAnsi="Garamond"/>
          <w:b/>
          <w:bCs/>
          <w:color w:val="2B2B4B"/>
        </w:rPr>
        <w:t xml:space="preserve">What Constitutes Cultural Trauma</w:t>
      </w:r>
    </w:p>
    <w:p>
      <w:pPr>
        <w:spacing w:after="100" w:line="276"/>
      </w:pPr>
      <w:r>
        <w:rPr>
          <w:rFonts w:ascii="Garamond" w:cs="Garamond" w:eastAsia="Garamond" w:hAnsi="Garamond"/>
          <w:b w:val="false"/>
          <w:bCs w:val="false"/>
          <w:i w:val="false"/>
          <w:iCs w:val="false"/>
          <w:color w:val="333333"/>
          <w:sz w:val="21"/>
          <w:szCs w:val="21"/>
        </w:rPr>
        <w:t xml:space="preserve">An event becomes a cultural trauma when it meets three conditions:</w:t>
      </w:r>
    </w:p>
    <w:p>
      <w:pPr>
        <w:spacing w:after="100" w:line="276"/>
      </w:pPr>
      <w:r>
        <w:rPr>
          <w:rFonts w:ascii="Garamond" w:cs="Garamond" w:eastAsia="Garamond" w:hAnsi="Garamond"/>
          <w:b/>
          <w:bCs/>
          <w:color w:val="1A1A2E"/>
          <w:sz w:val="21"/>
          <w:szCs w:val="21"/>
        </w:rPr>
        <w:t xml:space="preserve">1. Collective experience: </w:t>
      </w:r>
      <w:r>
        <w:rPr>
          <w:rFonts w:ascii="Garamond" w:cs="Garamond" w:eastAsia="Garamond" w:hAnsi="Garamond"/>
          <w:b w:val="false"/>
          <w:bCs w:val="false"/>
          <w:i w:val="false"/>
          <w:iCs w:val="false"/>
          <w:color w:val="333333"/>
          <w:sz w:val="21"/>
          <w:szCs w:val="21"/>
        </w:rPr>
        <w:t xml:space="preserve">The event must be experienced by the group collectively. An individual character’s private tragedy does not produce group-level cultural trauma unless the group witnesses it or experiences its consequences.</w:t>
      </w:r>
    </w:p>
    <w:p>
      <w:pPr>
        <w:spacing w:after="100" w:line="276"/>
      </w:pPr>
      <w:r>
        <w:rPr>
          <w:rFonts w:ascii="Garamond" w:cs="Garamond" w:eastAsia="Garamond" w:hAnsi="Garamond"/>
          <w:b/>
          <w:bCs/>
          <w:color w:val="1A1A2E"/>
          <w:sz w:val="21"/>
          <w:szCs w:val="21"/>
        </w:rPr>
        <w:t xml:space="preserve">2. Framework rupture: </w:t>
      </w:r>
      <w:r>
        <w:rPr>
          <w:rFonts w:ascii="Garamond" w:cs="Garamond" w:eastAsia="Garamond" w:hAnsi="Garamond"/>
          <w:b w:val="false"/>
          <w:bCs w:val="false"/>
          <w:i w:val="false"/>
          <w:iCs w:val="false"/>
          <w:color w:val="333333"/>
          <w:sz w:val="21"/>
          <w:szCs w:val="21"/>
        </w:rPr>
        <w:t xml:space="preserve">The event cannot be absorbed by the group’s existing narrative framework. It BREAKS the framework. What the group believed about the setting, an NPC, or themselves before the event is no longer viable after it. The rupture forces a new framework to be constructed.</w:t>
      </w:r>
    </w:p>
    <w:p>
      <w:pPr>
        <w:spacing w:after="100" w:line="276"/>
      </w:pPr>
      <w:r>
        <w:rPr>
          <w:rFonts w:ascii="Garamond" w:cs="Garamond" w:eastAsia="Garamond" w:hAnsi="Garamond"/>
          <w:b/>
          <w:bCs/>
          <w:color w:val="1A1A2E"/>
          <w:sz w:val="21"/>
          <w:szCs w:val="21"/>
        </w:rPr>
        <w:t xml:space="preserve">3. Narrative claiming: </w:t>
      </w:r>
      <w:r>
        <w:rPr>
          <w:rFonts w:ascii="Garamond" w:cs="Garamond" w:eastAsia="Garamond" w:hAnsi="Garamond"/>
          <w:b w:val="false"/>
          <w:bCs w:val="false"/>
          <w:i w:val="false"/>
          <w:iCs w:val="false"/>
          <w:color w:val="333333"/>
          <w:sz w:val="21"/>
          <w:szCs w:val="21"/>
        </w:rPr>
        <w:t xml:space="preserve">The group consciously identifies the event as significant. They talk about it after the session. They reference it in future sessions. They use it as a benchmark (“not since the Folly Incident has anything been this bad”). The narrative claiming IS the trauma becoming cultural.</w:t>
      </w:r>
    </w:p>
    <w:p>
      <w:pPr>
        <w:pStyle w:val="Heading2"/>
        <w:spacing w:after="100" w:before="220"/>
      </w:pPr>
      <w:r>
        <w:rPr>
          <w:rFonts w:ascii="Garamond" w:cs="Garamond" w:eastAsia="Garamond" w:hAnsi="Garamond"/>
          <w:b/>
          <w:bCs/>
          <w:color w:val="2B2B4B"/>
        </w:rPr>
        <w:t xml:space="preserve">Mechanical Effects of Cultural Trauma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Amplified weight in collective memory</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The trauma event is referenced more frequently than events of comparable objective magnitude. It appears in recaps disproportionately. It shapes how the party interprets new situations — new threats are compared to the trauma. New NPCs are evaluated through the lens of the trauma’s lessons.</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Pressure map distortion</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The trauma reshapes the party’s pressure landscape for all subsequent cycles. Situations resembling the trauma trigger heightened engagement. Belief activations related to the trauma’s theme become more frequent. The party’s Schema is modified by the shared experience — new outliers or pattern breaks emerge from the collective processing of the event.</w:t>
            </w:r>
          </w:p>
        </w:tc>
      </w:tr>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Selûnae drift acceleration</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Characters involved in the trauma experience accelerated face drift. The Crone/Hag axis (understood consequence versus unending consequence) is most affected. Characters who integrated the trauma drift toward Crone (wisdom gained). Characters who were broken by it drift toward Hag (weight carried). The drift IS the personal clock’s response to a catastrophic tick.</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Setting-level persistence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If the trauma was significant enough, it enters the setting’s history. The Calamity IS the setting’s founding cultural trauma. Campaign-scale traumas become local history that future campaigns inherit. The event persists beyond the group that experienced it, becoming part of the setting’s Great Tradition or Little Tradition (Document 3A).</w:t>
            </w:r>
          </w:p>
        </w:tc>
      </w:tr>
    </w:tbl>
    <w:p>
      <w:r>
        <w:br w:type="page"/>
      </w:r>
    </w:p>
    <w:p>
      <w:pPr>
        <w:pStyle w:val="Heading1"/>
        <w:spacing w:after="140" w:before="300"/>
      </w:pPr>
      <w:r>
        <w:rPr>
          <w:rFonts w:ascii="Garamond" w:cs="Garamond" w:eastAsia="Garamond" w:hAnsi="Garamond"/>
          <w:b/>
          <w:bCs/>
          <w:color w:val="1A1A2E"/>
        </w:rPr>
        <w:t xml:space="preserve">PARTICIPATORY CORRECTION</w:t>
      </w:r>
    </w:p>
    <w:p>
      <w:pPr>
        <w:spacing w:after="50" w:line="276"/>
      </w:pPr>
      <w:r>
        <w:rPr>
          <w:rFonts w:ascii="Garamond" w:cs="Garamond" w:eastAsia="Garamond" w:hAnsi="Garamond"/>
          <w:b w:val="false"/>
          <w:bCs w:val="false"/>
          <w:i w:val="false"/>
          <w:iCs w:val="false"/>
          <w:color w:val="333333"/>
          <w:sz w:val="21"/>
          <w:szCs w:val="21"/>
        </w:rPr>
        <w:t xml:space="preserve">The oral tradition’s error-checking mechanism applied to the campaign. When the accumulated record contains contradictions, the group corrects them.</w:t>
      </w:r>
    </w:p>
    <w:p>
      <w:pPr>
        <w:pStyle w:val="Heading2"/>
        <w:spacing w:after="100" w:before="220"/>
      </w:pPr>
      <w:r>
        <w:rPr>
          <w:rFonts w:ascii="Garamond" w:cs="Garamond" w:eastAsia="Garamond" w:hAnsi="Garamond"/>
          <w:b/>
          <w:bCs/>
          <w:color w:val="2B2B4B"/>
        </w:rPr>
        <w:t xml:space="preserve">How Correction Works</w:t>
      </w:r>
    </w:p>
    <w:p>
      <w:pPr>
        <w:spacing w:after="100" w:line="276"/>
      </w:pPr>
      <w:r>
        <w:rPr>
          <w:rFonts w:ascii="Garamond" w:cs="Garamond" w:eastAsia="Garamond" w:hAnsi="Garamond"/>
          <w:b w:val="false"/>
          <w:bCs w:val="false"/>
          <w:i w:val="false"/>
          <w:iCs w:val="false"/>
          <w:color w:val="333333"/>
          <w:sz w:val="21"/>
          <w:szCs w:val="21"/>
        </w:rPr>
        <w:t xml:space="preserve">The DM says something that contradicts established continuity. The scribe checks the ledger. “The guards were wearing blue, not red — session 3.” The correction surfaces. Two outcomes are possible:</w:t>
      </w:r>
    </w:p>
    <w:p>
      <w:pPr>
        <w:spacing w:after="100" w:line="276"/>
      </w:pPr>
      <w:r>
        <w:rPr>
          <w:rFonts w:ascii="Garamond" w:cs="Garamond" w:eastAsia="Garamond" w:hAnsi="Garamond"/>
          <w:b/>
          <w:bCs/>
          <w:color w:val="1A1A2E"/>
          <w:sz w:val="21"/>
          <w:szCs w:val="21"/>
        </w:rPr>
        <w:t xml:space="preserve">Outcome 1: Error correction. </w:t>
      </w:r>
      <w:r>
        <w:rPr>
          <w:rFonts w:ascii="Garamond" w:cs="Garamond" w:eastAsia="Garamond" w:hAnsi="Garamond"/>
          <w:b w:val="false"/>
          <w:bCs w:val="false"/>
          <w:i w:val="false"/>
          <w:iCs w:val="false"/>
          <w:color w:val="333333"/>
          <w:sz w:val="21"/>
          <w:szCs w:val="21"/>
        </w:rPr>
        <w:t xml:space="preserve">The DM made a genuine mistake. The continuity is corrected. The guards are blue. Play continues. The error does not enter the canon. This is the simplest and most common outcome.</w:t>
      </w:r>
    </w:p>
    <w:p>
      <w:pPr>
        <w:spacing w:after="100" w:line="276"/>
      </w:pPr>
      <w:r>
        <w:rPr>
          <w:rFonts w:ascii="Garamond" w:cs="Garamond" w:eastAsia="Garamond" w:hAnsi="Garamond"/>
          <w:b/>
          <w:bCs/>
          <w:color w:val="1A1A2E"/>
          <w:sz w:val="21"/>
          <w:szCs w:val="21"/>
        </w:rPr>
        <w:t xml:space="preserve">Outcome 2: Mystery generation. </w:t>
      </w:r>
      <w:r>
        <w:rPr>
          <w:rFonts w:ascii="Garamond" w:cs="Garamond" w:eastAsia="Garamond" w:hAnsi="Garamond"/>
          <w:b w:val="false"/>
          <w:bCs w:val="false"/>
          <w:i w:val="false"/>
          <w:iCs w:val="false"/>
          <w:color w:val="333333"/>
          <w:sz w:val="21"/>
          <w:szCs w:val="21"/>
        </w:rPr>
        <w:t xml:space="preserve">The DM did not make a mistake — the guards changed their uniforms. The contradiction is a SEED. Why did the uniforms change? Who ordered it? What does it signify? The contradiction that was flagged as an error becomes an investigative lead. The correction produced a mystery. This is the most narratively productive outcome because it rewards the table for paying attention.</w:t>
      </w:r>
    </w:p>
    <w:p>
      <w:pPr>
        <w:spacing w:after="100" w:line="276"/>
      </w:pPr>
      <w:r>
        <w:rPr>
          <w:rFonts w:ascii="Garamond" w:cs="Garamond" w:eastAsia="Garamond" w:hAnsi="Garamond"/>
          <w:b w:val="false"/>
          <w:bCs w:val="false"/>
          <w:i w:val="false"/>
          <w:iCs w:val="false"/>
          <w:color w:val="333333"/>
          <w:sz w:val="21"/>
          <w:szCs w:val="21"/>
        </w:rPr>
        <w:t xml:space="preserve"/>
      </w:r>
    </w:p>
    <w:p>
      <w:pPr>
        <w:spacing w:after="100" w:line="276"/>
      </w:pPr>
      <w:r>
        <w:rPr>
          <w:rFonts w:ascii="Garamond" w:cs="Garamond" w:eastAsia="Garamond" w:hAnsi="Garamond"/>
          <w:b w:val="false"/>
          <w:bCs w:val="false"/>
          <w:i w:val="false"/>
          <w:iCs w:val="false"/>
          <w:color w:val="333333"/>
          <w:sz w:val="21"/>
          <w:szCs w:val="21"/>
        </w:rPr>
        <w:t xml:space="preserve">The GM can decide in the moment which outcome to use. If the contradiction was genuinely a mistake and there is no interesting explanation for it, accept the correction and move on. If the contradiction could produce an interesting thread, adopt it as deliberate and let the party investigate. Schrödinger’s Gun operates here — the reason for the contradiction was always the one the GM selects, whichever it is.</w:t>
      </w:r>
    </w:p>
    <w:p>
      <w:pPr>
        <w:pStyle w:val="Heading2"/>
        <w:spacing w:after="100" w:before="220"/>
      </w:pPr>
      <w:r>
        <w:rPr>
          <w:rFonts w:ascii="Garamond" w:cs="Garamond" w:eastAsia="Garamond" w:hAnsi="Garamond"/>
          <w:b/>
          <w:bCs/>
          <w:color w:val="2B2B4B"/>
        </w:rPr>
        <w:t xml:space="preserve">Participatory Correction as Cultural Practice</w:t>
      </w:r>
    </w:p>
    <w:p>
      <w:pPr>
        <w:spacing w:after="100" w:line="276"/>
      </w:pPr>
      <w:r>
        <w:rPr>
          <w:rFonts w:ascii="Garamond" w:cs="Garamond" w:eastAsia="Garamond" w:hAnsi="Garamond"/>
          <w:b w:val="false"/>
          <w:bCs w:val="false"/>
          <w:i w:val="false"/>
          <w:iCs w:val="false"/>
          <w:color w:val="333333"/>
          <w:sz w:val="21"/>
          <w:szCs w:val="21"/>
        </w:rPr>
        <w:t xml:space="preserve">Over time, the table develops the habit of cross-referencing the ledger. New information is checked against established facts. NPC behavior is compared to previous encounters. The table becomes its own continuity department. This is the oral tradition’s participatory correction elevated from instinctive to deliberate.</w:t>
      </w:r>
    </w:p>
    <w:p>
      <w:pPr>
        <w:spacing w:after="100" w:line="276"/>
      </w:pPr>
      <w:r>
        <w:rPr>
          <w:rFonts w:ascii="Garamond" w:cs="Garamond" w:eastAsia="Garamond" w:hAnsi="Garamond"/>
          <w:b w:val="false"/>
          <w:bCs w:val="false"/>
          <w:i w:val="false"/>
          <w:iCs w:val="false"/>
          <w:color w:val="333333"/>
          <w:sz w:val="21"/>
          <w:szCs w:val="21"/>
        </w:rPr>
        <w:t xml:space="preserve">The practice compounds. A table that corrects continuity errors in session 5 has a more coherent campaign by session 20 than one that never checks. The corrections prevent the setting from drifting into incoherence. The corrections-turned-mysteries add depth. The table’s investment in accuracy IS engagement — they care enough about the setting to track its details. The caring IS the campfire’s third survival function operating.</w:t>
      </w:r>
    </w:p>
    <w:p>
      <w:r>
        <w:br w:type="page"/>
      </w:r>
    </w:p>
    <w:p>
      <w:pPr>
        <w:pStyle w:val="Heading1"/>
        <w:spacing w:after="140" w:before="300"/>
      </w:pPr>
      <w:r>
        <w:rPr>
          <w:rFonts w:ascii="Garamond" w:cs="Garamond" w:eastAsia="Garamond" w:hAnsi="Garamond"/>
          <w:b/>
          <w:bCs/>
          <w:color w:val="1A1A2E"/>
        </w:rPr>
        <w:t xml:space="preserve">THE SELÛNAE PRINCIPLE</w:t>
      </w:r>
    </w:p>
    <w:p>
      <w:pPr>
        <w:spacing w:after="50" w:line="276"/>
      </w:pPr>
      <w:r>
        <w:rPr>
          <w:rFonts w:ascii="Garamond" w:cs="Garamond" w:eastAsia="Garamond" w:hAnsi="Garamond"/>
          <w:b w:val="false"/>
          <w:bCs w:val="false"/>
          <w:i w:val="false"/>
          <w:iCs w:val="false"/>
          <w:color w:val="333333"/>
          <w:sz w:val="21"/>
          <w:szCs w:val="21"/>
        </w:rPr>
        <w:t xml:space="preserve">The story only has structure when viewed in retrospect. In the moment, it is choices and consequences stacking. The meaning is applied after the fact by the participants who lived through it.</w:t>
      </w:r>
    </w:p>
    <w:p>
      <w:pPr>
        <w:pStyle w:val="Heading2"/>
        <w:spacing w:after="100" w:before="220"/>
      </w:pPr>
      <w:r>
        <w:rPr>
          <w:rFonts w:ascii="Garamond" w:cs="Garamond" w:eastAsia="Garamond" w:hAnsi="Garamond"/>
          <w:b/>
          <w:bCs/>
          <w:color w:val="2B2B4B"/>
        </w:rPr>
        <w:t xml:space="preserve">Applied to Sessions</w:t>
      </w:r>
    </w:p>
    <w:p>
      <w:pPr>
        <w:spacing w:after="100" w:line="276"/>
      </w:pPr>
      <w:r>
        <w:rPr>
          <w:rFonts w:ascii="Garamond" w:cs="Garamond" w:eastAsia="Garamond" w:hAnsi="Garamond"/>
          <w:b w:val="false"/>
          <w:bCs w:val="false"/>
          <w:i w:val="false"/>
          <w:iCs w:val="false"/>
          <w:color w:val="333333"/>
          <w:sz w:val="21"/>
          <w:szCs w:val="21"/>
        </w:rPr>
        <w:t xml:space="preserve">The session’s theme was not planned. The GM selected symptoms from the truth list based on pacing needs (Document 4C). The party engaged with them based on their beliefs and instincts. The consequences cascaded. After the session, the table looks back and says “that session was about trust” or “that session was about the cost of ambition.” The theme emerged from the intersection of prepared density and participant choice. The Selûnae read it backward.</w:t>
      </w:r>
    </w:p>
    <w:p>
      <w:pPr>
        <w:pStyle w:val="Heading2"/>
        <w:spacing w:after="100" w:before="220"/>
      </w:pPr>
      <w:r>
        <w:rPr>
          <w:rFonts w:ascii="Garamond" w:cs="Garamond" w:eastAsia="Garamond" w:hAnsi="Garamond"/>
          <w:b/>
          <w:bCs/>
          <w:color w:val="2B2B4B"/>
        </w:rPr>
        <w:t xml:space="preserve">Applied to Campaign Arcs</w:t>
      </w:r>
    </w:p>
    <w:p>
      <w:pPr>
        <w:spacing w:after="100" w:line="276"/>
      </w:pPr>
      <w:r>
        <w:rPr>
          <w:rFonts w:ascii="Garamond" w:cs="Garamond" w:eastAsia="Garamond" w:hAnsi="Garamond"/>
          <w:b w:val="false"/>
          <w:bCs w:val="false"/>
          <w:i w:val="false"/>
          <w:iCs w:val="false"/>
          <w:color w:val="333333"/>
          <w:sz w:val="21"/>
          <w:szCs w:val="21"/>
        </w:rPr>
        <w:t xml:space="preserve">An arc’s narrative structure is invisible while it is happening. The party is making choices, encountering consequences, and navigating situations. After the arc resolves — when a clock reaches terminal state, when a front completes or is defeated — the arc’s structure becomes visible. The rising action, the climax, the falling action. The theme. The character development. None of it was authored in advance. All of it is legible in retrospect.</w:t>
      </w:r>
    </w:p>
    <w:p>
      <w:pPr>
        <w:pStyle w:val="Heading2"/>
        <w:spacing w:after="100" w:before="220"/>
      </w:pPr>
      <w:r>
        <w:rPr>
          <w:rFonts w:ascii="Garamond" w:cs="Garamond" w:eastAsia="Garamond" w:hAnsi="Garamond"/>
          <w:b/>
          <w:bCs/>
          <w:color w:val="2B2B4B"/>
        </w:rPr>
        <w:t xml:space="preserve">Applied to the Campaign</w:t>
      </w:r>
    </w:p>
    <w:p>
      <w:pPr>
        <w:spacing w:after="100" w:line="276"/>
      </w:pPr>
      <w:r>
        <w:rPr>
          <w:rFonts w:ascii="Garamond" w:cs="Garamond" w:eastAsia="Garamond" w:hAnsi="Garamond"/>
          <w:b w:val="false"/>
          <w:bCs w:val="false"/>
          <w:i w:val="false"/>
          <w:iCs w:val="false"/>
          <w:color w:val="333333"/>
          <w:sz w:val="21"/>
          <w:szCs w:val="21"/>
        </w:rPr>
        <w:t xml:space="preserve">The campaign’s meaning is the final retrospective read. What was this story about? The answer is never what anyone planned. It is what the accumulated choices, consequences, cascades, and compounding produced. The GM’s prepared density provided the fuel. The players’ observations collapsed the possibilities. The meaning was retrospective. The story was always there. The participants walked through it and recognized its shape when they turned around to look at the path they’d taken.</w:t>
      </w:r>
    </w:p>
    <w:p>
      <w:pPr>
        <w:spacing w:after="100" w:line="276"/>
      </w:pPr>
      <w:r>
        <w:rPr>
          <w:rFonts w:ascii="Garamond" w:cs="Garamond" w:eastAsia="Garamond" w:hAnsi="Garamond"/>
          <w:b w:val="false"/>
          <w:bCs w:val="false"/>
          <w:i w:val="false"/>
          <w:iCs w:val="false"/>
          <w:color w:val="333333"/>
          <w:sz w:val="21"/>
          <w:szCs w:val="21"/>
        </w:rPr>
        <w:t xml:space="preserve">This is the Selûnae reading fate backward. This is the Legacy System reading pattern from accumulated action. This is the Palimpsest’s superposition collapsing into one coherent history. The same mechanism operates at every scale: character identity (Legacy traits), session theme (retrospective discussion), arc structure (narrative recognition), and campaign meaning (the final reading). The mechanism is universal. The content changes. The process is the same.</w:t>
      </w:r>
    </w:p>
    <w:p>
      <w:r>
        <w:br w:type="page"/>
      </w:r>
    </w:p>
    <w:p>
      <w:pPr>
        <w:pStyle w:val="Heading1"/>
        <w:spacing w:after="140" w:before="300"/>
      </w:pPr>
      <w:r>
        <w:rPr>
          <w:rFonts w:ascii="Garamond" w:cs="Garamond" w:eastAsia="Garamond" w:hAnsi="Garamond"/>
          <w:b/>
          <w:bCs/>
          <w:color w:val="1A1A2E"/>
        </w:rPr>
        <w:t xml:space="preserve">MICROSCOPE: NON-LINEAR HISTORY</w:t>
      </w:r>
    </w:p>
    <w:p>
      <w:pPr>
        <w:spacing w:after="50" w:line="276"/>
      </w:pPr>
      <w:r>
        <w:rPr>
          <w:rFonts w:ascii="Garamond" w:cs="Garamond" w:eastAsia="Garamond" w:hAnsi="Garamond"/>
          <w:b w:val="false"/>
          <w:bCs w:val="false"/>
          <w:i w:val="false"/>
          <w:iCs w:val="false"/>
          <w:color w:val="333333"/>
          <w:sz w:val="21"/>
          <w:szCs w:val="21"/>
        </w:rPr>
        <w:t xml:space="preserve">History does not have to be built chronologically. Coherence emerges retroactively even when the elements were created out of sequence.</w:t>
      </w:r>
    </w:p>
    <w:p>
      <w:pPr>
        <w:spacing w:after="100" w:line="276"/>
      </w:pPr>
      <w:r>
        <w:rPr>
          <w:rFonts w:ascii="Garamond" w:cs="Garamond" w:eastAsia="Garamond" w:hAnsi="Garamond"/>
          <w:b w:val="false"/>
          <w:bCs w:val="false"/>
          <w:i w:val="false"/>
          <w:iCs w:val="false"/>
          <w:color w:val="333333"/>
          <w:sz w:val="21"/>
          <w:szCs w:val="21"/>
        </w:rPr>
        <w:t xml:space="preserve">During campaign play, the party generates history fragments in the order they encounter them. They discover a ruin in session 4 and learn its backstory in session 12. They meet an NPC’s descendant before they meet the NPC’s legend. They see the consequence before the cause. The Palimpsest superposition collapses in whatever order the party’s investigation determines.</w:t>
      </w:r>
    </w:p>
    <w:p>
      <w:pPr>
        <w:spacing w:after="100" w:line="276"/>
      </w:pPr>
      <w:r>
        <w:rPr>
          <w:rFonts w:ascii="Garamond" w:cs="Garamond" w:eastAsia="Garamond" w:hAnsi="Garamond"/>
          <w:b w:val="false"/>
          <w:bCs w:val="false"/>
          <w:i w:val="false"/>
          <w:iCs w:val="false"/>
          <w:color w:val="333333"/>
          <w:sz w:val="21"/>
          <w:szCs w:val="21"/>
        </w:rPr>
        <w:t xml:space="preserve">Microscope’s insight is that this non-linear discovery IS the natural way history builds in a participatory medium. The table does not need the chronological sequence to understand the setting. They need the connections — the edges between fragments that allow the fragments to be arranged retroactively into a coherent timeline. Each discovered fragment is a node. Each connection between fragments is an edge. The relationship map (Document 3B) applied to history rather than to active fronts.</w:t>
      </w:r>
    </w:p>
    <w:p>
      <w:pPr>
        <w:pStyle w:val="Heading2"/>
        <w:spacing w:after="100" w:before="220"/>
      </w:pPr>
      <w:r>
        <w:rPr>
          <w:rFonts w:ascii="Garamond" w:cs="Garamond" w:eastAsia="Garamond" w:hAnsi="Garamond"/>
          <w:b/>
          <w:bCs/>
          <w:color w:val="2B2B4B"/>
        </w:rPr>
        <w:t xml:space="preserve">The Generative Application</w:t>
      </w:r>
    </w:p>
    <w:p>
      <w:pPr>
        <w:spacing w:after="100" w:line="276"/>
      </w:pPr>
      <w:r>
        <w:rPr>
          <w:rFonts w:ascii="Garamond" w:cs="Garamond" w:eastAsia="Garamond" w:hAnsi="Garamond"/>
          <w:b w:val="false"/>
          <w:bCs w:val="false"/>
          <w:i w:val="false"/>
          <w:iCs w:val="false"/>
          <w:color w:val="333333"/>
          <w:sz w:val="21"/>
          <w:szCs w:val="21"/>
        </w:rPr>
        <w:t xml:space="preserve">The GM can use non-linear history construction as a worldbuilding tool. When the setting needs history for a region the party is about to enter, the GM does not need to build the complete chronological record. They need to generate 3-5 historical fragments and the connections between them. The party’s investigation fills in the gaps. The gaps filled by the party’s schema (Bartlett) produce personally meaningful history that the GM could not have authored alone.</w:t>
      </w:r>
    </w:p>
    <w:p>
      <w:pPr>
        <w:spacing w:after="100" w:line="276"/>
      </w:pPr>
      <w:r>
        <w:rPr>
          <w:rFonts w:ascii="Garamond" w:cs="Garamond" w:eastAsia="Garamond" w:hAnsi="Garamond"/>
          <w:b w:val="false"/>
          <w:bCs w:val="false"/>
          <w:i w:val="false"/>
          <w:iCs w:val="false"/>
          <w:color w:val="333333"/>
          <w:sz w:val="21"/>
          <w:szCs w:val="21"/>
        </w:rPr>
        <w:t xml:space="preserve">The technique: generate one consequence (what the world looks like NOW), then build backward to discover 2-3 causes (what must have happened for this consequence to exist). The causes do not need to be chronologically ordered. They need to be connected by edges that the party can trace. Each cause, when discovered, retroactively enriches the consequence’s meaning. The history was always there. The party observed it into existence by investigating the present state.</w:t>
      </w:r>
    </w:p>
    <w:p>
      <w:pPr>
        <w:spacing w:after="100" w:line="276"/>
      </w:pPr>
      <w:r>
        <w:rPr>
          <w:rFonts w:ascii="Garamond" w:cs="Garamond" w:eastAsia="Garamond" w:hAnsi="Garamond"/>
          <w:b w:val="false"/>
          <w:bCs w:val="false"/>
          <w:i w:val="false"/>
          <w:iCs w:val="false"/>
          <w:color w:val="333333"/>
          <w:sz w:val="21"/>
          <w:szCs w:val="21"/>
        </w:rPr>
        <w:t xml:space="preserve">This IS the Selûnae reading fate backward applied to worldbuilding. The GM does not build history forward from a beginning. They build it backward from the present. The present state is the observation point. The historical fragments are the superposition states that collapse into coherent history through the party’s investigation. The history is as real as any forward-built timeline — more real, perhaps, because it was built to explain a present that the participants have already experienced.</w:t>
      </w:r>
    </w:p>
    <w:p>
      <w:r>
        <w:br w:type="page"/>
      </w:r>
    </w:p>
    <w:p>
      <w:pPr>
        <w:pStyle w:val="Heading1"/>
        <w:spacing w:after="140" w:before="300"/>
      </w:pPr>
      <w:r>
        <w:rPr>
          <w:rFonts w:ascii="Garamond" w:cs="Garamond" w:eastAsia="Garamond" w:hAnsi="Garamond"/>
          <w:b/>
          <w:bCs/>
          <w:color w:val="1A1A2E"/>
        </w:rPr>
        <w:t xml:space="preserve">THE COMPLETE FEEDBACK TOOLKIT</w:t>
      </w:r>
    </w:p>
    <w:p>
      <w:pPr>
        <w:spacing w:after="50" w:line="276"/>
      </w:pPr>
      <w:r>
        <w:rPr>
          <w:rFonts w:ascii="Garamond" w:cs="Garamond" w:eastAsia="Garamond" w:hAnsi="Garamond"/>
          <w:b w:val="false"/>
          <w:bCs w:val="false"/>
          <w:i w:val="false"/>
          <w:iCs w:val="false"/>
          <w:color w:val="333333"/>
          <w:sz w:val="21"/>
          <w:szCs w:val="21"/>
        </w:rPr>
        <w:t xml:space="preserve">Summary of all instruments operating at Vertebra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Tool</w:t>
            </w:r>
          </w:p>
        </w:tc>
        <w:tc>
          <w:tcPr>
            <w:tcW w:type="dxa" w:w="358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Function</w:t>
            </w:r>
          </w:p>
        </w:tc>
        <w:tc>
          <w:tcPr>
            <w:tcW w:type="dxa" w:w="358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Detailed Reference</w:t>
            </w:r>
          </w:p>
        </w:tc>
      </w:tr>
      <w:tr>
        <w:tc>
          <w:tcPr>
            <w:tcW w:type="dxa" w:w="22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Consequence Cascade</w:t>
            </w:r>
          </w:p>
        </w:tc>
        <w:tc>
          <w:tcPr>
            <w:tcW w:type="dxa" w:w="358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Traces collapse outputs through the relationship map. Produces secondary ticks, threshold crossings, state changes, and new seeds.</w:t>
            </w:r>
          </w:p>
        </w:tc>
        <w:tc>
          <w:tcPr>
            <w:tcW w:type="dxa" w:w="358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Document 7A, Cascade Procedure</w:t>
            </w:r>
          </w:p>
        </w:tc>
      </w:tr>
      <w:t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Legacy System</w:t>
            </w:r>
          </w:p>
        </w:tc>
        <w:tc>
          <w:tcPr>
            <w:tcW w:type="dxa" w:w="358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Reads accumulated character choices backward for pattern. Crystallizes identity into Legacy traits. Generates FP from pattern breaks.</w:t>
            </w:r>
          </w:p>
        </w:tc>
        <w:tc>
          <w:tcPr>
            <w:tcW w:type="dxa" w:w="358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Document 7A, Legacy System</w:t>
            </w:r>
          </w:p>
        </w:tc>
      </w:tr>
      <w:tr>
        <w:tc>
          <w:tcPr>
            <w:tcW w:type="dxa" w:w="22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Compounding World</w:t>
            </w:r>
          </w:p>
        </w:tc>
        <w:tc>
          <w:tcPr>
            <w:tcW w:type="dxa" w:w="358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Nothing resets. Condition Track partial recovery, XP/Mastery progression, relationship edge accumulation, ledger density growth.</w:t>
            </w:r>
          </w:p>
        </w:tc>
        <w:tc>
          <w:tcPr>
            <w:tcW w:type="dxa" w:w="358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Document 7A, Compounding World</w:t>
            </w:r>
          </w:p>
        </w:tc>
      </w:tr>
      <w:t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Chekhov Tracking</w:t>
            </w:r>
          </w:p>
        </w:tc>
        <w:tc>
          <w:tcPr>
            <w:tcW w:type="dxa" w:w="358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Monitors outstanding seeds from previous cycles. Ensures introduced elements resolve. Priority to longest-outstanding obligations.</w:t>
            </w:r>
          </w:p>
        </w:tc>
        <w:tc>
          <w:tcPr>
            <w:tcW w:type="dxa" w:w="358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Document 7A, Chekhov Obligation Tracking</w:t>
            </w:r>
          </w:p>
        </w:tc>
      </w:tr>
      <w:tr>
        <w:tc>
          <w:tcPr>
            <w:tcW w:type="dxa" w:w="22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Positional Divinity Cycling</w:t>
            </w:r>
          </w:p>
        </w:tc>
        <w:tc>
          <w:tcPr>
            <w:tcW w:type="dxa" w:w="358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Civilizational-scale feedback. Divine aspects reinforced or faded based on generational play patterns.</w:t>
            </w:r>
          </w:p>
        </w:tc>
        <w:tc>
          <w:tcPr>
            <w:tcW w:type="dxa" w:w="358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Document 7A, Positional Divinity</w:t>
            </w:r>
          </w:p>
        </w:tc>
      </w:tr>
      <w:t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The Retrospective Read</w:t>
            </w:r>
          </w:p>
        </w:tc>
        <w:tc>
          <w:tcPr>
            <w:tcW w:type="dxa" w:w="358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Collaborative interpretation of accumulated events. Theme identification. Meaning construction. Campaign’s final interpretive act.</w:t>
            </w:r>
          </w:p>
        </w:tc>
        <w:tc>
          <w:tcPr>
            <w:tcW w:type="dxa" w:w="358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Document 7A, Retrospective Read</w:t>
            </w:r>
          </w:p>
        </w:tc>
      </w:tr>
      <w:tr>
        <w:tc>
          <w:tcPr>
            <w:tcW w:type="dxa" w:w="22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The Ledger</w:t>
            </w:r>
          </w:p>
        </w:tc>
        <w:tc>
          <w:tcPr>
            <w:tcW w:type="dxa" w:w="358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Collective memory artifact. Player-side record of encounters, promises, discoveries, contradictions, unresolved threads, and peak moments.</w:t>
            </w:r>
          </w:p>
        </w:tc>
        <w:tc>
          <w:tcPr>
            <w:tcW w:type="dxa" w:w="358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This document, The Ledger</w:t>
            </w:r>
          </w:p>
        </w:tc>
      </w:tr>
      <w:t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Cultural Trauma</w:t>
            </w:r>
          </w:p>
        </w:tc>
        <w:tc>
          <w:tcPr>
            <w:tcW w:type="dxa" w:w="358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Catastrophic events that become defining narratives. Amplified memory weight, pressure map distortion, Selûnae drift acceleration.</w:t>
            </w:r>
          </w:p>
        </w:tc>
        <w:tc>
          <w:tcPr>
            <w:tcW w:type="dxa" w:w="358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This document, Cultural Trauma</w:t>
            </w:r>
          </w:p>
        </w:tc>
      </w:tr>
      <w:tr>
        <w:tc>
          <w:tcPr>
            <w:tcW w:type="dxa" w:w="22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Participatory Correction</w:t>
            </w:r>
          </w:p>
        </w:tc>
        <w:tc>
          <w:tcPr>
            <w:tcW w:type="dxa" w:w="358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Error-checking through ledger cross-reference. Errors become fixes or mysteries. The table as its own continuity department.</w:t>
            </w:r>
          </w:p>
        </w:tc>
        <w:tc>
          <w:tcPr>
            <w:tcW w:type="dxa" w:w="358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This document, Participatory Correction</w:t>
            </w:r>
          </w:p>
        </w:tc>
      </w:tr>
      <w:t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The Selûnae Principle</w:t>
            </w:r>
          </w:p>
        </w:tc>
        <w:tc>
          <w:tcPr>
            <w:tcW w:type="dxa" w:w="358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Retrospective coherence at every scale. The story has structure only when viewed backward. Meaning is applied after the fact.</w:t>
            </w:r>
          </w:p>
        </w:tc>
        <w:tc>
          <w:tcPr>
            <w:tcW w:type="dxa" w:w="358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This document, The Selûnae Principle</w:t>
            </w:r>
          </w:p>
        </w:tc>
      </w:tr>
      <w:tr>
        <w:tc>
          <w:tcPr>
            <w:tcW w:type="dxa" w:w="22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Microscope</w:t>
            </w:r>
          </w:p>
        </w:tc>
        <w:tc>
          <w:tcPr>
            <w:tcW w:type="dxa" w:w="358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Non-linear history construction. Build backward from present consequences to discover past causes. The Palimpsest principle applied to worldbuilding.</w:t>
            </w:r>
          </w:p>
        </w:tc>
        <w:tc>
          <w:tcPr>
            <w:tcW w:type="dxa" w:w="358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This document, Microscope</w:t>
            </w:r>
          </w:p>
        </w:tc>
      </w:tr>
    </w:tbl>
    <w:p>
      <w:pPr>
        <w:spacing w:after="100" w:line="276"/>
      </w:pPr>
      <w:r>
        <w:rPr>
          <w:rFonts w:ascii="Garamond" w:cs="Garamond" w:eastAsia="Garamond" w:hAnsi="Garamond"/>
          <w:b w:val="false"/>
          <w:bCs w:val="false"/>
          <w:i w:val="false"/>
          <w:iCs w:val="false"/>
          <w:color w:val="333333"/>
          <w:sz w:val="21"/>
          <w:szCs w:val="21"/>
        </w:rPr>
        <w:t xml:space="preserve"/>
      </w:r>
    </w:p>
    <w:p>
      <w:pPr>
        <w:pBdr>
          <w:bottom w:val="single" w:color="CCCCCC" w:sz="3" w:space="1"/>
        </w:pBdr>
        <w:spacing w:after="80" w:before="80"/>
      </w:pPr>
      <w:r>
        <w:rPr>
          <w:sz w:val="2"/>
          <w:szCs w:val="2"/>
        </w:rPr>
        <w:t xml:space="preserve"/>
      </w:r>
    </w:p>
    <w:p>
      <w:pPr>
        <w:spacing w:after="100" w:line="276"/>
      </w:pPr>
      <w:r>
        <w:rPr>
          <w:rFonts w:ascii="Garamond" w:cs="Garamond" w:eastAsia="Garamond" w:hAnsi="Garamond"/>
          <w:b w:val="false"/>
          <w:bCs w:val="false"/>
          <w:i/>
          <w:iCs/>
          <w:color w:val="888888"/>
          <w:sz w:val="21"/>
          <w:szCs w:val="21"/>
        </w:rPr>
        <w:t xml:space="preserve">This completes Vertebra 7 and Phase 4 of the document build order. Documents 7A and 7B together define how consequences propagate (7A), how meaning crystallizes (7A), and how the group’s collective memory stores, corrects, and interprets the accumulated record (7B). The spine’s output at Vertebra 7 feeds back into Vertebra 1 (Schema), and the cycle repeats.</w:t>
      </w:r>
    </w:p>
    <w:p>
      <w:pPr>
        <w:spacing w:after="100" w:line="276"/>
      </w:pPr>
      <w:r>
        <w:rPr>
          <w:rFonts w:ascii="Garamond" w:cs="Garamond" w:eastAsia="Garamond" w:hAnsi="Garamond"/>
          <w:b w:val="false"/>
          <w:bCs w:val="false"/>
          <w:i/>
          <w:iCs/>
          <w:color w:val="888888"/>
          <w:sz w:val="21"/>
          <w:szCs w:val="21"/>
        </w:rPr>
        <w:t xml:space="preserve">Phase 5 (Meta Layer) covers Document R1 (Regulatory Systems Reference), Document C1 (Catalysts and Activation), and the final version of Document 0. Phase 6 covers Document 6B (Worked Examples — full spine cycles through all three lenses).</w:t>
      </w:r>
    </w:p>
    <w:sectPr>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40"/>
      <w:outlineLvl w:val="0"/>
    </w:pPr>
    <w:rPr>
      <w:rFonts w:ascii="Garamond" w:cs="Garamond" w:eastAsia="Garamond" w:hAnsi="Garamond"/>
      <w:b/>
      <w:bCs/>
      <w:color w:val="1A1A2E"/>
      <w:sz w:val="30"/>
      <w:szCs w:val="30"/>
    </w:rPr>
  </w:style>
  <w:style w:type="paragraph" w:styleId="Heading2">
    <w:name w:val="Heading 2"/>
    <w:basedOn w:val="Normal"/>
    <w:next w:val="Normal"/>
    <w:qFormat/>
    <w:pPr>
      <w:spacing w:after="140" w:before="260"/>
      <w:outlineLvl w:val="1"/>
    </w:pPr>
    <w:rPr>
      <w:rFonts w:ascii="Garamond" w:cs="Garamond" w:eastAsia="Garamond" w:hAnsi="Garamond"/>
      <w:b/>
      <w:bCs/>
      <w:color w:val="2B2B4B"/>
      <w:sz w:val="25"/>
      <w:szCs w:val="25"/>
    </w:rPr>
  </w:style>
  <w:style w:type="paragraph" w:styleId="Heading3">
    <w:name w:val="Heading 3"/>
    <w:basedOn w:val="Normal"/>
    <w:next w:val="Normal"/>
    <w:qFormat/>
    <w:pPr>
      <w:spacing w:after="100" w:before="200"/>
      <w:outlineLvl w:val="2"/>
    </w:pPr>
    <w:rPr>
      <w:rFonts w:ascii="Garamond" w:cs="Garamond" w:eastAsia="Garamond" w:hAnsi="Garamond"/>
      <w:b/>
      <w:bCs/>
      <w:color w:val="44446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2026-04-15T01:54:03.846Z</dcterms:created>
  <dcterms:modified xsi:type="dcterms:W3CDTF">2026-04-15T01:54:03.846Z</dcterms:modified>
</cp:coreProperties>
</file>

<file path=docProps/custom.xml><?xml version="1.0" encoding="utf-8"?>
<Properties xmlns="http://schemas.openxmlformats.org/officeDocument/2006/custom-properties" xmlns:vt="http://schemas.openxmlformats.org/officeDocument/2006/docPropsVTypes"/>
</file>