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8"/>
          <w:szCs w:val="48"/>
        </w:rPr>
        <w:t xml:space="preserve">REGULATORY SYSTEMS</w:t>
      </w:r>
    </w:p>
    <w:p>
      <w:pPr>
        <w:spacing w:after="30"/>
        <w:jc w:val="center"/>
      </w:pPr>
      <w:r>
        <w:rPr>
          <w:rFonts w:ascii="Garamond" w:cs="Garamond" w:eastAsia="Garamond" w:hAnsi="Garamond"/>
          <w:color w:val="666666"/>
          <w:sz w:val="24"/>
          <w:szCs w:val="24"/>
        </w:rPr>
        <w:t xml:space="preserve">The Physics the Spine Operates Under</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R1 — Phase 5: Meta Layer</w:t>
      </w:r>
    </w:p>
    <w:p>
      <w:pPr>
        <w:spacing w:after="500"/>
        <w:jc w:val="center"/>
      </w:pPr>
      <w:r>
        <w:rPr>
          <w:rFonts w:ascii="Garamond" w:cs="Garamond" w:eastAsia="Garamond" w:hAnsi="Garamond"/>
          <w:i/>
          <w:iCs/>
          <w:color w:val="999999"/>
          <w:sz w:val="18"/>
          <w:szCs w:val="18"/>
        </w:rPr>
        <w:t xml:space="preserve">Eight systems that shape how every vertebra operates without occupying positions on the spine</w:t>
      </w:r>
    </w:p>
    <w:p>
      <w:r>
        <w:br w:type="page"/>
      </w:r>
    </w:p>
    <w:p>
      <w:pPr>
        <w:pStyle w:val="Heading1"/>
        <w:spacing w:after="140" w:before="300"/>
      </w:pPr>
      <w:r>
        <w:rPr>
          <w:rFonts w:ascii="Garamond" w:cs="Garamond" w:eastAsia="Garamond" w:hAnsi="Garamond"/>
          <w:b/>
          <w:bCs/>
          <w:color w:val="1A1A2E"/>
        </w:rPr>
        <w:t xml:space="preserve">WHAT REGULATORY SYSTEMS ARE</w:t>
      </w:r>
    </w:p>
    <w:p>
      <w:pPr>
        <w:spacing w:after="100" w:line="276"/>
      </w:pPr>
      <w:r>
        <w:rPr>
          <w:rFonts w:ascii="Garamond" w:cs="Garamond" w:eastAsia="Garamond" w:hAnsi="Garamond"/>
          <w:b w:val="false"/>
          <w:bCs w:val="false"/>
          <w:i w:val="false"/>
          <w:iCs w:val="false"/>
          <w:color w:val="333333"/>
          <w:sz w:val="21"/>
          <w:szCs w:val="21"/>
        </w:rPr>
        <w:t xml:space="preserve">Regulatory systems run alongside the spine. They do not occupy positions on it. They do not produce output the way vertebrae do. They SHAPE how every vertebra processes its content — governing speed, quality, density, amplitude, immersion, completeness, and the social conditions under which the spine operates effectively.</w:t>
      </w:r>
    </w:p>
    <w:p>
      <w:pPr>
        <w:spacing w:after="100" w:line="276"/>
      </w:pPr>
      <w:r>
        <w:rPr>
          <w:rFonts w:ascii="Garamond" w:cs="Garamond" w:eastAsia="Garamond" w:hAnsi="Garamond"/>
          <w:b w:val="false"/>
          <w:bCs w:val="false"/>
          <w:i w:val="false"/>
          <w:iCs w:val="false"/>
          <w:color w:val="333333"/>
          <w:sz w:val="21"/>
          <w:szCs w:val="21"/>
        </w:rPr>
        <w:t xml:space="preserve">Each regulatory system is stated once in this document. The vertebra-specific documents reference these systems where they are most active. The regulatory systems are not optional extensions. They are the physics the engine runs on. A spine operating without regulatory oversight produces output that is mechanically functional but experientially flat, thematically hollow, or socially disconnected.</w:t>
      </w:r>
    </w:p>
    <w:p>
      <w:pPr>
        <w:spacing w:after="100" w:line="276"/>
      </w:pPr>
      <w:r>
        <w:rPr>
          <w:rFonts w:ascii="Garamond" w:cs="Garamond" w:eastAsia="Garamond" w:hAnsi="Garamond"/>
          <w:b w:val="false"/>
          <w:bCs w:val="false"/>
          <w:i w:val="false"/>
          <w:iCs w:val="false"/>
          <w:color w:val="333333"/>
          <w:sz w:val="21"/>
          <w:szCs w:val="21"/>
        </w:rPr>
        <w:t xml:space="preserve">The eight systems fall into three categories: two diagnostic tools (applied when something is wrong), one universal method (applied for validation at any vertebra), and five governors (continuously shaping the spine’s operation).</w:t>
      </w:r>
    </w:p>
    <w:p>
      <w:r>
        <w:br w:type="page"/>
      </w:r>
    </w:p>
    <w:p>
      <w:pPr>
        <w:pStyle w:val="Heading1"/>
        <w:spacing w:after="140" w:before="300"/>
      </w:pPr>
      <w:r>
        <w:rPr>
          <w:rFonts w:ascii="Garamond" w:cs="Garamond" w:eastAsia="Garamond" w:hAnsi="Garamond"/>
          <w:b/>
          <w:bCs/>
          <w:color w:val="1A1A2E"/>
        </w:rPr>
        <w:t xml:space="preserve">1. INFORMATION / CHOICE / CONSEQUENCE</w:t>
      </w:r>
    </w:p>
    <w:p>
      <w:pPr>
        <w:spacing w:after="50" w:line="276"/>
      </w:pPr>
      <w:r>
        <w:rPr>
          <w:rFonts w:ascii="Garamond" w:cs="Garamond" w:eastAsia="Garamond" w:hAnsi="Garamond"/>
          <w:b w:val="false"/>
          <w:bCs w:val="false"/>
          <w:i/>
          <w:iCs/>
          <w:color w:val="888888"/>
          <w:sz w:val="21"/>
          <w:szCs w:val="21"/>
        </w:rPr>
        <w:t xml:space="preserve">Chris McDowall — Into the Odd / Electric Bastionland</w:t>
      </w:r>
    </w:p>
    <w:p>
      <w:pPr>
        <w:spacing w:after="50" w:line="276"/>
      </w:pPr>
      <w:r>
        <w:rPr>
          <w:rFonts w:ascii="Garamond" w:cs="Garamond" w:eastAsia="Garamond" w:hAnsi="Garamond"/>
          <w:b/>
          <w:bCs/>
          <w:i w:val="false"/>
          <w:iCs w:val="false"/>
          <w:color w:val="333333"/>
          <w:sz w:val="21"/>
          <w:szCs w:val="21"/>
        </w:rPr>
        <w:t xml:space="preserve">The universal diagnostic. At any point where the engine stalls, one of three elements is absent from the current situation. Identify which element is missing. Supply it. The engine resumes.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Information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the participant perceives about the situation. Without information, the participant cannot make a meaningful choice — they are guessing in the dark. The stall manifests as confusion, paralysis, or random action.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Choice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 decision the situation demands. Without choice, the situation is a cutscene — the participant observes but does not participate. The stall manifests as passivity or the sense that nothing the participant does matters.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Consequence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happens as a result of the choice. Without consequence, the choice is meaningless — the participant decides but the world does not respond. The stall manifests as disengagement or the sense that the game is not real.</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Application Across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Pressure Points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Cannot find pressure? Check which element the situation lacks. No information about the entity means the Schema is incomplete. No choice means the entity has no agency. No consequence means the pressure has no stakes.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Fronts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Front not advancing? The front lacks resources (information about what tools it has), options (choices about methodology), or impact (consequences from its actions).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Clocks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Clock stalled? The tick trigger is not firing because there is no information triggering it, no choice activating it, or no consequence following activation.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Symptoms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Seeds not engaging the party? The seed lacks perceptible information, does not demand a choice, or the party does not believe it will produce consequences.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Adventures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Encounter not working? The participant lacks information to act, has no meaningful choice, or the resolution does not produce visible consequences. Supply the missing element.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Feedback Loop</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Consequences not propagating? The cascade lacks information about which edges carry the effect, choice about how receiving fronts respond, or consequential impact at the receiving end.</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McDowall’s diagnostic is the fastest tool for fixing any stall at any vertebra. It does not tell you WHAT is wrong in detail. It tells you WHERE to look. The three elements are the minimum viable situation. Every situation needs all three. Every stall is missing at least one.</w:t>
      </w:r>
    </w:p>
    <w:p>
      <w:r>
        <w:br w:type="page"/>
      </w:r>
    </w:p>
    <w:p>
      <w:pPr>
        <w:pStyle w:val="Heading1"/>
        <w:spacing w:after="140" w:before="300"/>
      </w:pPr>
      <w:r>
        <w:rPr>
          <w:rFonts w:ascii="Garamond" w:cs="Garamond" w:eastAsia="Garamond" w:hAnsi="Garamond"/>
          <w:b/>
          <w:bCs/>
          <w:color w:val="1A1A2E"/>
        </w:rPr>
        <w:t xml:space="preserve">2. RED TEAM METHOD</w:t>
      </w:r>
    </w:p>
    <w:p>
      <w:pPr>
        <w:spacing w:after="50" w:line="276"/>
      </w:pPr>
      <w:r>
        <w:rPr>
          <w:rFonts w:ascii="Garamond" w:cs="Garamond" w:eastAsia="Garamond" w:hAnsi="Garamond"/>
          <w:b w:val="false"/>
          <w:bCs w:val="false"/>
          <w:i/>
          <w:iCs/>
          <w:color w:val="888888"/>
          <w:sz w:val="21"/>
          <w:szCs w:val="21"/>
        </w:rPr>
        <w:t xml:space="preserve">Intelligence tradecraft — adversarial perspective adoption</w:t>
      </w:r>
    </w:p>
    <w:p>
      <w:pPr>
        <w:spacing w:after="50" w:line="276"/>
      </w:pPr>
      <w:r>
        <w:rPr>
          <w:rFonts w:ascii="Garamond" w:cs="Garamond" w:eastAsia="Garamond" w:hAnsi="Garamond"/>
          <w:b/>
          <w:bCs/>
          <w:i w:val="false"/>
          <w:iCs w:val="false"/>
          <w:color w:val="333333"/>
          <w:sz w:val="21"/>
          <w:szCs w:val="21"/>
        </w:rPr>
        <w:t xml:space="preserve">Adopt the opposing perspective to validate your work. The method is universal. The target changes at each application.</w:t>
      </w:r>
    </w:p>
    <w:p>
      <w:pPr>
        <w:pStyle w:val="Heading2"/>
        <w:spacing w:after="100" w:before="220"/>
      </w:pPr>
      <w:r>
        <w:rPr>
          <w:rFonts w:ascii="Garamond" w:cs="Garamond" w:eastAsia="Garamond" w:hAnsi="Garamond"/>
          <w:b/>
          <w:bCs/>
          <w:color w:val="2B2B4B"/>
        </w:rPr>
        <w:t xml:space="preserve">Three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Pressure Points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Red Team the pressure landscape. If you were an adversary targeting this entity, which pressure points would you exploit? The adversary’s perspective reveals which points are managed, unmanaged, and invisible to the entity. The unmanaged and invisible points generate the most dangerous fronts.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Fronts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Red Team the front. If you were running this front, would you do what the front is doing? Is the methodology strategically coherent given the assets and opposition? A front whose behavior does not survive Red Team scrutiny is either incompetent (the driving NPC is trending toward slag) or deceptive (the apparent methodology conceals the real one).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Catalysts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Red Team yourself. Am I manipulating rather than facilitating? Am I directing rather than seeding? Am I visible? The operator’s self-check. The person running the campfire must remain invisible (Gray Man principle, Document C1) for the campfire to function as participatory. If you have become visible as the operator, the participants stop co-creating and start consuming.</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Red Team method is not a procedure. It is a cognitive operation: temporarily adopt the adversary’s priorities, information set, and constraints, then evaluate the target from that position. The operation takes thirty seconds of focused thought. It does not require worksheets, dice, or formal process. It requires the discipline to genuinely adopt a perspective that opposes your own preferences.</w:t>
      </w:r>
    </w:p>
    <w:p>
      <w:r>
        <w:br w:type="page"/>
      </w:r>
    </w:p>
    <w:p>
      <w:pPr>
        <w:pStyle w:val="Heading1"/>
        <w:spacing w:after="140" w:before="300"/>
      </w:pPr>
      <w:r>
        <w:rPr>
          <w:rFonts w:ascii="Garamond" w:cs="Garamond" w:eastAsia="Garamond" w:hAnsi="Garamond"/>
          <w:b/>
          <w:bCs/>
          <w:color w:val="1A1A2E"/>
        </w:rPr>
        <w:t xml:space="preserve">3. SCHEMA CO-COMPLETION</w:t>
      </w:r>
    </w:p>
    <w:p>
      <w:pPr>
        <w:spacing w:after="50" w:line="276"/>
      </w:pPr>
      <w:r>
        <w:rPr>
          <w:rFonts w:ascii="Garamond" w:cs="Garamond" w:eastAsia="Garamond" w:hAnsi="Garamond"/>
          <w:b w:val="false"/>
          <w:bCs w:val="false"/>
          <w:i/>
          <w:iCs/>
          <w:color w:val="888888"/>
          <w:sz w:val="21"/>
          <w:szCs w:val="21"/>
        </w:rPr>
        <w:t xml:space="preserve">Frederic Bartlett — Schema Theory (Remembering, 1932)</w:t>
      </w:r>
    </w:p>
    <w:p>
      <w:pPr>
        <w:spacing w:after="50" w:line="276"/>
      </w:pPr>
      <w:r>
        <w:rPr>
          <w:rFonts w:ascii="Garamond" w:cs="Garamond" w:eastAsia="Garamond" w:hAnsi="Garamond"/>
          <w:b/>
          <w:bCs/>
          <w:i w:val="false"/>
          <w:iCs w:val="false"/>
          <w:color w:val="333333"/>
          <w:sz w:val="21"/>
          <w:szCs w:val="21"/>
        </w:rPr>
        <w:t xml:space="preserve">At every vertebra, optimal specification leaves room for participant co-completion. Underspecified elements are features when the participant’s imagination fills the gaps with personally meaningful content.</w:t>
      </w:r>
    </w:p>
    <w:p>
      <w:pPr>
        <w:spacing w:after="100" w:line="276"/>
      </w:pPr>
      <w:r>
        <w:rPr>
          <w:rFonts w:ascii="Garamond" w:cs="Garamond" w:eastAsia="Garamond" w:hAnsi="Garamond"/>
          <w:b w:val="false"/>
          <w:bCs w:val="false"/>
          <w:i w:val="false"/>
          <w:iCs w:val="false"/>
          <w:color w:val="333333"/>
          <w:sz w:val="21"/>
          <w:szCs w:val="21"/>
        </w:rPr>
        <w:t xml:space="preserve">People do not remember stories accurately. They remember them coherently. Unfamiliar elements are dropped. Familiar structures are imposed. The participant’s schema — their accumulated mental model of how stories work, how people behave, how the world operates — fills every gap the creator leaves open.</w:t>
      </w:r>
    </w:p>
    <w:p>
      <w:pPr>
        <w:spacing w:after="100" w:line="276"/>
      </w:pPr>
      <w:r>
        <w:rPr>
          <w:rFonts w:ascii="Garamond" w:cs="Garamond" w:eastAsia="Garamond" w:hAnsi="Garamond"/>
          <w:b w:val="false"/>
          <w:bCs w:val="false"/>
          <w:i w:val="false"/>
          <w:iCs w:val="false"/>
          <w:color w:val="333333"/>
          <w:sz w:val="21"/>
          <w:szCs w:val="21"/>
        </w:rPr>
        <w:t xml:space="preserve">This means underspecification is not laziness. It is an invitation. Every gap the GM leaves in an NPC’s description, every detail the novelist omits from a scene, every unexplained element in the setting’s history — each one is filled by the participant’s schema with content that is personally meaningful because it came from their own experience. The participant’s contribution makes the fiction feel more real than any amount of author-provided detail because the participant OWNS what they contributed.</w:t>
      </w:r>
    </w:p>
    <w:p>
      <w:pPr>
        <w:pStyle w:val="Heading2"/>
        <w:spacing w:after="100" w:before="220"/>
      </w:pPr>
      <w:r>
        <w:rPr>
          <w:rFonts w:ascii="Garamond" w:cs="Garamond" w:eastAsia="Garamond" w:hAnsi="Garamond"/>
          <w:b/>
          <w:bCs/>
          <w:color w:val="2B2B4B"/>
        </w:rPr>
        <w:t xml:space="preserve">Application Across the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Schema</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GM shortcut’s compressed NPC generation works because the participant’s schema fills the unspecified Heart’s Compass dimensions with genre-appropriate content. Section III IS the designated underspecification zone.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Fronts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Front methodology described in one sentence. The GM’s schema fills the operational details during play. The sentence provides the constraint. The GM provides the specifics.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Symptoms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Seeds described as primary source evidence rather than interpreted conclusions. The party’s schema provides the interpretation. Different participants interpret the same evidence differently. Both interpretations are valid.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Adventures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“this could be you” principle. The seed is specified enough to constrain engagement but underspecified enough for the participant to project themselves into the situation. The projection IS the engagement.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Feedback Loop</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Microscope’s non-linear history construction. The GM specifies consequences and a few causes. The party’s schema fills the historical gaps with coherent content.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calibration question: how much specification is optimal? Too much removes the invitation. Too little produces confusion rather than co-completion. The threshold is whether the participant has enough constraint to produce coherent content from the gap. If the gap is so large that every participant produces a different, contradictory filling, more specification is needed. If the gap is small enough that every participant fills it the same way, less specification would invite more personally meaningful content.</w:t>
      </w:r>
    </w:p>
    <w:p>
      <w:r>
        <w:br w:type="page"/>
      </w:r>
    </w:p>
    <w:p>
      <w:pPr>
        <w:pStyle w:val="Heading1"/>
        <w:spacing w:after="140" w:before="300"/>
      </w:pPr>
      <w:r>
        <w:rPr>
          <w:rFonts w:ascii="Garamond" w:cs="Garamond" w:eastAsia="Garamond" w:hAnsi="Garamond"/>
          <w:b/>
          <w:bCs/>
          <w:color w:val="1A1A2E"/>
        </w:rPr>
        <w:t xml:space="preserve">4. TRANSPORTATION</w:t>
      </w:r>
    </w:p>
    <w:p>
      <w:pPr>
        <w:spacing w:after="50" w:line="276"/>
      </w:pPr>
      <w:r>
        <w:rPr>
          <w:rFonts w:ascii="Garamond" w:cs="Garamond" w:eastAsia="Garamond" w:hAnsi="Garamond"/>
          <w:b w:val="false"/>
          <w:bCs w:val="false"/>
          <w:i/>
          <w:iCs/>
          <w:color w:val="888888"/>
          <w:sz w:val="21"/>
          <w:szCs w:val="21"/>
        </w:rPr>
        <w:t xml:space="preserve">Green &amp; Brock — Transportation Theory (2000)</w:t>
      </w:r>
    </w:p>
    <w:p>
      <w:pPr>
        <w:spacing w:after="50" w:line="276"/>
      </w:pPr>
      <w:r>
        <w:rPr>
          <w:rFonts w:ascii="Garamond" w:cs="Garamond" w:eastAsia="Garamond" w:hAnsi="Garamond"/>
          <w:b/>
          <w:bCs/>
          <w:i w:val="false"/>
          <w:iCs w:val="false"/>
          <w:color w:val="333333"/>
          <w:sz w:val="21"/>
          <w:szCs w:val="21"/>
        </w:rPr>
        <w:t xml:space="preserve">At every vertebra, structural choices must protect the fictional dream. Structural brilliance that breaks immersion is worse than simplicity that sustains it.</w:t>
      </w:r>
    </w:p>
    <w:p>
      <w:pPr>
        <w:spacing w:after="100" w:line="276"/>
      </w:pPr>
      <w:r>
        <w:rPr>
          <w:rFonts w:ascii="Garamond" w:cs="Garamond" w:eastAsia="Garamond" w:hAnsi="Garamond"/>
          <w:b w:val="false"/>
          <w:bCs w:val="false"/>
          <w:i w:val="false"/>
          <w:iCs w:val="false"/>
          <w:color w:val="333333"/>
          <w:sz w:val="21"/>
          <w:szCs w:val="21"/>
        </w:rPr>
        <w:t xml:space="preserve">Transported readers change beliefs to match the story even knowing it is fiction. The emotional engagement, the sense of “being there,” the temporary suspension of the outside world — these are the conditions under which the campfire’s survival functions operate. Information encoding requires engagement. Social calibration requires emotional investment. Group binding requires shared immersion. If transportation breaks, all three functions degrade.</w:t>
      </w:r>
    </w:p>
    <w:p>
      <w:pPr>
        <w:pStyle w:val="Heading2"/>
        <w:spacing w:after="100" w:before="220"/>
      </w:pPr>
      <w:r>
        <w:rPr>
          <w:rFonts w:ascii="Garamond" w:cs="Garamond" w:eastAsia="Garamond" w:hAnsi="Garamond"/>
          <w:b/>
          <w:bCs/>
          <w:color w:val="2B2B4B"/>
        </w:rPr>
        <w:t xml:space="preserve">What Breaks 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Visible scaffolding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participant sees the engine rather than the fiction. A rule dispute that lasts longer than the scene it interrupted. A seed that is obviously authored rather than discovered. A consequence that serves the plot rather than the world’s logic. Each one momentarily lifts the curtain.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Inconsistency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world contradicts its own established rules. An NPC behaves in a way that cannot be explained by their Schema. A front takes an action that contradicts its methodology. A clock produces a symptom inconsistent with its driving college. Each inconsistency erodes the world’s credibility.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Tonal mismatch</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expression layer’s delivery contradicts the content’s weight. A threshold crossing described casually. A character moment interrupted by mechanical procedure. A dramatic revelation buried in a rules discussion. The content was significant. The delivery said otherwise.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Pace disruption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rhythm established by the clock system (Document 4A) breaks without purpose. Two rests in a row when the session needs a crescendo. A Sequel eliminated when the table needs processing time. The dissonance between felt rhythm and structural rhythm pulls the participant out.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protective instinct: when in doubt, choose the simpler option. A simple NPC description that sustains the fictional dream is superior to a complex Schema-derived profile that requires mid-scene explanation. The Schema informs the GM’s portrayal. The participant sees the portrayal, not the Schema. The system serves the fiction. The fiction does not serve the system.</w:t>
      </w:r>
    </w:p>
    <w:p>
      <w:r>
        <w:br w:type="page"/>
      </w:r>
    </w:p>
    <w:p>
      <w:pPr>
        <w:pStyle w:val="Heading1"/>
        <w:spacing w:after="140" w:before="300"/>
      </w:pPr>
      <w:r>
        <w:rPr>
          <w:rFonts w:ascii="Garamond" w:cs="Garamond" w:eastAsia="Garamond" w:hAnsi="Garamond"/>
          <w:b/>
          <w:bCs/>
          <w:color w:val="1A1A2E"/>
        </w:rPr>
        <w:t xml:space="preserve">5. THE SMOOTHING EFFECT</w:t>
      </w:r>
    </w:p>
    <w:p>
      <w:pPr>
        <w:spacing w:after="50" w:line="276"/>
      </w:pPr>
      <w:r>
        <w:rPr>
          <w:rFonts w:ascii="Garamond" w:cs="Garamond" w:eastAsia="Garamond" w:hAnsi="Garamond"/>
          <w:b w:val="false"/>
          <w:bCs w:val="false"/>
          <w:i/>
          <w:iCs/>
          <w:color w:val="888888"/>
          <w:sz w:val="21"/>
          <w:szCs w:val="21"/>
        </w:rPr>
        <w:t xml:space="preserve">Setting cosmology as regulatory system</w:t>
      </w:r>
    </w:p>
    <w:p>
      <w:pPr>
        <w:spacing w:after="50" w:line="276"/>
      </w:pPr>
      <w:r>
        <w:rPr>
          <w:rFonts w:ascii="Garamond" w:cs="Garamond" w:eastAsia="Garamond" w:hAnsi="Garamond"/>
          <w:b/>
          <w:bCs/>
          <w:i w:val="false"/>
          <w:iCs w:val="false"/>
          <w:color w:val="333333"/>
          <w:sz w:val="21"/>
          <w:szCs w:val="21"/>
        </w:rPr>
        <w:t xml:space="preserve">The spine’s resistance to dramatic change. Small outputs pass through unnoticed. Large or rapid outputs trigger dampening. Only sustained pressure from genuine Schema tensions produces lasting change.</w:t>
      </w:r>
    </w:p>
    <w:p>
      <w:pPr>
        <w:spacing w:after="100" w:line="276"/>
      </w:pPr>
      <w:r>
        <w:rPr>
          <w:rFonts w:ascii="Garamond" w:cs="Garamond" w:eastAsia="Garamond" w:hAnsi="Garamond"/>
          <w:b w:val="false"/>
          <w:bCs w:val="false"/>
          <w:i w:val="false"/>
          <w:iCs w:val="false"/>
          <w:color w:val="333333"/>
          <w:sz w:val="21"/>
          <w:szCs w:val="21"/>
        </w:rPr>
        <w:t xml:space="preserve">The Smoothing Effect is simultaneously a setting element (Aíon’s continuous Fulcrum Point expenditure maintaining coherence across two merged settings), a game mechanic (the resistance that gives clocks multiple segments rather than binary states), and a regulatory system (the amplitude governor that prevents any single cycle from producing disproportionate world change).</w:t>
      </w:r>
    </w:p>
    <w:p>
      <w:pPr>
        <w:pStyle w:val="Heading2"/>
        <w:spacing w:after="100" w:before="220"/>
      </w:pPr>
      <w:r>
        <w:rPr>
          <w:rFonts w:ascii="Garamond" w:cs="Garamond" w:eastAsia="Garamond" w:hAnsi="Garamond"/>
          <w:b/>
          <w:bCs/>
          <w:color w:val="2B2B4B"/>
        </w:rPr>
        <w:t xml:space="preserve">How Smoothing Operates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Fronts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Front actions encounter proportional resistance. Small operations pass unnoticed. Large operations trigger institutional inertia, political opposition, resource constraints, and unexpected complications. The resistance is not authored — it is the setting’s social physics expressing through natural obstacles.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Clocks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Clocks have segments rather than binary states because the Smoothing Effect ensures gradual transition. Each segment represents accumulated pressure overcoming one layer of resistance. Only sustained, committed action completes a clock. Casual or half-hearted pressure is dampened before it reaches threshold.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Fulcrum Points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Distance ∞ spends (regulatory overrides) momentarily punch through the Smoothing Effect. The Effect reasserts because Aíon’s generation is infinite. The deferred consequence is the architecture noticing and responding. The greater the override, the stronger the correction.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At the Zoetrope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Civilizational change requires accumulated factional pressure sustained across multiple arcs to overcome the Smoothing Effect’s civilizational-scale resistance. This ensures that civilizational transitions are earned through genuine, sustained effort rather than produced by single dramatic events.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Smoothing Effect is the reason the setting has not torn apart despite containing two forcibly merged realities. It is Aíon’s architectural solution. It is also the reason the game produces satisfying dramatic arcs — change must be earned through sustained pressure, which means the change carries weight when it finally arrives. Easy change is meaningless. Resisted change is dramatic.</w:t>
      </w:r>
    </w:p>
    <w:p>
      <w:r>
        <w:br w:type="page"/>
      </w:r>
    </w:p>
    <w:p>
      <w:pPr>
        <w:pStyle w:val="Heading1"/>
        <w:spacing w:after="140" w:before="300"/>
      </w:pPr>
      <w:r>
        <w:rPr>
          <w:rFonts w:ascii="Garamond" w:cs="Garamond" w:eastAsia="Garamond" w:hAnsi="Garamond"/>
          <w:b/>
          <w:bCs/>
          <w:color w:val="1A1A2E"/>
        </w:rPr>
        <w:t xml:space="preserve">6. THREE SURVIVAL FUNCTIONS</w:t>
      </w:r>
    </w:p>
    <w:p>
      <w:pPr>
        <w:spacing w:after="50" w:line="276"/>
      </w:pPr>
      <w:r>
        <w:rPr>
          <w:rFonts w:ascii="Garamond" w:cs="Garamond" w:eastAsia="Garamond" w:hAnsi="Garamond"/>
          <w:b w:val="false"/>
          <w:bCs w:val="false"/>
          <w:i/>
          <w:iCs/>
          <w:color w:val="888888"/>
          <w:sz w:val="21"/>
          <w:szCs w:val="21"/>
        </w:rPr>
        <w:t xml:space="preserve">Oral tradition theory — the campfire’s purpose</w:t>
      </w:r>
    </w:p>
    <w:p>
      <w:pPr>
        <w:spacing w:after="50" w:line="276"/>
      </w:pPr>
      <w:r>
        <w:rPr>
          <w:rFonts w:ascii="Garamond" w:cs="Garamond" w:eastAsia="Garamond" w:hAnsi="Garamond"/>
          <w:b/>
          <w:bCs/>
          <w:i w:val="false"/>
          <w:iCs w:val="false"/>
          <w:color w:val="333333"/>
          <w:sz w:val="21"/>
          <w:szCs w:val="21"/>
        </w:rPr>
        <w:t xml:space="preserve">Every cycle should produce information encoding, social norm calibration, and group binding. If a cycle produces fewer than three, it is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 Information Encoding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participants learned something through experience. Not through exposition — through engagement. The chirurgeon’s story taught them something about the cost of medical practice. The investigation taught them how to trace a representation chain. The combat taught them that the forest’s creatures were once people. Knowledge embedded in experience persists longer than knowledge delivered as fact.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 Social Norm Calibration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participants debated values through choice. The prisoner dilemma. The competing loyalties. The ticking clock forcing triage. Every moral choice the party makes calibrates the group’s shared values. They discover what they collectively believe by discovering what they collectively choose. The calibration IS the campfire’s cautionary tale function — what would we do if this were real?</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 Group Binding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participants shared an emotional peak. Collins’ interaction ritual conditions were met (focused attention, shared mood, mutual awareness, boundary). The clock threshold crossing produced collective effervescence. The table remembers the moment afterward. The shared memory becomes a sacred symbol — a reference point that binds the group’s identity. “Remember when the ward collapsed?” That shared reference IS the binding.</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A session that delivers only combat (information encoding through tactical experience but no social calibration or group binding) is mechanically functional but narratively incomplete. A session that delivers only moral dilemmas (social calibration without tactical engagement or emotional peaks) is thematically rich but experientially thin. A session that delivers only emotional peaks (group binding without information or calibration) is memorable but shallow. The complete session touches all three. The Three Survival Functions are the output completeness validator.</w:t>
      </w:r>
    </w:p>
    <w:p>
      <w:r>
        <w:br w:type="page"/>
      </w:r>
    </w:p>
    <w:p>
      <w:pPr>
        <w:pStyle w:val="Heading1"/>
        <w:spacing w:after="140" w:before="300"/>
      </w:pPr>
      <w:r>
        <w:rPr>
          <w:rFonts w:ascii="Garamond" w:cs="Garamond" w:eastAsia="Garamond" w:hAnsi="Garamond"/>
          <w:b/>
          <w:bCs/>
          <w:color w:val="1A1A2E"/>
        </w:rPr>
        <w:t xml:space="preserve">7. INFORMATION ECONOMY</w:t>
      </w:r>
    </w:p>
    <w:p>
      <w:pPr>
        <w:spacing w:after="50" w:line="276"/>
      </w:pPr>
      <w:r>
        <w:rPr>
          <w:rFonts w:ascii="Garamond" w:cs="Garamond" w:eastAsia="Garamond" w:hAnsi="Garamond"/>
          <w:b w:val="false"/>
          <w:bCs w:val="false"/>
          <w:i/>
          <w:iCs/>
          <w:color w:val="888888"/>
          <w:sz w:val="21"/>
          <w:szCs w:val="21"/>
        </w:rPr>
        <w:t xml:space="preserve">Intelligence theory applied to narrative flow</w:t>
      </w:r>
    </w:p>
    <w:p>
      <w:pPr>
        <w:spacing w:after="50" w:line="276"/>
      </w:pPr>
      <w:r>
        <w:rPr>
          <w:rFonts w:ascii="Garamond" w:cs="Garamond" w:eastAsia="Garamond" w:hAnsi="Garamond"/>
          <w:b/>
          <w:bCs/>
          <w:i w:val="false"/>
          <w:iCs w:val="false"/>
          <w:color w:val="333333"/>
          <w:sz w:val="21"/>
          <w:szCs w:val="21"/>
        </w:rPr>
        <w:t xml:space="preserve">Information moves between participants as currency with supply, demand, and exchange value. The rate and direction of flow shapes how quickly observation collapses occur and how completely consequences propagate.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Supply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much information is available. High supply (many seeds visible, many truths placed) produces rapid collapse — the participants have enough data to act quickly. Low supply (few visible seeds, opaque situation) produces slow collapse — the participants must investigate before acting.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Demand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How urgently the participants need information. A ticking clock creates demand. A comfortable status quo eliminates it. The pacing tracker (Document 4C) manages demand through beat selection — presenting threatening symptoms creates demand; presenting discovery symptoms supplies information.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Exchange Value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information costs to obtain. Some information is free (the seed is visible in the environment). Some costs resources (the NPC demands payment for what they know). Some costs risk (investigating the archive means entering contested territory). The cost shapes how the party prioritizes — cheap information is gathered first, expensive information only when necessary.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Flow Direction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Who knows what. Information asymmetry IS dramatic tension. When the party knows something the NPC does not, they have leverage. When the NPC knows something the party does not, the NPC has power. The Goffman gap (Document 1A) is an information asymmetry between an entity’s front stage and back stage. The representation chain (Document 3A) is an information degradation pipeline.</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GM controls the information economy through seed placement (supply), clock management (demand), and NPC behavior (exchange value and flow direction). A session with too much information feels rushed — the party acts before they understand. A session with too little feels stalled — the party cannot act because they have nothing to act on. The information economy is the flow speed governor that determines the spine’s operational pace.</w:t>
      </w:r>
    </w:p>
    <w:p>
      <w:r>
        <w:br w:type="page"/>
      </w:r>
    </w:p>
    <w:p>
      <w:pPr>
        <w:pStyle w:val="Heading1"/>
        <w:spacing w:after="140" w:before="300"/>
      </w:pPr>
      <w:r>
        <w:rPr>
          <w:rFonts w:ascii="Garamond" w:cs="Garamond" w:eastAsia="Garamond" w:hAnsi="Garamond"/>
          <w:b/>
          <w:bCs/>
          <w:color w:val="1A1A2E"/>
        </w:rPr>
        <w:t xml:space="preserve">8. INTERACTION RITUAL</w:t>
      </w:r>
    </w:p>
    <w:p>
      <w:pPr>
        <w:spacing w:after="50" w:line="276"/>
      </w:pPr>
      <w:r>
        <w:rPr>
          <w:rFonts w:ascii="Garamond" w:cs="Garamond" w:eastAsia="Garamond" w:hAnsi="Garamond"/>
          <w:b w:val="false"/>
          <w:bCs w:val="false"/>
          <w:i/>
          <w:iCs/>
          <w:color w:val="888888"/>
          <w:sz w:val="21"/>
          <w:szCs w:val="21"/>
        </w:rPr>
        <w:t xml:space="preserve">Randall Collins — Interaction Ritual Chains (2004)</w:t>
      </w:r>
    </w:p>
    <w:p>
      <w:pPr>
        <w:spacing w:after="50" w:line="276"/>
      </w:pPr>
      <w:r>
        <w:rPr>
          <w:rFonts w:ascii="Garamond" w:cs="Garamond" w:eastAsia="Garamond" w:hAnsi="Garamond"/>
          <w:b/>
          <w:bCs/>
          <w:i w:val="false"/>
          <w:iCs w:val="false"/>
          <w:color w:val="333333"/>
          <w:sz w:val="21"/>
          <w:szCs w:val="21"/>
        </w:rPr>
        <w:t xml:space="preserve">Four conditions must be met for the spine’s output to produce maximum emotional impact. These are the social prerequisites for the campfire to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Focused Attention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Everyone at the table is attending to the same moment. No side conversations, no phone checks, no rule lookups during a dramatic beat. Focused attention is the container that holds the collective experience. Without it, the experience scatters.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Shared Mood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table’s emotional state is aligned. The crescendo built the mood collaboratively across multiple beats. By the threshold crossing, everyone is feeling the same tension. Shared mood is not enforced — it emerges from the rhythm of play when the pacing is working.</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Mutual Awareness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participant knows the others are also engaged. The awareness amplifies individual emotion into collective experience. I know you are feeling this. You know I am feeling this. We know we are feeling this together. The amplification IS the social magic.</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Boundary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group has a sense of insiders and outsiders. The table is a unit. The shared experience distinguishes the group from people who were not there. “You had to be there” is the boundary articulated. The sacred symbols produced by the ritual (“Remember when the ward collapsed?”) reinforce the boundary across sessions.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When all four conditions are met, the clock threshold crossing, the belief activation, the state change — any structurally significant moment — produces collective effervescence. The peak emotional experience that the table remembers. The campfire’s binding function at maximum intensity.</w:t>
      </w:r>
    </w:p>
    <w:p>
      <w:pPr>
        <w:spacing w:after="100" w:line="276"/>
      </w:pPr>
      <w:r>
        <w:rPr>
          <w:rFonts w:ascii="Garamond" w:cs="Garamond" w:eastAsia="Garamond" w:hAnsi="Garamond"/>
          <w:b w:val="false"/>
          <w:bCs w:val="false"/>
          <w:i w:val="false"/>
          <w:iCs w:val="false"/>
          <w:color w:val="333333"/>
          <w:sz w:val="21"/>
          <w:szCs w:val="21"/>
        </w:rPr>
        <w:t xml:space="preserve">When any condition breaks, the same structural moment falls flat. The GM’s job at the spine’s climactic moments is not narrating brilliantly. It is ensuring these four conditions exist. The narration can be simple if the conditions are met. The narration can be brilliant and still fail if the conditions are not met. The conditions are the prerequisites. The content is secondary.</w:t>
      </w:r>
    </w:p>
    <w:p>
      <w:pPr>
        <w:pStyle w:val="Heading2"/>
        <w:spacing w:after="100" w:before="220"/>
      </w:pPr>
      <w:r>
        <w:rPr>
          <w:rFonts w:ascii="Garamond" w:cs="Garamond" w:eastAsia="Garamond" w:hAnsi="Garamond"/>
          <w:b/>
          <w:bCs/>
          <w:color w:val="2B2B4B"/>
        </w:rPr>
        <w:t xml:space="preserve">Most Affected Vertebrae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Clocks (Vertebra 4)</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Threshold crossings require all four conditions for maximum impact. The crescendo built by clock advancement establishes shared mood. The threshold crossing is the peak that requires focused attention.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Adventures (Vertebra 6)</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Belief activations, forced choices, and dramatic collapses produce the moments that generate sacred symbols. These moments require mutual awareness to land. The dramatic pause (embodied expression) IS the focused attention condition being established through silence.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Feedback Loop (Vertebra 7)</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retrospective read IS a ritual. The table reflecting on what happened, identifying themes, recognizing patterns — this collaborative interpretation requires all four conditions to produce genuine shared meaning rather than superficial consensus.</w:t>
            </w:r>
          </w:p>
        </w:tc>
      </w:tr>
    </w:tbl>
    <w:p>
      <w:r>
        <w:br w:type="page"/>
      </w:r>
    </w:p>
    <w:p>
      <w:pPr>
        <w:pStyle w:val="Heading1"/>
        <w:spacing w:after="140" w:before="300"/>
      </w:pPr>
      <w:r>
        <w:rPr>
          <w:rFonts w:ascii="Garamond" w:cs="Garamond" w:eastAsia="Garamond" w:hAnsi="Garamond"/>
          <w:b/>
          <w:bCs/>
          <w:color w:val="1A1A2E"/>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3760"/>
      </w:tblGrid>
      <w:tr>
        <w:tc>
          <w:tcPr>
            <w:tcW w:type="dxa" w:w="1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System</w:t>
            </w:r>
          </w:p>
        </w:tc>
        <w:tc>
          <w:tcPr>
            <w:tcW w:type="dxa" w:w="1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Type</w:t>
            </w:r>
          </w:p>
        </w:tc>
        <w:tc>
          <w:tcPr>
            <w:tcW w:type="dxa" w:w="2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One-Line Function</w:t>
            </w:r>
          </w:p>
        </w:tc>
        <w:tc>
          <w:tcPr>
            <w:tcW w:type="dxa" w:w="37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Primary Vertebrae</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McDowall</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Diagnostic</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If it stalls, one of three elements is missing</w:t>
            </w:r>
          </w:p>
        </w:tc>
        <w:tc>
          <w:tcPr>
            <w:tcW w:type="dxa" w:w="3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All vertebrae equally</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Red Team</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Method</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Adopt the opposing perspective to validate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Pressure Points, Fronts, Catalysts</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Bartlett</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Optimal specification invites co-completion</w:t>
            </w:r>
          </w:p>
        </w:tc>
        <w:tc>
          <w:tcPr>
            <w:tcW w:type="dxa" w:w="3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Schema, Symptoms, Adventures, Feedback</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Transportation</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Protect the fictional dream above all</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Adventures (primary), all vertebrae</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Smoothing Effect</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Resist dramatic change; reward sustained pressure</w:t>
            </w:r>
          </w:p>
        </w:tc>
        <w:tc>
          <w:tcPr>
            <w:tcW w:type="dxa" w:w="3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Fronts, Clocks, Fulcrum Points, Zoetrope</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Three Functions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Validator</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 cycle needs encoding + calibration + binding</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Output validation across all vertebrae</w:t>
            </w:r>
          </w:p>
        </w:tc>
      </w:tr>
      <w:tr>
        <w:tc>
          <w:tcPr>
            <w:tcW w:type="dxa" w:w="1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Info Economy</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Control flow speed through supply, demand, and cost</w:t>
            </w:r>
          </w:p>
        </w:tc>
        <w:tc>
          <w:tcPr>
            <w:tcW w:type="dxa" w:w="3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Symptoms, Adventures (primary)</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Collins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Prerequisite</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Four conditions for emotional peak impact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Clocks, Adventures, Feedback Loop</w:t>
            </w:r>
          </w:p>
        </w:tc>
      </w:tr>
    </w:tbl>
    <w:p>
      <w:pPr>
        <w:spacing w:after="100" w:line="276"/>
      </w:pPr>
      <w:r>
        <w:rPr>
          <w:rFonts w:ascii="Garamond" w:cs="Garamond" w:eastAsia="Garamond" w:hAnsi="Garamond"/>
          <w:b w:val="false"/>
          <w:bCs w:val="false"/>
          <w:i w:val="false"/>
          <w:iCs w:val="false"/>
          <w:color w:val="333333"/>
          <w:sz w:val="21"/>
          <w:szCs w:val="21"/>
        </w:rPr>
        <w:t xml:space="preserve"/>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These eight systems are the physics the spine operates under. They are not optional layers added for complexity. They are the conditions that determine whether the spine’s output is mechanically functional (the bare minimum), experientially engaging (the target), or meaningfully transformative (the peak). The spine produces situations. The regulatory systems determine whether those situations produce stories.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2026-04-15T01:58:05.387Z</dcterms:created>
  <dcterms:modified xsi:type="dcterms:W3CDTF">2026-04-15T01:58:05.388Z</dcterms:modified>
</cp:coreProperties>
</file>

<file path=docProps/custom.xml><?xml version="1.0" encoding="utf-8"?>
<Properties xmlns="http://schemas.openxmlformats.org/officeDocument/2006/custom-properties" xmlns:vt="http://schemas.openxmlformats.org/officeDocument/2006/docPropsVTypes"/>
</file>