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PROFILING COMPANIONS GUIDE</w:t>
      </w:r>
    </w:p>
    <w:p>
      <w:pPr>
        <w:spacing w:after="30"/>
        <w:jc w:val="center"/>
      </w:pPr>
      <w:r>
        <w:rPr>
          <w:rFonts w:ascii="Garamond" w:cs="Garamond" w:eastAsia="Garamond" w:hAnsi="Garamond"/>
          <w:color w:val="666666"/>
          <w:sz w:val="24"/>
          <w:szCs w:val="24"/>
        </w:rPr>
        <w:t xml:space="preserve">Extending the Schema to Every Entity</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1B — Vertebra 1: Schema (Companion)</w:t>
      </w:r>
    </w:p>
    <w:p>
      <w:pPr>
        <w:spacing w:after="500"/>
        <w:jc w:val="center"/>
      </w:pPr>
      <w:r>
        <w:rPr>
          <w:rFonts w:ascii="Garamond" w:cs="Garamond" w:eastAsia="Garamond" w:hAnsi="Garamond"/>
          <w:i/>
          <w:iCs/>
          <w:color w:val="999999"/>
          <w:sz w:val="18"/>
          <w:szCs w:val="18"/>
        </w:rPr>
        <w:t xml:space="preserve">The universal character sheet applied beyond individual characters</w:t>
      </w:r>
    </w:p>
    <w:p>
      <w:r>
        <w:br w:type="page"/>
      </w:r>
    </w:p>
    <w:p>
      <w:pPr>
        <w:pStyle w:val="Heading1"/>
        <w:spacing w:after="140" w:before="300"/>
      </w:pPr>
      <w:r>
        <w:rPr>
          <w:rFonts w:ascii="Garamond" w:cs="Garamond" w:eastAsia="Garamond" w:hAnsi="Garamond"/>
          <w:b/>
          <w:bCs/>
          <w:color w:val="1A1A2E"/>
        </w:rPr>
        <w:t xml:space="preserve">THE PRINCIPLE</w:t>
      </w:r>
    </w:p>
    <w:p>
      <w:pPr>
        <w:spacing w:after="100" w:line="276"/>
      </w:pPr>
      <w:r>
        <w:rPr>
          <w:rFonts w:ascii="Garamond" w:cs="Garamond" w:eastAsia="Garamond" w:hAnsi="Garamond"/>
          <w:b w:val="false"/>
          <w:bCs w:val="false"/>
          <w:i w:val="false"/>
          <w:iCs w:val="false"/>
          <w:color w:val="333333"/>
          <w:sz w:val="21"/>
          <w:szCs w:val="21"/>
        </w:rPr>
        <w:t xml:space="preserve">Everything uses the same character sheet. The same profiling instrument. The same pressure extraction. The same Fulcrum Point generation. The same spine. Player characters, NPCs, institutions, territories, and gods are all entities with internal complexity that generates narrative energy proportional to their contradictions.</w:t>
      </w:r>
    </w:p>
    <w:p>
      <w:pPr>
        <w:spacing w:after="100" w:line="276"/>
      </w:pPr>
      <w:r>
        <w:rPr>
          <w:rFonts w:ascii="Garamond" w:cs="Garamond" w:eastAsia="Garamond" w:hAnsi="Garamond"/>
          <w:b w:val="false"/>
          <w:bCs w:val="false"/>
          <w:i w:val="false"/>
          <w:iCs w:val="false"/>
          <w:color w:val="333333"/>
          <w:sz w:val="21"/>
          <w:szCs w:val="21"/>
        </w:rPr>
        <w:t xml:space="preserve">This document does not define new instruments. It applies the Psyche Schema (Document 1A) to entity types other than individual characters. The architecture is identical at every scale. The content changes. The instrument is universal. The perception filter determines which lens the operator views it through.</w:t>
      </w:r>
    </w:p>
    <w:p>
      <w:pPr>
        <w:spacing w:after="100" w:line="276"/>
      </w:pPr>
      <w:r>
        <w:rPr>
          <w:rFonts w:ascii="Garamond" w:cs="Garamond" w:eastAsia="Garamond" w:hAnsi="Garamond"/>
          <w:b w:val="false"/>
          <w:bCs w:val="false"/>
          <w:i w:val="false"/>
          <w:iCs w:val="false"/>
          <w:color w:val="333333"/>
          <w:sz w:val="21"/>
          <w:szCs w:val="21"/>
        </w:rPr>
        <w:t xml:space="preserve">Each entity type maps onto the Schema differently — an institution does not have a Heart’s Compass in the same way a person does. But each entity type produces the same diagnostic outputs: outlier values, asymmetric splits, and pattern breaks that generate Fulcrum Points and drive the derivation procedure at Vertebra 2 (Pressure Points) and Vertebra 3 (Fronts).</w:t>
      </w:r>
    </w:p>
    <w:p>
      <w:r>
        <w:br w:type="page"/>
      </w:r>
    </w:p>
    <w:p>
      <w:pPr>
        <w:pStyle w:val="Heading1"/>
        <w:spacing w:after="140" w:before="300"/>
      </w:pPr>
      <w:r>
        <w:rPr>
          <w:rFonts w:ascii="Garamond" w:cs="Garamond" w:eastAsia="Garamond" w:hAnsi="Garamond"/>
          <w:b/>
          <w:bCs/>
          <w:color w:val="1A1A2E"/>
        </w:rPr>
        <w:t xml:space="preserve">PROFILING PLAYERS</w:t>
      </w:r>
    </w:p>
    <w:p>
      <w:pPr>
        <w:spacing w:after="50" w:line="276"/>
      </w:pPr>
      <w:r>
        <w:rPr>
          <w:rFonts w:ascii="Garamond" w:cs="Garamond" w:eastAsia="Garamond" w:hAnsi="Garamond"/>
          <w:b w:val="false"/>
          <w:bCs w:val="false"/>
          <w:i w:val="false"/>
          <w:iCs w:val="false"/>
          <w:color w:val="333333"/>
          <w:sz w:val="21"/>
          <w:szCs w:val="21"/>
        </w:rPr>
        <w:t xml:space="preserve">The player is not their character. The player is a participant in the campfire with their own engagement patterns, preferences, and needs. Profiling the player tells the GM what kind of fuel to add to the fire so this participant stays engaged.</w:t>
      </w:r>
    </w:p>
    <w:p>
      <w:pPr>
        <w:pStyle w:val="Heading2"/>
        <w:spacing w:after="100" w:before="220"/>
      </w:pPr>
      <w:r>
        <w:rPr>
          <w:rFonts w:ascii="Garamond" w:cs="Garamond" w:eastAsia="Garamond" w:hAnsi="Garamond"/>
          <w:b/>
          <w:bCs/>
          <w:color w:val="2B2B4B"/>
        </w:rPr>
        <w:t xml:space="preserve">Player Types (Robin Laws)</w:t>
      </w:r>
    </w:p>
    <w:p>
      <w:pPr>
        <w:spacing w:after="100" w:line="276"/>
      </w:pPr>
      <w:r>
        <w:rPr>
          <w:rFonts w:ascii="Garamond" w:cs="Garamond" w:eastAsia="Garamond" w:hAnsi="Garamond"/>
          <w:b w:val="false"/>
          <w:bCs w:val="false"/>
          <w:i w:val="false"/>
          <w:iCs w:val="false"/>
          <w:color w:val="333333"/>
          <w:sz w:val="21"/>
          <w:szCs w:val="21"/>
        </w:rPr>
        <w:t xml:space="preserve">Six engagement profiles describing what each player seeks from the game. Most players are composites of two or three types with one dominant. The profile is read from observed behavior across 3-6 sessions, not from asking the player directly. What they engage with reveals their type more reliably than what they say they want.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Butt-Kicker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Wants decisive physical action. Engages most during combat, chases, and confrontations. Disengages during extended planning, investigation, or social negotiation. Feed with: situations where hitting things is the obvious AND correct solution. Create encounter designs that let them shine physically.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Tactician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Wants puzzles, plans, and optimization. Engages most when analyzing options, designing approaches, and executing strategies. Disengages during roleplay-heavy scenes or railroaded outcomes. Feed with: tactical information, multiple valid approaches, and respect for their plans.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Method Actor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Wants character moments and emotional scenes. Engages most during NPC interactions, moral dilemmas, and situations that test their character’s personality. Disengages during mechanical combat or content that doesn’t touch their character concept. Feed with: situations that press on their character’s beliefs and instincts.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Storyteller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Wants dramatic narrative. Engages most during plot revelations, climactic moments, and scenes with thematic weight. Disengages during routine encounters or mechanics-heavy sessions. Feed with: consequences that matter, revelations that recontextualize, and dramatic structure.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Power Gamer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Wants mechanical mastery and character growth. Engages most during character advancement, loot acquisition, and situations that reward system knowledge. Disengages during scenes where mechanical skill is irrelevant. Feed with: mechanical challenges that reward optimization and character investment.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Casual Player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Wants to participate without pressure. Engages most when included in the group’s activity without being forced to lead. Disengages when put on the spot or required to drive the session. Feed with: a role in the group’s plans without the burden of inventing the plans.</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Player Profiling as Pressure Points</w:t>
      </w:r>
    </w:p>
    <w:p>
      <w:pPr>
        <w:spacing w:after="100" w:line="276"/>
      </w:pPr>
      <w:r>
        <w:rPr>
          <w:rFonts w:ascii="Garamond" w:cs="Garamond" w:eastAsia="Garamond" w:hAnsi="Garamond"/>
          <w:b w:val="false"/>
          <w:bCs w:val="false"/>
          <w:i w:val="false"/>
          <w:iCs w:val="false"/>
          <w:color w:val="333333"/>
          <w:sz w:val="21"/>
          <w:szCs w:val="21"/>
        </w:rPr>
        <w:t xml:space="preserve">Each player’s type IS a pressure point in the table’s collective Schema. A table with three Butt-Kickers and one Method Actor has an asymmetric split — the Method Actor’s needs are suppressed by the dominant engagement mode. That suppression generates pressure that, if unaddressed, produces disengagement (the Method Actor stops attending) or conflict (the Method Actor disrupts combat-heavy sessions seeking character moments).</w:t>
      </w:r>
    </w:p>
    <w:p>
      <w:pPr>
        <w:spacing w:after="100" w:line="276"/>
      </w:pPr>
      <w:r>
        <w:rPr>
          <w:rFonts w:ascii="Garamond" w:cs="Garamond" w:eastAsia="Garamond" w:hAnsi="Garamond"/>
          <w:b w:val="false"/>
          <w:bCs w:val="false"/>
          <w:i w:val="false"/>
          <w:iCs w:val="false"/>
          <w:color w:val="333333"/>
          <w:sz w:val="21"/>
          <w:szCs w:val="21"/>
        </w:rPr>
        <w:t xml:space="preserve">The GM’s job is to feed all types every session. Not equally — proportionally. The dominant type gets the most fuel. The minority types get enough to sustain engagement. A session that feeds only one type is a session that loses everyone else. The player profile determines the fuel mix, not the session structure.</w:t>
      </w:r>
    </w:p>
    <w:p>
      <w:pPr>
        <w:pStyle w:val="Heading2"/>
        <w:spacing w:after="100" w:before="220"/>
      </w:pPr>
      <w:r>
        <w:rPr>
          <w:rFonts w:ascii="Garamond" w:cs="Garamond" w:eastAsia="Garamond" w:hAnsi="Garamond"/>
          <w:b/>
          <w:bCs/>
          <w:color w:val="2B2B4B"/>
        </w:rPr>
        <w:t xml:space="preserve">Fulcrum Point Analog</w:t>
      </w:r>
    </w:p>
    <w:p>
      <w:pPr>
        <w:spacing w:after="100" w:line="276"/>
      </w:pPr>
      <w:r>
        <w:rPr>
          <w:rFonts w:ascii="Garamond" w:cs="Garamond" w:eastAsia="Garamond" w:hAnsi="Garamond"/>
          <w:b w:val="false"/>
          <w:bCs w:val="false"/>
          <w:i w:val="false"/>
          <w:iCs w:val="false"/>
          <w:color w:val="333333"/>
          <w:sz w:val="21"/>
          <w:szCs w:val="21"/>
        </w:rPr>
        <w:t xml:space="preserve">Players do not generate Fulcrum Points. Their characters do. But the player’s type determines HOW they spend. A Tactician spends FP on Distance 0 (boosting tactical outcomes). A Method Actor spends FP on Distance 1-2 (revealing pressure points or placing character-relevant seeds). A Storyteller spends FP on Distance 2-3 (manipulating clocks and relationship edges for dramatic effect). The player’s type shapes the spend pattern, not the generation.</w:t>
      </w:r>
    </w:p>
    <w:p>
      <w:r>
        <w:br w:type="page"/>
      </w:r>
    </w:p>
    <w:p>
      <w:pPr>
        <w:pStyle w:val="Heading1"/>
        <w:spacing w:after="140" w:before="300"/>
      </w:pPr>
      <w:r>
        <w:rPr>
          <w:rFonts w:ascii="Garamond" w:cs="Garamond" w:eastAsia="Garamond" w:hAnsi="Garamond"/>
          <w:b/>
          <w:bCs/>
          <w:color w:val="1A1A2E"/>
        </w:rPr>
        <w:t xml:space="preserve">PROFILING TABLES</w:t>
      </w:r>
    </w:p>
    <w:p>
      <w:pPr>
        <w:spacing w:after="50" w:line="276"/>
      </w:pPr>
      <w:r>
        <w:rPr>
          <w:rFonts w:ascii="Garamond" w:cs="Garamond" w:eastAsia="Garamond" w:hAnsi="Garamond"/>
          <w:b w:val="false"/>
          <w:bCs w:val="false"/>
          <w:i w:val="false"/>
          <w:iCs w:val="false"/>
          <w:color w:val="333333"/>
          <w:sz w:val="21"/>
          <w:szCs w:val="21"/>
        </w:rPr>
        <w:t xml:space="preserve">The table is a group with its own creative agenda, distinct from the individuals composing it. GNS Theory (Ron Edwards) profiles the GROUP’s collective optimization target.</w:t>
      </w:r>
    </w:p>
    <w:p>
      <w:pPr>
        <w:pStyle w:val="Heading2"/>
        <w:spacing w:after="100" w:before="220"/>
      </w:pPr>
      <w:r>
        <w:rPr>
          <w:rFonts w:ascii="Garamond" w:cs="Garamond" w:eastAsia="Garamond" w:hAnsi="Garamond"/>
          <w:b/>
          <w:bCs/>
          <w:color w:val="2B2B4B"/>
        </w:rPr>
        <w:t xml:space="preserve">GNS Theory: The Three Creative Agendas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Gamism</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table optimizes for challenge and triumph. Encounters are tests of player skill. Character builds matter. Tactical decisions matter. The satisfaction comes from overcoming difficulty through competent play. The system’s mechanical depth is the product.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Narrativism</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table optimizes for meaningful choice and thematic weight. Moral dilemmas matter. Character arcs matter. The satisfaction comes from making decisions that reveal what the characters (and by extension the players) believe. The story’s emotional impact is the product.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Simulationism</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table optimizes for internal consistency and world logic. The setting’s rules must be coherent. Consequences must follow logically. The satisfaction comes from a world that behaves predictably according to its own established physics. The setting’s believability is the product.</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Most tables are composites with one dominant agenda. The dominant agenda determines which regulatory systems the table prioritizes: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Gamist tables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Weight the Information Economy heavily — information is a tactical resource. The Smoothing Effect is an obstacle to overcome. Transportation is secondary to mechanical engagement.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Narrativist tables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Weight Transportation heavily — the fictional dream must be protected. The Smoothing Effect supports verisimilitude. Information Economy serves dramatic pacing rather than tactical advantage.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Simulationist tables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Weight Schema Theory (Bartlett) heavily — internal consistency is paramount. The Smoothing Effect IS the physics. Information Economy serves world logic rather than dramatic or tactical needs.</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Table Profile as Meta-Schema</w:t>
      </w:r>
    </w:p>
    <w:p>
      <w:pPr>
        <w:spacing w:after="100" w:line="276"/>
      </w:pPr>
      <w:r>
        <w:rPr>
          <w:rFonts w:ascii="Garamond" w:cs="Garamond" w:eastAsia="Garamond" w:hAnsi="Garamond"/>
          <w:b w:val="false"/>
          <w:bCs w:val="false"/>
          <w:i w:val="false"/>
          <w:iCs w:val="false"/>
          <w:color w:val="333333"/>
          <w:sz w:val="21"/>
          <w:szCs w:val="21"/>
        </w:rPr>
        <w:t xml:space="preserve">The table’s GNS profile is a meta-Schema that governs how the spine’s regulatory systems are prioritized. It does not determine WHAT the spine produces — the same fronts, clocks, and symptoms operate regardless of creative agenda. It determines HOW the table RECEIVES those outputs. A Gamist table encountering the same symptom as a Narrativist table will investigate it differently, engage with it through different mechanics, and judge the session’s success by different criteria.</w:t>
      </w:r>
    </w:p>
    <w:p>
      <w:pPr>
        <w:spacing w:after="100" w:line="276"/>
      </w:pPr>
      <w:r>
        <w:rPr>
          <w:rFonts w:ascii="Garamond" w:cs="Garamond" w:eastAsia="Garamond" w:hAnsi="Garamond"/>
          <w:b w:val="false"/>
          <w:bCs w:val="false"/>
          <w:i w:val="false"/>
          <w:iCs w:val="false"/>
          <w:color w:val="333333"/>
          <w:sz w:val="21"/>
          <w:szCs w:val="21"/>
        </w:rPr>
        <w:t xml:space="preserve">The GM reads the table’s GNS profile the same way they read an NPC’s Schema — through observed behavior, not through asking. Which sessions produced the most engagement? Which moments did the table remember afterward? Which moments fell flat? The engagement pattern reveals the creative agenda more reliably than any conversation about preferences.</w:t>
      </w:r>
    </w:p>
    <w:p>
      <w:r>
        <w:br w:type="page"/>
      </w:r>
    </w:p>
    <w:p>
      <w:pPr>
        <w:pStyle w:val="Heading1"/>
        <w:spacing w:after="140" w:before="300"/>
      </w:pPr>
      <w:r>
        <w:rPr>
          <w:rFonts w:ascii="Garamond" w:cs="Garamond" w:eastAsia="Garamond" w:hAnsi="Garamond"/>
          <w:b/>
          <w:bCs/>
          <w:color w:val="1A1A2E"/>
        </w:rPr>
        <w:t xml:space="preserve">PROFILING INSTITUTIONS</w:t>
      </w:r>
    </w:p>
    <w:p>
      <w:pPr>
        <w:spacing w:after="50" w:line="276"/>
      </w:pPr>
      <w:r>
        <w:rPr>
          <w:rFonts w:ascii="Garamond" w:cs="Garamond" w:eastAsia="Garamond" w:hAnsi="Garamond"/>
          <w:b w:val="false"/>
          <w:bCs w:val="false"/>
          <w:i w:val="false"/>
          <w:iCs w:val="false"/>
          <w:color w:val="333333"/>
          <w:sz w:val="21"/>
          <w:szCs w:val="21"/>
        </w:rPr>
        <w:t xml:space="preserve">An institution has a Schema. Not metaphorically. The institution’s operational philosophy produces outlier values, asymmetric splits, and pattern breaks that generate Fulcrum Points and drive fronts exactly as a character’s Schema does.</w:t>
      </w:r>
    </w:p>
    <w:p>
      <w:pPr>
        <w:pStyle w:val="Heading2"/>
        <w:spacing w:after="100" w:before="220"/>
      </w:pPr>
      <w:r>
        <w:rPr>
          <w:rFonts w:ascii="Garamond" w:cs="Garamond" w:eastAsia="Garamond" w:hAnsi="Garamond"/>
          <w:b/>
          <w:bCs/>
          <w:color w:val="2B2B4B"/>
        </w:rPr>
        <w:t xml:space="preserve">The Institutional Schema</w:t>
      </w:r>
    </w:p>
    <w:p>
      <w:pPr>
        <w:spacing w:after="100" w:line="276"/>
      </w:pPr>
      <w:r>
        <w:rPr>
          <w:rFonts w:ascii="Garamond" w:cs="Garamond" w:eastAsia="Garamond" w:hAnsi="Garamond"/>
          <w:b w:val="false"/>
          <w:bCs w:val="false"/>
          <w:i w:val="false"/>
          <w:iCs w:val="false"/>
          <w:color w:val="333333"/>
          <w:sz w:val="21"/>
          <w:szCs w:val="21"/>
        </w:rPr>
        <w:t xml:space="preserve">An institution’s Schema is constructed from three sources:</w:t>
      </w:r>
    </w:p>
    <w:p>
      <w:pPr>
        <w:spacing w:after="100" w:line="276"/>
      </w:pPr>
      <w:r>
        <w:rPr>
          <w:rFonts w:ascii="Garamond" w:cs="Garamond" w:eastAsia="Garamond" w:hAnsi="Garamond"/>
          <w:b/>
          <w:bCs/>
          <w:color w:val="1A1A2E"/>
          <w:sz w:val="21"/>
          <w:szCs w:val="21"/>
        </w:rPr>
        <w:t xml:space="preserve">Founding Philosophy: </w:t>
      </w:r>
      <w:r>
        <w:rPr>
          <w:rFonts w:ascii="Garamond" w:cs="Garamond" w:eastAsia="Garamond" w:hAnsi="Garamond"/>
          <w:b w:val="false"/>
          <w:bCs w:val="false"/>
          <w:i w:val="false"/>
          <w:iCs w:val="false"/>
          <w:color w:val="333333"/>
          <w:sz w:val="21"/>
          <w:szCs w:val="21"/>
        </w:rPr>
        <w:t xml:space="preserve">The institution’s official charter, values statement, or founding philosophy maps onto the Core Philosophy dimensions. A college founded on abjuration principles (Deepguard) has high Nomos scores. Its Themis/Lex balance reveals whether the institution prioritizes the spirit or the letter of its mandate. A mercantile guild (Sovereign Exchange) has high Valorin scores. Its Mercatus/Credo balance reveals whether the institution prioritizes fair exchange or predatory extraction.</w:t>
      </w:r>
    </w:p>
    <w:p>
      <w:pPr>
        <w:spacing w:after="100" w:line="276"/>
      </w:pPr>
      <w:r>
        <w:rPr>
          <w:rFonts w:ascii="Garamond" w:cs="Garamond" w:eastAsia="Garamond" w:hAnsi="Garamond"/>
          <w:b/>
          <w:bCs/>
          <w:color w:val="1A1A2E"/>
          <w:sz w:val="21"/>
          <w:szCs w:val="21"/>
        </w:rPr>
        <w:t xml:space="preserve">Operational Reality: </w:t>
      </w:r>
      <w:r>
        <w:rPr>
          <w:rFonts w:ascii="Garamond" w:cs="Garamond" w:eastAsia="Garamond" w:hAnsi="Garamond"/>
          <w:b w:val="false"/>
          <w:bCs w:val="false"/>
          <w:i w:val="false"/>
          <w:iCs w:val="false"/>
          <w:color w:val="333333"/>
          <w:sz w:val="21"/>
          <w:szCs w:val="21"/>
        </w:rPr>
        <w:t xml:space="preserve">How the institution actually behaves — distinct from what it claims to value. The gap between charter and practice IS the institutional Goffman gap. Every institution has a front stage (the public mission) and a back stage (the covert operations, the institutional self-interest, the compromises that keep it functioning). Praxis Collegium’s front stage is humanitarian coordination. Its back stage is comprehensive surveillance disguised as interrelated jobs.</w:t>
      </w:r>
    </w:p>
    <w:p>
      <w:pPr>
        <w:spacing w:after="100" w:line="276"/>
      </w:pPr>
      <w:r>
        <w:rPr>
          <w:rFonts w:ascii="Garamond" w:cs="Garamond" w:eastAsia="Garamond" w:hAnsi="Garamond"/>
          <w:b/>
          <w:bCs/>
          <w:color w:val="1A1A2E"/>
          <w:sz w:val="21"/>
          <w:szCs w:val="21"/>
        </w:rPr>
        <w:t xml:space="preserve">Internal Factions: </w:t>
      </w:r>
      <w:r>
        <w:rPr>
          <w:rFonts w:ascii="Garamond" w:cs="Garamond" w:eastAsia="Garamond" w:hAnsi="Garamond"/>
          <w:b w:val="false"/>
          <w:bCs w:val="false"/>
          <w:i w:val="false"/>
          <w:iCs w:val="false"/>
          <w:color w:val="333333"/>
          <w:sz w:val="21"/>
          <w:szCs w:val="21"/>
        </w:rPr>
        <w:t xml:space="preserve">Which of the institution’s internal factions are in tension. A monolithic institution with total internal alignment is rare and generates minimal FP. An institution riven by competing philosophies — the Sovereign Exchange’s Mercatus faction against its Credo faction — generates enormous institutional FP from the irreconcilable tension at its core.</w:t>
      </w:r>
    </w:p>
    <w:p>
      <w:pPr>
        <w:pStyle w:val="Heading2"/>
        <w:spacing w:after="100" w:before="220"/>
      </w:pPr>
      <w:r>
        <w:rPr>
          <w:rFonts w:ascii="Garamond" w:cs="Garamond" w:eastAsia="Garamond" w:hAnsi="Garamond"/>
          <w:b/>
          <w:bCs/>
          <w:color w:val="2B2B4B"/>
        </w:rPr>
        <w:t xml:space="preserve">Reading the Institutional Schema</w:t>
      </w:r>
    </w:p>
    <w:p>
      <w:pPr>
        <w:spacing w:after="100" w:line="276"/>
      </w:pPr>
      <w:r>
        <w:rPr>
          <w:rFonts w:ascii="Garamond" w:cs="Garamond" w:eastAsia="Garamond" w:hAnsi="Garamond"/>
          <w:b w:val="false"/>
          <w:bCs w:val="false"/>
          <w:i w:val="false"/>
          <w:iCs w:val="false"/>
          <w:color w:val="333333"/>
          <w:sz w:val="21"/>
          <w:szCs w:val="21"/>
        </w:rPr>
        <w:t xml:space="preserve">The same three diagnostic reads apply:</w:t>
      </w:r>
    </w:p>
    <w:p>
      <w:pPr>
        <w:spacing w:after="100" w:line="276"/>
      </w:pPr>
      <w:r>
        <w:rPr>
          <w:rFonts w:ascii="Garamond" w:cs="Garamond" w:eastAsia="Garamond" w:hAnsi="Garamond"/>
          <w:b/>
          <w:bCs/>
          <w:color w:val="1A1A2E"/>
          <w:sz w:val="21"/>
          <w:szCs w:val="21"/>
        </w:rPr>
        <w:t xml:space="preserve">Outliers: </w:t>
      </w:r>
      <w:r>
        <w:rPr>
          <w:rFonts w:ascii="Garamond" w:cs="Garamond" w:eastAsia="Garamond" w:hAnsi="Garamond"/>
          <w:b w:val="false"/>
          <w:bCs w:val="false"/>
          <w:i w:val="false"/>
          <w:iCs w:val="false"/>
          <w:color w:val="333333"/>
          <w:sz w:val="21"/>
          <w:szCs w:val="21"/>
        </w:rPr>
        <w:t xml:space="preserve">Institutional values that are extreme produce outliers. Stormpeak’s Bellum Hegemon scores are load-bearing — the institution would cease to exist without its martial identity. That extremity generates FP because the world constantly presents situations where martial identity is insufficient (diplomatic crises, civilian governance, peacetime malaise).</w:t>
      </w:r>
    </w:p>
    <w:p>
      <w:pPr>
        <w:spacing w:after="100" w:line="276"/>
      </w:pPr>
      <w:r>
        <w:rPr>
          <w:rFonts w:ascii="Garamond" w:cs="Garamond" w:eastAsia="Garamond" w:hAnsi="Garamond"/>
          <w:b/>
          <w:bCs/>
          <w:color w:val="1A1A2E"/>
          <w:sz w:val="21"/>
          <w:szCs w:val="21"/>
        </w:rPr>
        <w:t xml:space="preserve">Asymmetric Splits: </w:t>
      </w:r>
      <w:r>
        <w:rPr>
          <w:rFonts w:ascii="Garamond" w:cs="Garamond" w:eastAsia="Garamond" w:hAnsi="Garamond"/>
          <w:b w:val="false"/>
          <w:bCs w:val="false"/>
          <w:i w:val="false"/>
          <w:iCs w:val="false"/>
          <w:color w:val="333333"/>
          <w:sz w:val="21"/>
          <w:szCs w:val="21"/>
        </w:rPr>
        <w:t xml:space="preserve">The gap between the institution’s two strongest values. Mortis Ævum’s tension between its overt medical mission and its covert truth-keeping function produces an asymmetric split — the institution simultaneously serves life AND manages the architecture of death. The split generates FP because every operational decision must balance both mandates.</w:t>
      </w:r>
    </w:p>
    <w:p>
      <w:pPr>
        <w:spacing w:after="100" w:line="276"/>
      </w:pPr>
      <w:r>
        <w:rPr>
          <w:rFonts w:ascii="Garamond" w:cs="Garamond" w:eastAsia="Garamond" w:hAnsi="Garamond"/>
          <w:b/>
          <w:bCs/>
          <w:color w:val="1A1A2E"/>
          <w:sz w:val="21"/>
          <w:szCs w:val="21"/>
        </w:rPr>
        <w:t xml:space="preserve">Pattern Breaks: </w:t>
      </w:r>
      <w:r>
        <w:rPr>
          <w:rFonts w:ascii="Garamond" w:cs="Garamond" w:eastAsia="Garamond" w:hAnsi="Garamond"/>
          <w:b w:val="false"/>
          <w:bCs w:val="false"/>
          <w:i w:val="false"/>
          <w:iCs w:val="false"/>
          <w:color w:val="333333"/>
          <w:sz w:val="21"/>
          <w:szCs w:val="21"/>
        </w:rPr>
        <w:t xml:space="preserve">Behaviors that contradict the institutional charter. A humanitarian institution conducting surveillance (Praxis). A commercial institution enforcing justice (Sovereign Exchange under certain headmasters). Each break generates FP because the contradiction demands energy to maintain.</w:t>
      </w:r>
    </w:p>
    <w:p>
      <w:pPr>
        <w:pStyle w:val="Heading2"/>
        <w:spacing w:after="100" w:before="220"/>
      </w:pPr>
      <w:r>
        <w:rPr>
          <w:rFonts w:ascii="Garamond" w:cs="Garamond" w:eastAsia="Garamond" w:hAnsi="Garamond"/>
          <w:b/>
          <w:bCs/>
          <w:color w:val="2B2B4B"/>
        </w:rPr>
        <w:t xml:space="preserve">Institutional Fulcrum Points</w:t>
      </w:r>
    </w:p>
    <w:p>
      <w:pPr>
        <w:spacing w:after="100" w:line="276"/>
      </w:pPr>
      <w:r>
        <w:rPr>
          <w:rFonts w:ascii="Garamond" w:cs="Garamond" w:eastAsia="Garamond" w:hAnsi="Garamond"/>
          <w:b w:val="false"/>
          <w:bCs w:val="false"/>
          <w:i w:val="false"/>
          <w:iCs w:val="false"/>
          <w:color w:val="333333"/>
          <w:sz w:val="21"/>
          <w:szCs w:val="21"/>
        </w:rPr>
        <w:t xml:space="preserve">The institution’s FP pool is generated by its Schema’s pressure points, the same formula as individual characters. The FP are spent by whoever is OPERATING the institution at the moment — the headmaster, the faction taking its turn, the front’s driving NPC. When Kyril takes a faction turn action on behalf of Mortis Ævum, he draws from BOTH his personal FP pool (generated by his personal Schema) AND the institutional FP pool (generated by the college’s institutional tensions). He is powerful because he is a complex person running a complex institution. Both generate energy. Both fuel his actions.</w:t>
      </w:r>
    </w:p>
    <w:p>
      <w:pPr>
        <w:spacing w:after="100" w:line="276"/>
      </w:pPr>
      <w:r>
        <w:rPr>
          <w:rFonts w:ascii="Garamond" w:cs="Garamond" w:eastAsia="Garamond" w:hAnsi="Garamond"/>
          <w:b w:val="false"/>
          <w:bCs w:val="false"/>
          <w:i w:val="false"/>
          <w:iCs w:val="false"/>
          <w:color w:val="333333"/>
          <w:sz w:val="21"/>
          <w:szCs w:val="21"/>
        </w:rPr>
        <w:t xml:space="preserve">A simple guild with a straightforward mission and no internal contradictions generates minimal institutional FP. It can take basic faction turn actions but cannot do anything surprising. An institution riven by internal politics, competing factions, and ideological splits generates enormous institutional FP. The internal chaos is mechanically dangerous because it is narratively energetic.</w:t>
      </w:r>
    </w:p>
    <w:p>
      <w:pPr>
        <w:pStyle w:val="Heading2"/>
        <w:spacing w:after="100" w:before="220"/>
      </w:pPr>
      <w:r>
        <w:rPr>
          <w:rFonts w:ascii="Garamond" w:cs="Garamond" w:eastAsia="Garamond" w:hAnsi="Garamond"/>
          <w:b/>
          <w:bCs/>
          <w:color w:val="2B2B4B"/>
        </w:rPr>
        <w:t xml:space="preserve">The Nine Colleges as Institutional Profiles</w:t>
      </w:r>
    </w:p>
    <w:p>
      <w:pPr>
        <w:spacing w:after="100" w:line="276"/>
      </w:pPr>
      <w:r>
        <w:rPr>
          <w:rFonts w:ascii="Garamond" w:cs="Garamond" w:eastAsia="Garamond" w:hAnsi="Garamond"/>
          <w:b w:val="false"/>
          <w:bCs w:val="false"/>
          <w:i w:val="false"/>
          <w:iCs w:val="false"/>
          <w:color w:val="333333"/>
          <w:sz w:val="21"/>
          <w:szCs w:val="21"/>
        </w:rPr>
        <w:t xml:space="preserve">Each college’s initiation, persistent test, master state, and failure state (see College Initiations Canon) constitute its institutional Schema. The initiation defines the founding philosophy. The persistent test defines the operational reality. The master state defines the ideal expression. The failure state defines the institutional back stage — what happens when the institution’s process fails and produces slag instead of masters. The gap between master and slag IS the institutional Goffman gap.</w:t>
      </w:r>
    </w:p>
    <w:p>
      <w:r>
        <w:br w:type="page"/>
      </w:r>
    </w:p>
    <w:p>
      <w:pPr>
        <w:pStyle w:val="Heading1"/>
        <w:spacing w:after="140" w:before="300"/>
      </w:pPr>
      <w:r>
        <w:rPr>
          <w:rFonts w:ascii="Garamond" w:cs="Garamond" w:eastAsia="Garamond" w:hAnsi="Garamond"/>
          <w:b/>
          <w:bCs/>
          <w:color w:val="1A1A2E"/>
        </w:rPr>
        <w:t xml:space="preserve">PROFILING TERRITORIES</w:t>
      </w:r>
    </w:p>
    <w:p>
      <w:pPr>
        <w:spacing w:after="50" w:line="276"/>
      </w:pPr>
      <w:r>
        <w:rPr>
          <w:rFonts w:ascii="Garamond" w:cs="Garamond" w:eastAsia="Garamond" w:hAnsi="Garamond"/>
          <w:b w:val="false"/>
          <w:bCs w:val="false"/>
          <w:i w:val="false"/>
          <w:iCs w:val="false"/>
          <w:color w:val="333333"/>
          <w:sz w:val="21"/>
          <w:szCs w:val="21"/>
        </w:rPr>
        <w:t xml:space="preserve">A territory has a Schema-equivalent constructed from three systems: its Zoetrope position, its isotope profile, and its institutional landscape.</w:t>
      </w:r>
    </w:p>
    <w:p>
      <w:pPr>
        <w:pStyle w:val="Heading2"/>
        <w:spacing w:after="100" w:before="220"/>
      </w:pPr>
      <w:r>
        <w:rPr>
          <w:rFonts w:ascii="Garamond" w:cs="Garamond" w:eastAsia="Garamond" w:hAnsi="Garamond"/>
          <w:b/>
          <w:bCs/>
          <w:color w:val="2B2B4B"/>
        </w:rPr>
        <w:t xml:space="preserve">Zoetrope Position as Core Philosophy</w:t>
      </w:r>
    </w:p>
    <w:p>
      <w:pPr>
        <w:spacing w:after="100" w:line="276"/>
      </w:pPr>
      <w:r>
        <w:rPr>
          <w:rFonts w:ascii="Garamond" w:cs="Garamond" w:eastAsia="Garamond" w:hAnsi="Garamond"/>
          <w:b w:val="false"/>
          <w:bCs w:val="false"/>
          <w:i w:val="false"/>
          <w:iCs w:val="false"/>
          <w:color w:val="333333"/>
          <w:sz w:val="21"/>
          <w:szCs w:val="21"/>
        </w:rPr>
        <w:t xml:space="preserve">The Political Zoetrope’s 16-position civilizational lifecycle IS the territory’s Core Philosophy equivalent. Each position describes the territory’s current governance philosophy, economic structure, and social contract. The directional pressures pulling the territory toward adjacent positions are the territorial equivalent of paired-dimension tension.</w:t>
      </w:r>
    </w:p>
    <w:p>
      <w:pPr>
        <w:spacing w:after="100" w:line="276"/>
      </w:pPr>
      <w:r>
        <w:rPr>
          <w:rFonts w:ascii="Garamond" w:cs="Garamond" w:eastAsia="Garamond" w:hAnsi="Garamond"/>
          <w:b w:val="false"/>
          <w:bCs w:val="false"/>
          <w:i w:val="false"/>
          <w:iCs w:val="false"/>
          <w:color w:val="333333"/>
          <w:sz w:val="21"/>
          <w:szCs w:val="21"/>
        </w:rPr>
        <w:t xml:space="preserve">A territory at Zoetrope Position 8 (commercial ascendancy) has high Valorin scores by definition — the society’s organizing principle is trade. The Mercatus/Credo balance at Position 8 depends on whether the commercial ascendancy is producing shared prosperity (Mercatus-dominant) or concentrated wealth (Credo-dominant). The transition pressure toward Position 9 or back toward Position 7 IS the territory’s asymmetric split — the forces pulling the society in competing directions.</w:t>
      </w:r>
    </w:p>
    <w:p>
      <w:pPr>
        <w:pStyle w:val="Heading2"/>
        <w:spacing w:after="100" w:before="220"/>
      </w:pPr>
      <w:r>
        <w:rPr>
          <w:rFonts w:ascii="Garamond" w:cs="Garamond" w:eastAsia="Garamond" w:hAnsi="Garamond"/>
          <w:b/>
          <w:bCs/>
          <w:color w:val="2B2B4B"/>
        </w:rPr>
        <w:t xml:space="preserve">Isotope Profile as Resource Landscape</w:t>
      </w:r>
    </w:p>
    <w:p>
      <w:pPr>
        <w:spacing w:after="100" w:line="276"/>
      </w:pPr>
      <w:r>
        <w:rPr>
          <w:rFonts w:ascii="Garamond" w:cs="Garamond" w:eastAsia="Garamond" w:hAnsi="Garamond"/>
          <w:b w:val="false"/>
          <w:bCs w:val="false"/>
          <w:i w:val="false"/>
          <w:iCs w:val="false"/>
          <w:color w:val="333333"/>
          <w:sz w:val="21"/>
          <w:szCs w:val="21"/>
        </w:rPr>
        <w:t xml:space="preserve">The 104 isotopes across five planes distributed across the territory’s geography determine what resources exist, who can access them, and which types of action the territory supports. A territory rich in Verdant Font isotopes supports biological operations (Wildpath methodology). A territory rich in Palimpsest isotopes supports information operations (Chronosynclastic methodology). The isotope distribution constrains what fronts CAN do by determining what materials they have access to.</w:t>
      </w:r>
    </w:p>
    <w:p>
      <w:pPr>
        <w:spacing w:after="100" w:line="276"/>
      </w:pPr>
      <w:r>
        <w:rPr>
          <w:rFonts w:ascii="Garamond" w:cs="Garamond" w:eastAsia="Garamond" w:hAnsi="Garamond"/>
          <w:b w:val="false"/>
          <w:bCs w:val="false"/>
          <w:i w:val="false"/>
          <w:iCs w:val="false"/>
          <w:color w:val="333333"/>
          <w:sz w:val="21"/>
          <w:szCs w:val="21"/>
        </w:rPr>
        <w:t xml:space="preserve">Isotope distribution asymmetries ARE territorial pressure points. A territory with abundant Borderlands isotopes but depleted Verdant Font isotopes has a resource split — physical infrastructure is abundant but biological resources are scarce. That scarcity generates fronts (who controls the scarce resource?) and clocks (how quickly is the scarcity worsening?).</w:t>
      </w:r>
    </w:p>
    <w:p>
      <w:pPr>
        <w:pStyle w:val="Heading2"/>
        <w:spacing w:after="100" w:before="220"/>
      </w:pPr>
      <w:r>
        <w:rPr>
          <w:rFonts w:ascii="Garamond" w:cs="Garamond" w:eastAsia="Garamond" w:hAnsi="Garamond"/>
          <w:b/>
          <w:bCs/>
          <w:color w:val="2B2B4B"/>
        </w:rPr>
        <w:t xml:space="preserve">Institutional Landscape as Operational Context</w:t>
      </w:r>
    </w:p>
    <w:p>
      <w:pPr>
        <w:spacing w:after="100" w:line="276"/>
      </w:pPr>
      <w:r>
        <w:rPr>
          <w:rFonts w:ascii="Garamond" w:cs="Garamond" w:eastAsia="Garamond" w:hAnsi="Garamond"/>
          <w:b w:val="false"/>
          <w:bCs w:val="false"/>
          <w:i w:val="false"/>
          <w:iCs w:val="false"/>
          <w:color w:val="333333"/>
          <w:sz w:val="21"/>
          <w:szCs w:val="21"/>
        </w:rPr>
        <w:t xml:space="preserve">Which colleges, guilds, and governments operate in the territory determines the institutional dimension of the territorial Schema. A territory with three competing colleges has a richer institutional Schema (more pressure points, more FP) than one dominated by a single institution. The inter-institutional tensions within the territory are the territorial equivalent of the Heart’s Compass — the emotional architecture is replaced by the relational architecture of competing institutional interests.</w:t>
      </w:r>
    </w:p>
    <w:p>
      <w:pPr>
        <w:pStyle w:val="Heading2"/>
        <w:spacing w:after="100" w:before="220"/>
      </w:pPr>
      <w:r>
        <w:rPr>
          <w:rFonts w:ascii="Garamond" w:cs="Garamond" w:eastAsia="Garamond" w:hAnsi="Garamond"/>
          <w:b/>
          <w:bCs/>
          <w:color w:val="2B2B4B"/>
        </w:rPr>
        <w:t xml:space="preserve">Territorial Fulcrum Points</w:t>
      </w:r>
    </w:p>
    <w:p>
      <w:pPr>
        <w:spacing w:after="100" w:line="276"/>
      </w:pPr>
      <w:r>
        <w:rPr>
          <w:rFonts w:ascii="Garamond" w:cs="Garamond" w:eastAsia="Garamond" w:hAnsi="Garamond"/>
          <w:b w:val="false"/>
          <w:bCs w:val="false"/>
          <w:i w:val="false"/>
          <w:iCs w:val="false"/>
          <w:color w:val="333333"/>
          <w:sz w:val="21"/>
          <w:szCs w:val="21"/>
        </w:rPr>
        <w:t xml:space="preserve">A stable territory at a comfortable Zoetrope position with no major factional conflicts generates few FP. Events are predictable. The spine models this territory easily. A territory in Zoetrope transition with competing institutional interests and asymmetric isotope distribution generates many FP. Surprising things happen constantly because the territory’s internal tensions create too many possible states for the spine to predict.</w:t>
      </w:r>
    </w:p>
    <w:p>
      <w:pPr>
        <w:spacing w:after="100" w:line="276"/>
      </w:pPr>
      <w:r>
        <w:rPr>
          <w:rFonts w:ascii="Garamond" w:cs="Garamond" w:eastAsia="Garamond" w:hAnsi="Garamond"/>
          <w:b w:val="false"/>
          <w:bCs w:val="false"/>
          <w:i w:val="false"/>
          <w:iCs w:val="false"/>
          <w:color w:val="333333"/>
          <w:sz w:val="21"/>
          <w:szCs w:val="21"/>
        </w:rPr>
        <w:t xml:space="preserve">Territorial FP are spent by whatever entity is interacting with the territory at that moment. The GM introduces the territory’s unpredictability through its FP — more FP means more unexpected events, more complications, more emergent situations. When the party enters a high-FP territory, the GM has a larger budget for injecting surprise. When they enter a low-FP territory, events unfold predictably. The territory’s complexity IS its narrative energy.</w:t>
      </w:r>
    </w:p>
    <w:p>
      <w:r>
        <w:br w:type="page"/>
      </w:r>
    </w:p>
    <w:p>
      <w:pPr>
        <w:pStyle w:val="Heading1"/>
        <w:spacing w:after="140" w:before="300"/>
      </w:pPr>
      <w:r>
        <w:rPr>
          <w:rFonts w:ascii="Garamond" w:cs="Garamond" w:eastAsia="Garamond" w:hAnsi="Garamond"/>
          <w:b/>
          <w:bCs/>
          <w:color w:val="1A1A2E"/>
        </w:rPr>
        <w:t xml:space="preserve">PROFILING GODS</w:t>
      </w:r>
    </w:p>
    <w:p>
      <w:pPr>
        <w:spacing w:after="50" w:line="276"/>
      </w:pPr>
      <w:r>
        <w:rPr>
          <w:rFonts w:ascii="Garamond" w:cs="Garamond" w:eastAsia="Garamond" w:hAnsi="Garamond"/>
          <w:b w:val="false"/>
          <w:bCs w:val="false"/>
          <w:i w:val="false"/>
          <w:iCs w:val="false"/>
          <w:color w:val="333333"/>
          <w:sz w:val="21"/>
          <w:szCs w:val="21"/>
        </w:rPr>
        <w:t xml:space="preserve">The gods have Schemas. The god documents (Aurelion, Moros, Daedalon, Nomos, Bellum Hegemon, Valorin, Agora, Verdena, Rhapsodia, Vestus, Kanon/Anima, the Selûnae, Thalassus, the Chorus, Aíon) each define a divine Schema through the god’s dual-aspect portfolio, institutional expressions, and internal tensions.</w:t>
      </w:r>
    </w:p>
    <w:p>
      <w:pPr>
        <w:pStyle w:val="Heading2"/>
        <w:spacing w:after="100" w:before="220"/>
      </w:pPr>
      <w:r>
        <w:rPr>
          <w:rFonts w:ascii="Garamond" w:cs="Garamond" w:eastAsia="Garamond" w:hAnsi="Garamond"/>
          <w:b/>
          <w:bCs/>
          <w:color w:val="2B2B4B"/>
        </w:rPr>
        <w:t xml:space="preserve">Divine Schema Architecture</w:t>
      </w:r>
    </w:p>
    <w:p>
      <w:pPr>
        <w:spacing w:after="100" w:line="276"/>
      </w:pPr>
      <w:r>
        <w:rPr>
          <w:rFonts w:ascii="Garamond" w:cs="Garamond" w:eastAsia="Garamond" w:hAnsi="Garamond"/>
          <w:b w:val="false"/>
          <w:bCs w:val="false"/>
          <w:i w:val="false"/>
          <w:iCs w:val="false"/>
          <w:color w:val="333333"/>
          <w:sz w:val="21"/>
          <w:szCs w:val="21"/>
        </w:rPr>
        <w:t xml:space="preserve">A god’s Schema is defined by its paired aspects. Each god owns one dimension of the Core Philosophy. The god’s relationship to its own two faces IS its Schema:</w:t>
      </w:r>
    </w:p>
    <w:p>
      <w:pPr>
        <w:spacing w:after="100" w:line="276"/>
      </w:pPr>
      <w:r>
        <w:rPr>
          <w:rFonts w:ascii="Garamond" w:cs="Garamond" w:eastAsia="Garamond" w:hAnsi="Garamond"/>
          <w:b/>
          <w:bCs/>
          <w:color w:val="1A1A2E"/>
          <w:sz w:val="21"/>
          <w:szCs w:val="21"/>
        </w:rPr>
        <w:t xml:space="preserve">Harmonious Faces: </w:t>
      </w:r>
      <w:r>
        <w:rPr>
          <w:rFonts w:ascii="Garamond" w:cs="Garamond" w:eastAsia="Garamond" w:hAnsi="Garamond"/>
          <w:b w:val="false"/>
          <w:bCs w:val="false"/>
          <w:i w:val="false"/>
          <w:iCs w:val="false"/>
          <w:color w:val="333333"/>
          <w:sz w:val="21"/>
          <w:szCs w:val="21"/>
        </w:rPr>
        <w:t xml:space="preserve">A god whose two faces are in harmony generates minimal FP. The god is stable. Its portfolio is coherent. Its mortal agents operate without internal conflict from the divine source.</w:t>
      </w:r>
    </w:p>
    <w:p>
      <w:pPr>
        <w:spacing w:after="100" w:line="276"/>
      </w:pPr>
      <w:r>
        <w:rPr>
          <w:rFonts w:ascii="Garamond" w:cs="Garamond" w:eastAsia="Garamond" w:hAnsi="Garamond"/>
          <w:b/>
          <w:bCs/>
          <w:color w:val="1A1A2E"/>
          <w:sz w:val="21"/>
          <w:szCs w:val="21"/>
        </w:rPr>
        <w:t xml:space="preserve">Tense Faces: </w:t>
      </w:r>
      <w:r>
        <w:rPr>
          <w:rFonts w:ascii="Garamond" w:cs="Garamond" w:eastAsia="Garamond" w:hAnsi="Garamond"/>
          <w:b w:val="false"/>
          <w:bCs w:val="false"/>
          <w:i w:val="false"/>
          <w:iCs w:val="false"/>
          <w:color w:val="333333"/>
          <w:sz w:val="21"/>
          <w:szCs w:val="21"/>
        </w:rPr>
        <w:t xml:space="preserve">A god whose two faces are in tension generates enormous FP. Valorin’s Mercatus (fair trade) versus Credo (predatory extraction) are irreconcilable. The god IS the tension. Bellum Hegemon’s Kaelen (productive conflict) versus Bellax (suffering) are in permanent competition. Kanon versus Anima are two separate gods in structural opposition. Each tension generates divine FP that flows through the god’s mortal agents and institutional expressions.</w:t>
      </w:r>
    </w:p>
    <w:p>
      <w:pPr>
        <w:pStyle w:val="Heading2"/>
        <w:spacing w:after="100" w:before="220"/>
      </w:pPr>
      <w:r>
        <w:rPr>
          <w:rFonts w:ascii="Garamond" w:cs="Garamond" w:eastAsia="Garamond" w:hAnsi="Garamond"/>
          <w:b/>
          <w:bCs/>
          <w:color w:val="2B2B4B"/>
        </w:rPr>
        <w:t xml:space="preserve">Divine Fulcrum Points</w:t>
      </w:r>
    </w:p>
    <w:p>
      <w:pPr>
        <w:spacing w:after="100" w:line="276"/>
      </w:pPr>
      <w:r>
        <w:rPr>
          <w:rFonts w:ascii="Garamond" w:cs="Garamond" w:eastAsia="Garamond" w:hAnsi="Garamond"/>
          <w:b w:val="false"/>
          <w:bCs w:val="false"/>
          <w:i w:val="false"/>
          <w:iCs w:val="false"/>
          <w:color w:val="333333"/>
          <w:sz w:val="21"/>
          <w:szCs w:val="21"/>
        </w:rPr>
        <w:t xml:space="preserve">Divine FP flow DOWNWARD through the institutional hierarchy. The god’s internal tension generates FP. Those FP are available to the god’s mortal agents (Saints, Legends, clergy, initiated practitioners) through their divine resonance. A character whose Schema scores align strongly with a tense god has access to more divine FP than a character aligned with a harmonious god — not because the tense god is more powerful, but because its internal contradictions generate more narrative energy that its resonant mortals can channel.</w:t>
      </w:r>
    </w:p>
    <w:p>
      <w:pPr>
        <w:spacing w:after="100" w:line="276"/>
      </w:pPr>
      <w:r>
        <w:rPr>
          <w:rFonts w:ascii="Garamond" w:cs="Garamond" w:eastAsia="Garamond" w:hAnsi="Garamond"/>
          <w:b w:val="false"/>
          <w:bCs w:val="false"/>
          <w:i w:val="false"/>
          <w:iCs w:val="false"/>
          <w:color w:val="333333"/>
          <w:sz w:val="21"/>
          <w:szCs w:val="21"/>
        </w:rPr>
        <w:t xml:space="preserve">This means the gods who are most interesting narratively are also most mechanically potent through their mortal agents. The dramatic gods — the ones whose portfolios contain irreconcilable tensions — produce more FP than the stable gods. This is correct by design. The campfire burns brightest with fuel that contains internal energy.</w:t>
      </w:r>
    </w:p>
    <w:p>
      <w:pPr>
        <w:pStyle w:val="Heading2"/>
        <w:spacing w:after="100" w:before="220"/>
      </w:pPr>
      <w:r>
        <w:rPr>
          <w:rFonts w:ascii="Garamond" w:cs="Garamond" w:eastAsia="Garamond" w:hAnsi="Garamond"/>
          <w:b/>
          <w:bCs/>
          <w:color w:val="2B2B4B"/>
        </w:rPr>
        <w:t xml:space="preserve">Aíon as Special Case</w:t>
      </w:r>
    </w:p>
    <w:p>
      <w:pPr>
        <w:spacing w:after="100" w:line="276"/>
      </w:pPr>
      <w:r>
        <w:rPr>
          <w:rFonts w:ascii="Garamond" w:cs="Garamond" w:eastAsia="Garamond" w:hAnsi="Garamond"/>
          <w:b w:val="false"/>
          <w:bCs w:val="false"/>
          <w:i w:val="false"/>
          <w:iCs w:val="false"/>
          <w:color w:val="333333"/>
          <w:sz w:val="21"/>
          <w:szCs w:val="21"/>
        </w:rPr>
        <w:t xml:space="preserve">Aíon’s FP generation is theoretically infinite because Aíon’s Schema encompasses the tension between TWO MERGED SETTINGS. The contradiction at the foundation of reality itself. The Smoothing Effect is Aíon continuously spending FP to maintain coherence — infinite narrative energy allocated to preventing the world from tearing apart at the seams.</w:t>
      </w:r>
    </w:p>
    <w:p>
      <w:pPr>
        <w:spacing w:after="100" w:line="276"/>
      </w:pPr>
      <w:r>
        <w:rPr>
          <w:rFonts w:ascii="Garamond" w:cs="Garamond" w:eastAsia="Garamond" w:hAnsi="Garamond"/>
          <w:b w:val="false"/>
          <w:bCs w:val="false"/>
          <w:i w:val="false"/>
          <w:iCs w:val="false"/>
          <w:color w:val="333333"/>
          <w:sz w:val="21"/>
          <w:szCs w:val="21"/>
        </w:rPr>
        <w:t xml:space="preserve">When a participant spends FP to override the Smoothing Effect (Distance ∞), they are momentarily outspending Aíon’s continuous maintenance expenditure at one specific point. The Smoothing Effect reasserts because Aíon’s generation is functionally infinite. The participant punched through momentarily, and the maintenance resumes. The deferred consequence of overriding Smoothing is Aíon’s architecture noticing the discontinuity and responding.</w:t>
      </w:r>
    </w:p>
    <w:p>
      <w:r>
        <w:br w:type="page"/>
      </w:r>
    </w:p>
    <w:p>
      <w:pPr>
        <w:pStyle w:val="Heading1"/>
        <w:spacing w:after="140" w:before="300"/>
      </w:pPr>
      <w:r>
        <w:rPr>
          <w:rFonts w:ascii="Garamond" w:cs="Garamond" w:eastAsia="Garamond" w:hAnsi="Garamond"/>
          <w:b/>
          <w:bCs/>
          <w:color w:val="1A1A2E"/>
        </w:rPr>
        <w:t xml:space="preserve">THE UNIVERSAL APPLICATION</w:t>
      </w:r>
    </w:p>
    <w:p>
      <w:pPr>
        <w:spacing w:after="50" w:line="276"/>
      </w:pPr>
      <w:r>
        <w:rPr>
          <w:rFonts w:ascii="Garamond" w:cs="Garamond" w:eastAsia="Garamond" w:hAnsi="Garamond"/>
          <w:b w:val="false"/>
          <w:bCs w:val="false"/>
          <w:i w:val="false"/>
          <w:iCs w:val="false"/>
          <w:color w:val="333333"/>
          <w:sz w:val="21"/>
          <w:szCs w:val="21"/>
        </w:rPr>
        <w:t xml:space="preserve">Every entity type produces the same diagnostic outputs through the same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2760"/>
      </w:tblGrid>
      <w:tr>
        <w:tc>
          <w:tcPr>
            <w:tcW w:type="dxa" w:w="1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Output</w:t>
            </w:r>
          </w:p>
        </w:tc>
        <w:tc>
          <w:tcPr>
            <w:tcW w:type="dxa" w:w="17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Character</w:t>
            </w:r>
          </w:p>
        </w:tc>
        <w:tc>
          <w:tcPr>
            <w:tcW w:type="dxa" w:w="17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Institution</w:t>
            </w:r>
          </w:p>
        </w:tc>
        <w:tc>
          <w:tcPr>
            <w:tcW w:type="dxa" w:w="17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Territory</w:t>
            </w:r>
          </w:p>
        </w:tc>
        <w:tc>
          <w:tcPr>
            <w:tcW w:type="dxa" w:w="27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God</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Outliers</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Score &gt;80 or &lt;20</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Extreme institutional values</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Dominant Zoetrope position pressure</w:t>
            </w:r>
          </w:p>
        </w:tc>
        <w:tc>
          <w:tcPr>
            <w:tcW w:type="dxa" w:w="2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Dominant aspect face</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Splits</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Paired gap &gt;50 pts</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Charter vs. practice gap</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Resource distribution asymmetry</w:t>
            </w:r>
          </w:p>
        </w:tc>
        <w:tc>
          <w:tcPr>
            <w:tcW w:type="dxa" w:w="2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Irreconcilable aspect tension</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Breaks</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Score contradicts expected profile</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Behavior contradicts charter</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Institution contradicts position</w:t>
            </w:r>
          </w:p>
        </w:tc>
        <w:tc>
          <w:tcPr>
            <w:tcW w:type="dxa" w:w="2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Mortal expression contradicts portfolio</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FP per cycle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Count of above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Count of above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Count of above</w:t>
            </w:r>
          </w:p>
        </w:tc>
        <w:tc>
          <w:tcPr>
            <w:tcW w:type="dxa" w:w="2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Count of above</w:t>
            </w:r>
          </w:p>
        </w:tc>
      </w:tr>
      <w:tr>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Front source</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Personal tensions</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Institutional tensions</w:t>
            </w:r>
          </w:p>
        </w:tc>
        <w:tc>
          <w:tcPr>
            <w:tcW w:type="dxa" w:w="17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Factional competition</w:t>
            </w:r>
          </w:p>
        </w:tc>
        <w:tc>
          <w:tcPr>
            <w:tcW w:type="dxa" w:w="2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Aspect tension flowing to mortals</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Clock source</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Personal persistent test</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Institutional operations</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Zoetrope transition pressure</w:t>
            </w:r>
          </w:p>
        </w:tc>
        <w:tc>
          <w:tcPr>
            <w:tcW w:type="dxa" w:w="2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Generational aspect cycling</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spine does not change between scales. The content that feeds into each vertebra changes. A character’s outlier score and an institution’s extreme charter value enter the same pressure extraction procedure at Vertebra 2. A territory’s resource asymmetry and a god’s aspect tension enter the same front derivation at Vertebra 3. The instrument is universal. The entities are different. The architecture is identical.</w:t>
      </w:r>
    </w:p>
    <w:p>
      <w:pPr>
        <w:pStyle w:val="Heading2"/>
        <w:spacing w:after="100" w:before="220"/>
      </w:pPr>
      <w:r>
        <w:rPr>
          <w:rFonts w:ascii="Garamond" w:cs="Garamond" w:eastAsia="Garamond" w:hAnsi="Garamond"/>
          <w:b/>
          <w:bCs/>
          <w:color w:val="2B2B4B"/>
        </w:rPr>
        <w:t xml:space="preserve">Stacking: The Composite Entity</w:t>
      </w:r>
    </w:p>
    <w:p>
      <w:pPr>
        <w:spacing w:after="100" w:line="276"/>
      </w:pPr>
      <w:r>
        <w:rPr>
          <w:rFonts w:ascii="Garamond" w:cs="Garamond" w:eastAsia="Garamond" w:hAnsi="Garamond"/>
          <w:b w:val="false"/>
          <w:bCs w:val="false"/>
          <w:i w:val="false"/>
          <w:iCs w:val="false"/>
          <w:color w:val="333333"/>
          <w:sz w:val="21"/>
          <w:szCs w:val="21"/>
        </w:rPr>
        <w:t xml:space="preserve">An NPC operating within an institution within a territory under a god’s resonance is a COMPOSITE entity. Their available FP is the sum of all applicable pools:</w:t>
      </w:r>
    </w:p>
    <w:p>
      <w:pPr>
        <w:spacing w:after="100" w:line="276"/>
      </w:pPr>
      <w:r>
        <w:rPr>
          <w:rFonts w:ascii="Garamond" w:cs="Garamond" w:eastAsia="Garamond" w:hAnsi="Garamond"/>
          <w:b w:val="false"/>
          <w:bCs w:val="false"/>
          <w:i w:val="false"/>
          <w:iCs w:val="false"/>
          <w:color w:val="333333"/>
          <w:sz w:val="21"/>
          <w:szCs w:val="21"/>
        </w:rPr>
        <w:t xml:space="preserve">Personal FP (from their individual Schema) + Positional FP (from the role’s structural demands, per Document 1A Addendum) + Institutional FP (from the college’s internal tensions) + Territorial FP (from the region’s instability) + Divine FP (from the resonant god’s aspect tension, channeled through alignment).</w:t>
      </w:r>
    </w:p>
    <w:p>
      <w:pPr>
        <w:spacing w:after="100" w:line="276"/>
      </w:pPr>
      <w:r>
        <w:rPr>
          <w:rFonts w:ascii="Garamond" w:cs="Garamond" w:eastAsia="Garamond" w:hAnsi="Garamond"/>
          <w:b w:val="false"/>
          <w:bCs w:val="false"/>
          <w:i w:val="false"/>
          <w:iCs w:val="false"/>
          <w:color w:val="333333"/>
          <w:sz w:val="21"/>
          <w:szCs w:val="21"/>
        </w:rPr>
        <w:t xml:space="preserve">This stacking is why headmasters are the most narratively potent entities in the setting short of the gods themselves. A headmaster is a complex person (personal FP) in a demanding role (positional FP) running a contradictory institution (institutional FP) within a politically charged territory (territorial FP) resonating with a tense god (divine FP). Every layer compounds. Every layer generates energy. The composite entity’s narrative potency is the sum of all layers’ internal tensions.</w:t>
      </w:r>
    </w:p>
    <w:p>
      <w:pPr>
        <w:spacing w:after="100" w:line="276"/>
      </w:pPr>
      <w:r>
        <w:rPr>
          <w:rFonts w:ascii="Garamond" w:cs="Garamond" w:eastAsia="Garamond" w:hAnsi="Garamond"/>
          <w:b w:val="false"/>
          <w:bCs w:val="false"/>
          <w:i w:val="false"/>
          <w:iCs w:val="false"/>
          <w:color w:val="333333"/>
          <w:sz w:val="21"/>
          <w:szCs w:val="21"/>
        </w:rPr>
        <w:t xml:space="preserve">Adventurers participate in the same stacking. A Stormpeak-trained fighter operating in the Titanwood theater under Bellum Hegemon’s resonance has personal FP, the soldier role’s positional FP, Stormpeak’s institutional FP (accessed through their commission), the Titanwood’s territorial FP (high — the territory is in permanent instability), and Bellum Hegemon’s divine FP (moderate to high depending on the Kaelen/Bellax tension in their personal Schema alignment). The adventurer is not separate from the system. They are a participant in the same architecture that governs everything else.</w:t>
      </w:r>
    </w:p>
    <w:p>
      <w:r>
        <w:br w:type="page"/>
      </w:r>
    </w:p>
    <w:p>
      <w:pPr>
        <w:pStyle w:val="Heading1"/>
        <w:spacing w:after="140" w:before="300"/>
      </w:pPr>
      <w:r>
        <w:rPr>
          <w:rFonts w:ascii="Garamond" w:cs="Garamond" w:eastAsia="Garamond" w:hAnsi="Garamond"/>
          <w:b/>
          <w:bCs/>
          <w:color w:val="1A1A2E"/>
        </w:rPr>
        <w:t xml:space="preserve">PRACTICAL APPLICATION</w:t>
      </w:r>
    </w:p>
    <w:p>
      <w:pPr>
        <w:spacing w:after="50" w:line="276"/>
      </w:pPr>
      <w:r>
        <w:rPr>
          <w:rFonts w:ascii="Garamond" w:cs="Garamond" w:eastAsia="Garamond" w:hAnsi="Garamond"/>
          <w:b w:val="false"/>
          <w:bCs w:val="false"/>
          <w:i w:val="false"/>
          <w:iCs w:val="false"/>
          <w:color w:val="333333"/>
          <w:sz w:val="21"/>
          <w:szCs w:val="21"/>
        </w:rPr>
        <w:t xml:space="preserve">The GM does not need to calculate all stacking layers for every entity in every scene. The stacking model describes the architecture. At the table, the GM uses a simplified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Minor NPCs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Personal FP only. Use band assignment from the five-question shortcut (Document 1A). Typical range: 1-3 FP. Do not track. Assume they have just enough to surprise the party once.</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Notable NPCs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Personal + Positional FP. Track on the NPC Assessment Card. Typical range: 4-8 FP. These NPCs can make Distance 0-2 spends. They matter to the story.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Major NPCs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Full stack applicable. Personal + Positional + Institutional. Track on the front sheet. Typical range: 8-15+ FP. These NPCs can make Distance 2-3 spends. They shape the setting.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Territories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GM uses the territory’s FP budget to determine how much unpredictability to inject when the party is in that region. High-FP territories produce more oracle-driven events, more unexpected complications, more emergent situations. Low-FP territories are stable and predictable.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Institutional Actions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When a college takes a faction turn action, the institutional FP budget determines how much narrative energy the action has. A high-FP institution can produce surprising, ambitious, far-reaching faction turn results. A low-FP institution takes predictable, conservative actions.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Divine Influence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Divine FP flowing through resonant mortals is the mechanical expression of divine favor. The GM does not track divine FP explicitly. When a character invokes divine resonance (acting within the god’s portfolio), the GM considers whether the god’s aspect tension supports a dramatic outcome and adjudicates accordingly.</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stacking model exists so the GM understands WHY certain entities are more narratively potent than others. The practical application simplifies the model to three tiers of NPC tracking (minor, notable, major) and qualitative assessment for territories, institutions, and divine influence. The architecture is rigorous. The table experience is fluid.</w:t>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iCs/>
          <w:color w:val="888888"/>
          <w:sz w:val="21"/>
          <w:szCs w:val="21"/>
        </w:rPr>
        <w:t xml:space="preserve">This completes the Vertebra 1 documentation. Document 2A (Pressure Extraction Procedures) builds directly from the Schema outputs described here — the same diagnostic reads (outliers, splits, breaks) applied through the Ten Questions and stored on the NPC Assessment Card.</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2026-04-15T00:52:07.185Z</dcterms:created>
  <dcterms:modified xsi:type="dcterms:W3CDTF">2026-04-15T00:52:07.185Z</dcterms:modified>
</cp:coreProperties>
</file>

<file path=docProps/custom.xml><?xml version="1.0" encoding="utf-8"?>
<Properties xmlns="http://schemas.openxmlformats.org/officeDocument/2006/custom-properties" xmlns:vt="http://schemas.openxmlformats.org/officeDocument/2006/docPropsVTypes"/>
</file>