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0"/>
        <w:jc w:val="center"/>
      </w:pPr>
      <w:r>
        <w:rPr>
          <w:rFonts w:ascii="Garamond" w:cs="Garamond" w:eastAsia="Garamond" w:hAnsi="Garamond"/>
          <w:b/>
          <w:bCs/>
          <w:color w:val="1A1A2E"/>
          <w:sz w:val="48"/>
          <w:szCs w:val="48"/>
        </w:rPr>
        <w:t xml:space="preserve">PRESSURE EXTRACTION</w:t>
      </w:r>
    </w:p>
    <w:p>
      <w:pPr>
        <w:spacing w:after="30"/>
        <w:jc w:val="center"/>
      </w:pPr>
      <w:r>
        <w:rPr>
          <w:rFonts w:ascii="Garamond" w:cs="Garamond" w:eastAsia="Garamond" w:hAnsi="Garamond"/>
          <w:color w:val="666666"/>
          <w:sz w:val="24"/>
          <w:szCs w:val="24"/>
        </w:rPr>
        <w:t xml:space="preserve">Procedures for Reading Systems Under Stress</w:t>
      </w:r>
    </w:p>
    <w:p>
      <w:pPr>
        <w:pBdr>
          <w:bottom w:val="single" w:color="CCCCCC" w:sz="3" w:space="1"/>
        </w:pBdr>
        <w:spacing w:after="80" w:before="80"/>
      </w:pPr>
      <w:r>
        <w:rPr>
          <w:sz w:val="2"/>
          <w:szCs w:val="2"/>
        </w:rPr>
        <w:t xml:space="preserve"/>
      </w:r>
    </w:p>
    <w:p>
      <w:pPr>
        <w:spacing w:after="20"/>
        <w:jc w:val="center"/>
      </w:pPr>
      <w:r>
        <w:rPr>
          <w:rFonts w:ascii="Garamond" w:cs="Garamond" w:eastAsia="Garamond" w:hAnsi="Garamond"/>
          <w:color w:val="888888"/>
          <w:sz w:val="20"/>
          <w:szCs w:val="20"/>
        </w:rPr>
        <w:t xml:space="preserve">Document 2A — Vertebra 2: Pressure Points</w:t>
      </w:r>
    </w:p>
    <w:p>
      <w:pPr>
        <w:spacing w:after="500"/>
        <w:jc w:val="center"/>
      </w:pPr>
      <w:r>
        <w:rPr>
          <w:rFonts w:ascii="Garamond" w:cs="Garamond" w:eastAsia="Garamond" w:hAnsi="Garamond"/>
          <w:i/>
          <w:iCs/>
          <w:color w:val="999999"/>
          <w:sz w:val="18"/>
          <w:szCs w:val="18"/>
        </w:rPr>
        <w:t xml:space="preserve">The extraction methods, diagnostic tools, and storage procedures for the spine’s second vertebra</w:t>
      </w:r>
    </w:p>
    <w:p>
      <w:r>
        <w:br w:type="page"/>
      </w:r>
    </w:p>
    <w:p>
      <w:pPr>
        <w:pStyle w:val="Heading1"/>
        <w:spacing w:after="140" w:before="300"/>
      </w:pPr>
      <w:r>
        <w:rPr>
          <w:rFonts w:ascii="Garamond" w:cs="Garamond" w:eastAsia="Garamond" w:hAnsi="Garamond"/>
          <w:b/>
          <w:bCs/>
          <w:color w:val="1A1A2E"/>
        </w:rPr>
        <w:t xml:space="preserve">WHAT PRESSURE EXTRACTION IS</w:t>
      </w:r>
    </w:p>
    <w:p>
      <w:pPr>
        <w:spacing w:after="100" w:line="276"/>
      </w:pPr>
      <w:r>
        <w:rPr>
          <w:rFonts w:ascii="Garamond" w:cs="Garamond" w:eastAsia="Garamond" w:hAnsi="Garamond"/>
          <w:b w:val="false"/>
          <w:bCs w:val="false"/>
          <w:i w:val="false"/>
          <w:iCs w:val="false"/>
          <w:color w:val="333333"/>
          <w:sz w:val="21"/>
          <w:szCs w:val="21"/>
        </w:rPr>
        <w:t xml:space="preserve">Vertebra 2 reads Vertebra 1’s output for where the energy concentrates. The Schema (Document 1A) maps the internal landscape. Pressure extraction identifies the specific locations within that landscape where the terrain is unstable — the points where stress accumulates, contradictions surface, and narrative energy is generated.</w:t>
      </w:r>
    </w:p>
    <w:p>
      <w:pPr>
        <w:spacing w:after="100" w:line="276"/>
      </w:pPr>
      <w:r>
        <w:rPr>
          <w:rFonts w:ascii="Garamond" w:cs="Garamond" w:eastAsia="Garamond" w:hAnsi="Garamond"/>
          <w:b w:val="false"/>
          <w:bCs w:val="false"/>
          <w:i w:val="false"/>
          <w:iCs w:val="false"/>
          <w:color w:val="333333"/>
          <w:sz w:val="21"/>
          <w:szCs w:val="21"/>
        </w:rPr>
        <w:t xml:space="preserve">Every pressure point identified at this vertebra becomes a potential front at Vertebra 3, a potential clock at Vertebra 4, a potential seed at Vertebra 5, and a potential adventure at Vertebra 6. The quality of the spine’s output depends entirely on the quality of extraction at this step. Shallow extraction produces shallow stories. Thorough extraction produces stories that surprise even the GM who built them.</w:t>
      </w:r>
    </w:p>
    <w:p>
      <w:pPr>
        <w:spacing w:after="100" w:line="276"/>
      </w:pPr>
      <w:r>
        <w:rPr>
          <w:rFonts w:ascii="Garamond" w:cs="Garamond" w:eastAsia="Garamond" w:hAnsi="Garamond"/>
          <w:b w:val="false"/>
          <w:bCs w:val="false"/>
          <w:i w:val="false"/>
          <w:iCs w:val="false"/>
          <w:color w:val="333333"/>
          <w:sz w:val="21"/>
          <w:szCs w:val="21"/>
        </w:rPr>
        <w:t xml:space="preserve">Two instruments operate here: the Ten Questions (real-time extraction during play) and the Schema Diagnostic Reads (prep-phase extraction from completed profiles). Both feed into the NPC Assessment Card (persistent storage). Together they form a complete extraction apparatus — one tool for the moment, one for preparation, one for memory.</w:t>
      </w:r>
    </w:p>
    <w:p>
      <w:r>
        <w:br w:type="page"/>
      </w:r>
    </w:p>
    <w:p>
      <w:pPr>
        <w:pStyle w:val="Heading1"/>
        <w:spacing w:after="140" w:before="300"/>
      </w:pPr>
      <w:r>
        <w:rPr>
          <w:rFonts w:ascii="Garamond" w:cs="Garamond" w:eastAsia="Garamond" w:hAnsi="Garamond"/>
          <w:b/>
          <w:bCs/>
          <w:color w:val="1A1A2E"/>
        </w:rPr>
        <w:t xml:space="preserve">THE TEN QUESTIONS</w:t>
      </w:r>
    </w:p>
    <w:p>
      <w:pPr>
        <w:spacing w:after="50" w:line="276"/>
      </w:pPr>
      <w:r>
        <w:rPr>
          <w:rFonts w:ascii="Garamond" w:cs="Garamond" w:eastAsia="Garamond" w:hAnsi="Garamond"/>
          <w:b w:val="false"/>
          <w:bCs w:val="false"/>
          <w:i w:val="false"/>
          <w:iCs w:val="false"/>
          <w:color w:val="333333"/>
          <w:sz w:val="21"/>
          <w:szCs w:val="21"/>
        </w:rPr>
        <w:t xml:space="preserve">Same ten questions. Every situation. Every entity. Whether you are a player reading a room, a GM preparing a session, or a novelist deconstructing a scene. The questions are the real-time extraction method for identifying pressure in any system you are currently observing.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2400"/>
      </w:tblGrid>
      <w:tr>
        <w:tc>
          <w:tcPr>
            <w:tcW w:type="dxa" w:w="4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w:t>
            </w:r>
          </w:p>
        </w:tc>
        <w:tc>
          <w:tcPr>
            <w:tcW w:type="dxa" w:w="22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Question</w:t>
            </w:r>
          </w:p>
        </w:tc>
        <w:tc>
          <w:tcPr>
            <w:tcW w:type="dxa" w:w="436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What It Extracts</w:t>
            </w:r>
          </w:p>
        </w:tc>
        <w:tc>
          <w:tcPr>
            <w:tcW w:type="dxa" w:w="24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Pressure Type</w:t>
            </w:r>
          </w:p>
        </w:tc>
      </w:tr>
      <w:tr>
        <w:tc>
          <w:tcPr>
            <w:tcW w:type="dxa" w:w="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What does everyone here want?</w:t>
            </w:r>
          </w:p>
        </w:tc>
        <w:tc>
          <w:tcPr>
            <w:tcW w:type="dxa" w:w="43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Not what they say. What they actually want. Every entity at the table has an objective even if they have not articulated it. The gap between stated and actual want IS a pressure point.</w:t>
            </w:r>
          </w:p>
        </w:tc>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iCs/>
                <w:color w:val="333333"/>
                <w:sz w:val="18"/>
                <w:szCs w:val="18"/>
              </w:rPr>
              <w:t xml:space="preserve">Motivational</w:t>
            </w:r>
          </w:p>
        </w:tc>
      </w:tr>
      <w:tr>
        <w:tc>
          <w:tcPr>
            <w:tcW w:type="dxa" w:w="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2</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Who has the most to lose?</w:t>
            </w:r>
          </w:p>
        </w:tc>
        <w:tc>
          <w:tcPr>
            <w:tcW w:type="dxa" w:w="43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entity with the most at stake acts the most unpredictably. Their vulnerability is both a pressure point and a liability. The highest-stakes participant shapes the situation’s dynamics disproportionately.</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iCs/>
                <w:color w:val="333333"/>
                <w:sz w:val="18"/>
                <w:szCs w:val="18"/>
              </w:rPr>
              <w:t xml:space="preserve">Motivational</w:t>
            </w:r>
          </w:p>
        </w:tc>
      </w:tr>
      <w:tr>
        <w:tc>
          <w:tcPr>
            <w:tcW w:type="dxa" w:w="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3</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What’s the exit?</w:t>
            </w:r>
          </w:p>
        </w:tc>
        <w:tc>
          <w:tcPr>
            <w:tcW w:type="dxa" w:w="43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Before engaging, know how you leave. Conversation, combat, negotiation — the exit determines the shape of the engagement. An entity without an exit is cornered, and cornered entities are dangerous.</w:t>
            </w:r>
          </w:p>
        </w:tc>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iCs/>
                <w:color w:val="333333"/>
                <w:sz w:val="18"/>
                <w:szCs w:val="18"/>
              </w:rPr>
              <w:t xml:space="preserve">Positional</w:t>
            </w:r>
          </w:p>
        </w:tc>
      </w:tr>
      <w:tr>
        <w:tc>
          <w:tcPr>
            <w:tcW w:type="dxa" w:w="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4</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What do I know for certain versus what am I assuming?</w:t>
            </w:r>
          </w:p>
        </w:tc>
        <w:tc>
          <w:tcPr>
            <w:tcW w:type="dxa" w:w="43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Separate confirmed from inferred. Act on confirmed. Test inferred. The boundary between knowledge and assumption IS a pressure point because every assumption is a potential failure point.</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iCs/>
                <w:color w:val="333333"/>
                <w:sz w:val="18"/>
                <w:szCs w:val="18"/>
              </w:rPr>
              <w:t xml:space="preserve">Informational</w:t>
            </w:r>
          </w:p>
        </w:tc>
      </w:tr>
      <w:tr>
        <w:tc>
          <w:tcPr>
            <w:tcW w:type="dxa" w:w="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5</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What resource is being spent and by whom?</w:t>
            </w:r>
          </w:p>
        </w:tc>
        <w:tc>
          <w:tcPr>
            <w:tcW w:type="dxa" w:w="43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Time, spell slots, goodwill, patience, money, attention. Someone is always spending something. Identify the currency in play. Resource depletion generates urgency. The party spending the fastest is the party under the most pressure.</w:t>
            </w:r>
          </w:p>
        </w:tc>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iCs/>
                <w:color w:val="333333"/>
                <w:sz w:val="18"/>
                <w:szCs w:val="18"/>
              </w:rPr>
              <w:t xml:space="preserve">Resource</w:t>
            </w:r>
          </w:p>
        </w:tc>
      </w:tr>
      <w:tr>
        <w:tc>
          <w:tcPr>
            <w:tcW w:type="dxa" w:w="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6</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What happens if I do nothing?</w:t>
            </w:r>
          </w:p>
        </w:tc>
        <w:tc>
          <w:tcPr>
            <w:tcW w:type="dxa" w:w="43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default outcome. The Default Timeline for this specific moment. Sometimes the optimal action is letting the situation resolve itself while everyone else exhausts their options. The default outcome IS the pressure’s natural trajectory.</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iCs/>
                <w:color w:val="333333"/>
                <w:sz w:val="18"/>
                <w:szCs w:val="18"/>
              </w:rPr>
              <w:t xml:space="preserve">Positional</w:t>
            </w:r>
          </w:p>
        </w:tc>
      </w:tr>
      <w:tr>
        <w:tc>
          <w:tcPr>
            <w:tcW w:type="dxa" w:w="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7</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Who is performing and who is being genuine?</w:t>
            </w:r>
          </w:p>
        </w:tc>
        <w:tc>
          <w:tcPr>
            <w:tcW w:type="dxa" w:w="43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performer has an audience in mind. The genuine actor has an objective. Different leverage for each. The gap between performance and genuineness IS the Goffman gap — the front stage/back stage divide made observable in real time.</w:t>
            </w:r>
          </w:p>
        </w:tc>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iCs/>
                <w:color w:val="333333"/>
                <w:sz w:val="18"/>
                <w:szCs w:val="18"/>
              </w:rPr>
              <w:t xml:space="preserve">Motivational</w:t>
            </w:r>
          </w:p>
        </w:tc>
      </w:tr>
      <w:tr>
        <w:tc>
          <w:tcPr>
            <w:tcW w:type="dxa" w:w="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8</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What’s the second-order consequence?</w:t>
            </w:r>
          </w:p>
        </w:tc>
        <w:tc>
          <w:tcPr>
            <w:tcW w:type="dxa" w:w="43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Not what happens next — what does THAT cause? Every action produces a cascade. The second-order consequence is where the unexpected lives. Identifying it before it arrives converts surprise into preparation.</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iCs/>
                <w:color w:val="333333"/>
                <w:sz w:val="18"/>
                <w:szCs w:val="18"/>
              </w:rPr>
              <w:t xml:space="preserve">Resource</w:t>
            </w:r>
          </w:p>
        </w:tc>
      </w:tr>
      <w:tr>
        <w:tc>
          <w:tcPr>
            <w:tcW w:type="dxa" w:w="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9</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What don’t I know that I should?</w:t>
            </w:r>
          </w:p>
        </w:tc>
        <w:tc>
          <w:tcPr>
            <w:tcW w:type="dxa" w:w="43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intelligence gap. Name it before it names you. If you cannot identify what you are missing, you are not ready to commit. The gap itself IS a pressure point because operating without critical information is operating under risk.</w:t>
            </w:r>
          </w:p>
        </w:tc>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iCs/>
                <w:color w:val="333333"/>
                <w:sz w:val="18"/>
                <w:szCs w:val="18"/>
              </w:rPr>
              <w:t xml:space="preserve">Informational</w:t>
            </w:r>
          </w:p>
        </w:tc>
      </w:tr>
      <w:tr>
        <w:tc>
          <w:tcPr>
            <w:tcW w:type="dxa" w:w="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10</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Is this my problem?</w:t>
            </w:r>
          </w:p>
        </w:tc>
        <w:tc>
          <w:tcPr>
            <w:tcW w:type="dxa" w:w="43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Not every situation requires engagement. Knowing when to step back is as tactical as knowing when to engage. The relevance question filters which pressure points are worth investing in and which will resolve without intervention.</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iCs/>
                <w:color w:val="333333"/>
                <w:sz w:val="18"/>
                <w:szCs w:val="18"/>
              </w:rPr>
              <w:t xml:space="preserve">Relevance</w:t>
            </w:r>
          </w:p>
        </w:tc>
      </w:tr>
    </w:tbl>
    <w:p>
      <w:pPr>
        <w:spacing w:after="100" w:line="276"/>
      </w:pPr>
      <w:r>
        <w:rPr>
          <w:rFonts w:ascii="Garamond" w:cs="Garamond" w:eastAsia="Garamond" w:hAnsi="Garamond"/>
          <w:b w:val="false"/>
          <w:bCs w:val="false"/>
          <w:i w:val="false"/>
          <w:iCs w:val="false"/>
          <w:color w:val="333333"/>
          <w:sz w:val="21"/>
          <w:szCs w:val="21"/>
        </w:rPr>
        <w:t xml:space="preserve"/>
      </w:r>
    </w:p>
    <w:p>
      <w:pPr>
        <w:pStyle w:val="Heading2"/>
        <w:spacing w:after="100" w:before="220"/>
      </w:pPr>
      <w:r>
        <w:rPr>
          <w:rFonts w:ascii="Garamond" w:cs="Garamond" w:eastAsia="Garamond" w:hAnsi="Garamond"/>
          <w:b/>
          <w:bCs/>
          <w:color w:val="2B2B4B"/>
        </w:rPr>
        <w:t xml:space="preserve">The Five Pressure Types</w:t>
      </w:r>
    </w:p>
    <w:p>
      <w:pPr>
        <w:spacing w:after="100" w:line="276"/>
      </w:pPr>
      <w:r>
        <w:rPr>
          <w:rFonts w:ascii="Garamond" w:cs="Garamond" w:eastAsia="Garamond" w:hAnsi="Garamond"/>
          <w:b w:val="false"/>
          <w:bCs w:val="false"/>
          <w:i w:val="false"/>
          <w:iCs w:val="false"/>
          <w:color w:val="333333"/>
          <w:sz w:val="21"/>
          <w:szCs w:val="21"/>
        </w:rPr>
        <w:t xml:space="preserve">The ten questions cluster into five pressure categories. Each category reveals a different kind of instability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Motivational (Q1, Q2, Q7)</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What entities want, what they stand to lose, and whether they are showing their true objectives. Motivational pressure drives fronts — a motivated actor pursuing a hidden objective through a performed exterior IS a front in miniature.</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Positional (Q3, Q6)</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Where entities are in the situation’s topology and what happens if they do nothing. Positional pressure reveals the default trajectory and the exit options. Entities with no exit generate the most volatile pressure.</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Informational (Q4, Q9)</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What is known versus assumed, and what gaps exist. Informational pressure drives investigation — every identified gap is a lead, and every unidentified gap is a risk.</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Resource (Q5, Q8)</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What is being spent and what cascades from the expenditure. Resource pressure generates urgency and reveals timeline constraints. When resources run out, the situation changes state.</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Relevance (Q10)</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Whether this pressure belongs to the observer at all. The filter that prevents engagement with every pressure point. Some situations resolve themselves. Some situations are other entities’ problems. The relevance check prevents overextension.</w:t>
            </w:r>
          </w:p>
        </w:tc>
      </w:tr>
    </w:tbl>
    <w:p>
      <w:pPr>
        <w:spacing w:after="100" w:line="276"/>
      </w:pPr>
      <w:r>
        <w:rPr>
          <w:rFonts w:ascii="Garamond" w:cs="Garamond" w:eastAsia="Garamond" w:hAnsi="Garamond"/>
          <w:b w:val="false"/>
          <w:bCs w:val="false"/>
          <w:i w:val="false"/>
          <w:iCs w:val="false"/>
          <w:color w:val="333333"/>
          <w:sz w:val="21"/>
          <w:szCs w:val="21"/>
        </w:rPr>
        <w:t xml:space="preserve"/>
      </w:r>
    </w:p>
    <w:p>
      <w:pPr>
        <w:pStyle w:val="Heading2"/>
        <w:spacing w:after="100" w:before="220"/>
      </w:pPr>
      <w:r>
        <w:rPr>
          <w:rFonts w:ascii="Garamond" w:cs="Garamond" w:eastAsia="Garamond" w:hAnsi="Garamond"/>
          <w:b/>
          <w:bCs/>
          <w:color w:val="2B2B4B"/>
        </w:rPr>
        <w:t xml:space="preserve">Using the Questions at the Table</w:t>
      </w:r>
    </w:p>
    <w:p>
      <w:pPr>
        <w:spacing w:after="100" w:line="276"/>
      </w:pPr>
      <w:r>
        <w:rPr>
          <w:rFonts w:ascii="Garamond" w:cs="Garamond" w:eastAsia="Garamond" w:hAnsi="Garamond"/>
          <w:b w:val="false"/>
          <w:bCs w:val="false"/>
          <w:i w:val="false"/>
          <w:iCs w:val="false"/>
          <w:color w:val="333333"/>
          <w:sz w:val="21"/>
          <w:szCs w:val="21"/>
        </w:rPr>
        <w:t xml:space="preserve">The ten questions are not a checklist to work through sequentially. They are a diagnostic reflex. When a scene begins and the player or GM senses uncertainty about what is happening, the questions identify which specific uncertainty is generating the discomfort. Usually one or two questions produce the critical insight. The rest confirm what is already visible.</w:t>
      </w:r>
    </w:p>
    <w:p>
      <w:pPr>
        <w:spacing w:after="100" w:line="276"/>
      </w:pPr>
      <w:r>
        <w:rPr>
          <w:rFonts w:ascii="Garamond" w:cs="Garamond" w:eastAsia="Garamond" w:hAnsi="Garamond"/>
          <w:b/>
          <w:bCs/>
          <w:color w:val="1A1A2E"/>
          <w:sz w:val="21"/>
          <w:szCs w:val="21"/>
        </w:rPr>
        <w:t xml:space="preserve">For players: </w:t>
      </w:r>
      <w:r>
        <w:rPr>
          <w:rFonts w:ascii="Garamond" w:cs="Garamond" w:eastAsia="Garamond" w:hAnsi="Garamond"/>
          <w:b w:val="false"/>
          <w:bCs w:val="false"/>
          <w:i w:val="false"/>
          <w:iCs w:val="false"/>
          <w:color w:val="333333"/>
          <w:sz w:val="21"/>
          <w:szCs w:val="21"/>
        </w:rPr>
        <w:t xml:space="preserve">When the table stalls: run the ten questions internally. The question whose answer you cannot produce is the question that identifies the stall’s source. If you cannot identify what everyone wants (Q1), the motivational landscape is unclear — the situation lacks defined actors. If you cannot identify what happens if you do nothing (Q6), the default trajectory is unclear — the situation lacks urgency. If you cannot identify the gap (Q9), the informational landscape is opaque — the situation lacks investigable leads.</w:t>
      </w:r>
    </w:p>
    <w:p>
      <w:pPr>
        <w:spacing w:after="100" w:line="276"/>
      </w:pPr>
      <w:r>
        <w:rPr>
          <w:rFonts w:ascii="Garamond" w:cs="Garamond" w:eastAsia="Garamond" w:hAnsi="Garamond"/>
          <w:b/>
          <w:bCs/>
          <w:color w:val="1A1A2E"/>
          <w:sz w:val="21"/>
          <w:szCs w:val="21"/>
        </w:rPr>
        <w:t xml:space="preserve">For GMs: </w:t>
      </w:r>
      <w:r>
        <w:rPr>
          <w:rFonts w:ascii="Garamond" w:cs="Garamond" w:eastAsia="Garamond" w:hAnsi="Garamond"/>
          <w:b w:val="false"/>
          <w:bCs w:val="false"/>
          <w:i w:val="false"/>
          <w:iCs w:val="false"/>
          <w:color w:val="333333"/>
          <w:sz w:val="21"/>
          <w:szCs w:val="21"/>
        </w:rPr>
        <w:t xml:space="preserve">The ten questions generate the raw material for the NPC Assessment Card. Each NPC encountered during play should produce answers to at least Q1 (want), Q7 (performing or genuine), and Q4 (what’s confirmed versus assumed about them). These three answers populate the Card’s core fields.</w:t>
      </w:r>
    </w:p>
    <w:p>
      <w:r>
        <w:br w:type="page"/>
      </w:r>
    </w:p>
    <w:p>
      <w:pPr>
        <w:pStyle w:val="Heading1"/>
        <w:spacing w:after="140" w:before="300"/>
      </w:pPr>
      <w:r>
        <w:rPr>
          <w:rFonts w:ascii="Garamond" w:cs="Garamond" w:eastAsia="Garamond" w:hAnsi="Garamond"/>
          <w:b/>
          <w:bCs/>
          <w:color w:val="1A1A2E"/>
        </w:rPr>
        <w:t xml:space="preserve">THE SCHEMA DIAGNOSTIC READS</w:t>
      </w:r>
    </w:p>
    <w:p>
      <w:pPr>
        <w:spacing w:after="50" w:line="276"/>
      </w:pPr>
      <w:r>
        <w:rPr>
          <w:rFonts w:ascii="Garamond" w:cs="Garamond" w:eastAsia="Garamond" w:hAnsi="Garamond"/>
          <w:b w:val="false"/>
          <w:bCs w:val="false"/>
          <w:i w:val="false"/>
          <w:iCs w:val="false"/>
          <w:color w:val="333333"/>
          <w:sz w:val="21"/>
          <w:szCs w:val="21"/>
        </w:rPr>
        <w:t xml:space="preserve">The prep-phase extraction method. Applied to completed or partially completed Schemas before play begins. Three reads, each identifying a different type of pressure point.</w:t>
      </w:r>
    </w:p>
    <w:p>
      <w:pPr>
        <w:pStyle w:val="Heading2"/>
        <w:spacing w:after="100" w:before="220"/>
      </w:pPr>
      <w:r>
        <w:rPr>
          <w:rFonts w:ascii="Garamond" w:cs="Garamond" w:eastAsia="Garamond" w:hAnsi="Garamond"/>
          <w:b/>
          <w:bCs/>
          <w:color w:val="2B2B4B"/>
        </w:rPr>
        <w:t xml:space="preserve">Read 1: Outlier Detection</w:t>
      </w:r>
    </w:p>
    <w:p>
      <w:pPr>
        <w:spacing w:after="100" w:line="276"/>
      </w:pPr>
      <w:r>
        <w:rPr>
          <w:rFonts w:ascii="Garamond" w:cs="Garamond" w:eastAsia="Garamond" w:hAnsi="Garamond"/>
          <w:b/>
          <w:bCs/>
          <w:color w:val="1A1A2E"/>
          <w:sz w:val="21"/>
          <w:szCs w:val="21"/>
        </w:rPr>
        <w:t xml:space="preserve">Procedure: </w:t>
      </w:r>
      <w:r>
        <w:rPr>
          <w:rFonts w:ascii="Garamond" w:cs="Garamond" w:eastAsia="Garamond" w:hAnsi="Garamond"/>
          <w:b w:val="false"/>
          <w:bCs w:val="false"/>
          <w:i w:val="false"/>
          <w:iCs w:val="false"/>
          <w:color w:val="333333"/>
          <w:sz w:val="21"/>
          <w:szCs w:val="21"/>
        </w:rPr>
        <w:t xml:space="preserve">Scan every Schema score for values above 80 or below 20 (or Load-bearing / Absent bands for GM-generated NPCs). Each outlier is a pressure point.</w:t>
      </w:r>
    </w:p>
    <w:p>
      <w:pPr>
        <w:spacing w:after="100" w:line="276"/>
      </w:pPr>
      <w:r>
        <w:rPr>
          <w:rFonts w:ascii="Garamond" w:cs="Garamond" w:eastAsia="Garamond" w:hAnsi="Garamond"/>
          <w:b/>
          <w:bCs/>
          <w:color w:val="1A1A2E"/>
          <w:sz w:val="21"/>
          <w:szCs w:val="21"/>
        </w:rPr>
        <w:t xml:space="preserve">Why outliers generate pressure: </w:t>
      </w:r>
      <w:r>
        <w:rPr>
          <w:rFonts w:ascii="Garamond" w:cs="Garamond" w:eastAsia="Garamond" w:hAnsi="Garamond"/>
          <w:b w:val="false"/>
          <w:bCs w:val="false"/>
          <w:i w:val="false"/>
          <w:iCs w:val="false"/>
          <w:color w:val="333333"/>
          <w:sz w:val="21"/>
          <w:szCs w:val="21"/>
        </w:rPr>
        <w:t xml:space="preserve">High outliers (80+) are load-bearing convictions. The entity’s identity would collapse without this value. Reality constantly tests load-bearing convictions because the world does not accommodate extremes without friction. A character with Constantine 95 (Duty) is under permanent pressure because every situation presents competing claims on their attention that duty alone cannot resolve.</w:t>
      </w:r>
    </w:p>
    <w:p>
      <w:pPr>
        <w:spacing w:after="100" w:line="276"/>
      </w:pPr>
      <w:r>
        <w:rPr>
          <w:rFonts w:ascii="Garamond" w:cs="Garamond" w:eastAsia="Garamond" w:hAnsi="Garamond"/>
          <w:b w:val="false"/>
          <w:bCs w:val="false"/>
          <w:i w:val="false"/>
          <w:iCs w:val="false"/>
          <w:color w:val="333333"/>
          <w:sz w:val="21"/>
          <w:szCs w:val="21"/>
        </w:rPr>
        <w:t xml:space="preserve">Low outliers (below 20) are absent capacities. The entity cannot access this dimension when the situation demands it. A character with Corin 5 (Playfulness) has no mechanism for levity, stress relief, or perspective shift through humor. The absence is structural brittleness — the entity functions, but the missing dimension is a fault line that sufficient stress will expose.</w:t>
      </w:r>
    </w:p>
    <w:p>
      <w:pPr>
        <w:pStyle w:val="Heading2"/>
        <w:spacing w:after="100" w:before="220"/>
      </w:pPr>
      <w:r>
        <w:rPr>
          <w:rFonts w:ascii="Garamond" w:cs="Garamond" w:eastAsia="Garamond" w:hAnsi="Garamond"/>
          <w:b/>
          <w:bCs/>
          <w:color w:val="2B2B4B"/>
        </w:rPr>
        <w:t xml:space="preserve">Read 2: Asymmetric Split Identification</w:t>
      </w:r>
    </w:p>
    <w:p>
      <w:pPr>
        <w:spacing w:after="100" w:line="276"/>
      </w:pPr>
      <w:r>
        <w:rPr>
          <w:rFonts w:ascii="Garamond" w:cs="Garamond" w:eastAsia="Garamond" w:hAnsi="Garamond"/>
          <w:b/>
          <w:bCs/>
          <w:color w:val="1A1A2E"/>
          <w:sz w:val="21"/>
          <w:szCs w:val="21"/>
        </w:rPr>
        <w:t xml:space="preserve">Procedure: </w:t>
      </w:r>
      <w:r>
        <w:rPr>
          <w:rFonts w:ascii="Garamond" w:cs="Garamond" w:eastAsia="Garamond" w:hAnsi="Garamond"/>
          <w:b w:val="false"/>
          <w:bCs w:val="false"/>
          <w:i w:val="false"/>
          <w:iCs w:val="false"/>
          <w:color w:val="333333"/>
          <w:sz w:val="21"/>
          <w:szCs w:val="21"/>
        </w:rPr>
        <w:t xml:space="preserve">Scan every paired dimension for gaps exceeding 50 points between the two aspects. Each split is a pressure point.</w:t>
      </w:r>
    </w:p>
    <w:p>
      <w:pPr>
        <w:spacing w:after="100" w:line="276"/>
      </w:pPr>
      <w:r>
        <w:rPr>
          <w:rFonts w:ascii="Garamond" w:cs="Garamond" w:eastAsia="Garamond" w:hAnsi="Garamond"/>
          <w:b/>
          <w:bCs/>
          <w:color w:val="1A1A2E"/>
          <w:sz w:val="21"/>
          <w:szCs w:val="21"/>
        </w:rPr>
        <w:t xml:space="preserve">Why splits generate pressure: </w:t>
      </w:r>
      <w:r>
        <w:rPr>
          <w:rFonts w:ascii="Garamond" w:cs="Garamond" w:eastAsia="Garamond" w:hAnsi="Garamond"/>
          <w:b w:val="false"/>
          <w:bCs w:val="false"/>
          <w:i w:val="false"/>
          <w:iCs w:val="false"/>
          <w:color w:val="333333"/>
          <w:sz w:val="21"/>
          <w:szCs w:val="21"/>
        </w:rPr>
        <w:t xml:space="preserve">A split this large is not a preference. It is an emotional wound disguised as a philosophical position. Kyril’s Veritas 90 / Gnosis 15 (a 75-point gap) does not mean he merely prefers contextual knowledge over raw data. It means his relationship to decontextualized knowledge is so aversive that it distorts his judgment. He cannot engage with Gnosis-aligned situations rationally because the suppressed aspect is too far below access threshold.</w:t>
      </w:r>
    </w:p>
    <w:p>
      <w:pPr>
        <w:spacing w:after="100" w:line="276"/>
      </w:pPr>
      <w:r>
        <w:rPr>
          <w:rFonts w:ascii="Garamond" w:cs="Garamond" w:eastAsia="Garamond" w:hAnsi="Garamond"/>
          <w:b w:val="false"/>
          <w:bCs w:val="false"/>
          <w:i w:val="false"/>
          <w:iCs w:val="false"/>
          <w:color w:val="333333"/>
          <w:sz w:val="21"/>
          <w:szCs w:val="21"/>
        </w:rPr>
        <w:t xml:space="preserve">The world will inevitably present situations where the suppressed aspect is the correct response. When it does, the entity either fails (cannot access the needed capacity) or breaks (the suppressed aspect erupts uncontrolled). Both outcomes generate story. The asymmetric split is the most reliable front generator in the Schema because it guarantees that the world and the entity will eventually collide on the dimension the entity cannot handle.</w:t>
      </w:r>
    </w:p>
    <w:p>
      <w:pPr>
        <w:pStyle w:val="Heading2"/>
        <w:spacing w:after="100" w:before="220"/>
      </w:pPr>
      <w:r>
        <w:rPr>
          <w:rFonts w:ascii="Garamond" w:cs="Garamond" w:eastAsia="Garamond" w:hAnsi="Garamond"/>
          <w:b/>
          <w:bCs/>
          <w:color w:val="2B2B4B"/>
        </w:rPr>
        <w:t xml:space="preserve">Read 3: Pattern Break Recognition</w:t>
      </w:r>
    </w:p>
    <w:p>
      <w:pPr>
        <w:spacing w:after="100" w:line="276"/>
      </w:pPr>
      <w:r>
        <w:rPr>
          <w:rFonts w:ascii="Garamond" w:cs="Garamond" w:eastAsia="Garamond" w:hAnsi="Garamond"/>
          <w:b/>
          <w:bCs/>
          <w:color w:val="1A1A2E"/>
          <w:sz w:val="21"/>
          <w:szCs w:val="21"/>
        </w:rPr>
        <w:t xml:space="preserve">Procedure: </w:t>
      </w:r>
      <w:r>
        <w:rPr>
          <w:rFonts w:ascii="Garamond" w:cs="Garamond" w:eastAsia="Garamond" w:hAnsi="Garamond"/>
          <w:b w:val="false"/>
          <w:bCs w:val="false"/>
          <w:i w:val="false"/>
          <w:iCs w:val="false"/>
          <w:color w:val="333333"/>
          <w:sz w:val="21"/>
          <w:szCs w:val="21"/>
        </w:rPr>
        <w:t xml:space="preserve">Compare each score against the expected profile for the entity’s college, role, and presented identity. Any score that contradicts the expected profile is a pattern break. Each break is a pressure point.</w:t>
      </w:r>
    </w:p>
    <w:p>
      <w:pPr>
        <w:spacing w:after="100" w:line="276"/>
      </w:pPr>
      <w:r>
        <w:rPr>
          <w:rFonts w:ascii="Garamond" w:cs="Garamond" w:eastAsia="Garamond" w:hAnsi="Garamond"/>
          <w:b/>
          <w:bCs/>
          <w:color w:val="1A1A2E"/>
          <w:sz w:val="21"/>
          <w:szCs w:val="21"/>
        </w:rPr>
        <w:t xml:space="preserve">Why breaks generate pressure: </w:t>
      </w:r>
      <w:r>
        <w:rPr>
          <w:rFonts w:ascii="Garamond" w:cs="Garamond" w:eastAsia="Garamond" w:hAnsi="Garamond"/>
          <w:b w:val="false"/>
          <w:bCs w:val="false"/>
          <w:i w:val="false"/>
          <w:iCs w:val="false"/>
          <w:color w:val="333333"/>
          <w:sz w:val="21"/>
          <w:szCs w:val="21"/>
        </w:rPr>
        <w:t xml:space="preserve">Pattern breaks indicate hidden pressures the entity themselves may not be aware of. Kyril’s Veyra 55 (Unrequited) breaks the expected profile of an immortal warden whose emotional range has compressed to institutional service. An entity in his position should not have a moderate-high unrequited connection score. The fact that he does means something is happening beneath the surface that the rest of the profile cannot explain.</w:t>
      </w:r>
    </w:p>
    <w:p>
      <w:pPr>
        <w:spacing w:after="100" w:line="276"/>
      </w:pPr>
      <w:r>
        <w:rPr>
          <w:rFonts w:ascii="Garamond" w:cs="Garamond" w:eastAsia="Garamond" w:hAnsi="Garamond"/>
          <w:b w:val="false"/>
          <w:bCs w:val="false"/>
          <w:i w:val="false"/>
          <w:iCs w:val="false"/>
          <w:color w:val="333333"/>
          <w:sz w:val="21"/>
          <w:szCs w:val="21"/>
        </w:rPr>
        <w:t xml:space="preserve">Pattern breaks generate the richest fronts because they produce mystery fronts — situations where the entity’s own behavior surprises them. The entity acts in ways their conscious self-model cannot account for. These are the adventures that lead toward the deepest revelations.</w:t>
      </w:r>
    </w:p>
    <w:p>
      <w:r>
        <w:br w:type="page"/>
      </w:r>
    </w:p>
    <w:p>
      <w:pPr>
        <w:pStyle w:val="Heading1"/>
        <w:spacing w:after="140" w:before="300"/>
      </w:pPr>
      <w:r>
        <w:rPr>
          <w:rFonts w:ascii="Garamond" w:cs="Garamond" w:eastAsia="Garamond" w:hAnsi="Garamond"/>
          <w:b/>
          <w:bCs/>
          <w:color w:val="1A1A2E"/>
        </w:rPr>
        <w:t xml:space="preserve">THE DUAL READING</w:t>
      </w:r>
    </w:p>
    <w:p>
      <w:pPr>
        <w:spacing w:after="50" w:line="276"/>
      </w:pPr>
      <w:r>
        <w:rPr>
          <w:rFonts w:ascii="Garamond" w:cs="Garamond" w:eastAsia="Garamond" w:hAnsi="Garamond"/>
          <w:b w:val="false"/>
          <w:bCs w:val="false"/>
          <w:i w:val="false"/>
          <w:iCs w:val="false"/>
          <w:color w:val="333333"/>
          <w:sz w:val="21"/>
          <w:szCs w:val="21"/>
        </w:rPr>
        <w:t xml:space="preserve">Every NPC occupies a role. The role has its own pressure profile independent of who fills it. Pressure extraction requires TWO readings: the personal Schema (who the entity is) and the positional profile (what the role demands).</w:t>
      </w:r>
    </w:p>
    <w:p>
      <w:pPr>
        <w:pStyle w:val="Heading2"/>
        <w:spacing w:after="100" w:before="220"/>
      </w:pPr>
      <w:r>
        <w:rPr>
          <w:rFonts w:ascii="Garamond" w:cs="Garamond" w:eastAsia="Garamond" w:hAnsi="Garamond"/>
          <w:b/>
          <w:bCs/>
          <w:color w:val="2B2B4B"/>
        </w:rPr>
        <w:t xml:space="preserve">The Personal Reading</w:t>
      </w:r>
    </w:p>
    <w:p>
      <w:pPr>
        <w:spacing w:after="100" w:line="276"/>
      </w:pPr>
      <w:r>
        <w:rPr>
          <w:rFonts w:ascii="Garamond" w:cs="Garamond" w:eastAsia="Garamond" w:hAnsi="Garamond"/>
          <w:b w:val="false"/>
          <w:bCs w:val="false"/>
          <w:i w:val="false"/>
          <w:iCs w:val="false"/>
          <w:color w:val="333333"/>
          <w:sz w:val="21"/>
          <w:szCs w:val="21"/>
        </w:rPr>
        <w:t xml:space="preserve">The three diagnostic reads above applied to the entity’s individual Schema. This produces internal pressure points — tensions that exist because of who the person IS, regardless of what role they occupy. Kyril’s Vestus Containment front and Aíon Silence front are internal. They would follow him into any role.</w:t>
      </w:r>
    </w:p>
    <w:p>
      <w:pPr>
        <w:pStyle w:val="Heading2"/>
        <w:spacing w:after="100" w:before="220"/>
      </w:pPr>
      <w:r>
        <w:rPr>
          <w:rFonts w:ascii="Garamond" w:cs="Garamond" w:eastAsia="Garamond" w:hAnsi="Garamond"/>
          <w:b/>
          <w:bCs/>
          <w:color w:val="2B2B4B"/>
        </w:rPr>
        <w:t xml:space="preserve">The Positional Reading</w:t>
      </w:r>
    </w:p>
    <w:p>
      <w:pPr>
        <w:spacing w:after="100" w:line="276"/>
      </w:pPr>
      <w:r>
        <w:rPr>
          <w:rFonts w:ascii="Garamond" w:cs="Garamond" w:eastAsia="Garamond" w:hAnsi="Garamond"/>
          <w:b w:val="false"/>
          <w:bCs w:val="false"/>
          <w:i w:val="false"/>
          <w:iCs w:val="false"/>
          <w:color w:val="333333"/>
          <w:sz w:val="21"/>
          <w:szCs w:val="21"/>
        </w:rPr>
        <w:t xml:space="preserve">Ask: what pressures does this POSITION generate independent of who occupies it? A headmaster position demands institutional maintenance, inter-college diplomacy, faculty management, resource allocation, and succession planning regardless of the headmaster’s personal Schema. A military officer position demands tactical decisions, personnel management, morale maintenance, and chain-of-command navigation regardless of the officer’s personality.</w:t>
      </w:r>
    </w:p>
    <w:p>
      <w:pPr>
        <w:spacing w:after="100" w:line="276"/>
      </w:pPr>
      <w:r>
        <w:rPr>
          <w:rFonts w:ascii="Garamond" w:cs="Garamond" w:eastAsia="Garamond" w:hAnsi="Garamond"/>
          <w:b w:val="false"/>
          <w:bCs w:val="false"/>
          <w:i w:val="false"/>
          <w:iCs w:val="false"/>
          <w:color w:val="333333"/>
          <w:sz w:val="21"/>
          <w:szCs w:val="21"/>
        </w:rPr>
        <w:t xml:space="preserve">The positional reading produces external pressure points — tensions that exist because of the ROLE, not the person. Kyril’s Institutional Maintenance front and Political Leverage Problem are external. Any headmaster of Mortis Ævum would face these pressures.</w:t>
      </w:r>
    </w:p>
    <w:p>
      <w:pPr>
        <w:pStyle w:val="Heading2"/>
        <w:spacing w:after="100" w:before="220"/>
      </w:pPr>
      <w:r>
        <w:rPr>
          <w:rFonts w:ascii="Garamond" w:cs="Garamond" w:eastAsia="Garamond" w:hAnsi="Garamond"/>
          <w:b/>
          <w:bCs/>
          <w:color w:val="2B2B4B"/>
        </w:rPr>
        <w:t xml:space="preserve">The Intersection</w:t>
      </w:r>
    </w:p>
    <w:p>
      <w:pPr>
        <w:spacing w:after="100" w:line="276"/>
      </w:pPr>
      <w:r>
        <w:rPr>
          <w:rFonts w:ascii="Garamond" w:cs="Garamond" w:eastAsia="Garamond" w:hAnsi="Garamond"/>
          <w:b w:val="false"/>
          <w:bCs w:val="false"/>
          <w:i w:val="false"/>
          <w:iCs w:val="false"/>
          <w:color w:val="333333"/>
          <w:sz w:val="21"/>
          <w:szCs w:val="21"/>
        </w:rPr>
        <w:t xml:space="preserve">The richest story lives where internal and external fronts compete for the entity’s finite attention. How does this specific person’s internal tensions interact with this specific role’s structural demands?</w:t>
      </w:r>
    </w:p>
    <w:p>
      <w:pPr>
        <w:spacing w:after="100" w:line="276"/>
      </w:pPr>
      <w:r>
        <w:rPr>
          <w:rFonts w:ascii="Garamond" w:cs="Garamond" w:eastAsia="Garamond" w:hAnsi="Garamond"/>
          <w:b w:val="false"/>
          <w:bCs w:val="false"/>
          <w:i w:val="false"/>
          <w:iCs w:val="false"/>
          <w:color w:val="333333"/>
          <w:sz w:val="21"/>
          <w:szCs w:val="21"/>
        </w:rPr>
        <w:t xml:space="preserve">Kyril’s personal Vestus containment (internal front) pulls attention away from institutional maintenance (external front). The institutional decay that results is not caused by Kyril’s incompetence — it is caused by a complex person whose internal pressures divert attention from positional demands. The party detects the institutional decay (a symptom at Vertebra 5) and investigates. The investigation leads to the front. The front leads to the intersection. The intersection reveals both who Kyril is AND what the position demands of him. Both are necessary to understand the situation.</w:t>
      </w:r>
    </w:p>
    <w:p>
      <w:r>
        <w:br w:type="page"/>
      </w:r>
    </w:p>
    <w:p>
      <w:pPr>
        <w:pStyle w:val="Heading1"/>
        <w:spacing w:after="140" w:before="300"/>
      </w:pPr>
      <w:r>
        <w:rPr>
          <w:rFonts w:ascii="Garamond" w:cs="Garamond" w:eastAsia="Garamond" w:hAnsi="Garamond"/>
          <w:b/>
          <w:bCs/>
          <w:color w:val="1A1A2E"/>
        </w:rPr>
        <w:t xml:space="preserve">THE CONTEXTUAL INTERPRETATION STEP</w:t>
      </w:r>
    </w:p>
    <w:p>
      <w:pPr>
        <w:spacing w:after="50" w:line="276"/>
      </w:pPr>
      <w:r>
        <w:rPr>
          <w:rFonts w:ascii="Garamond" w:cs="Garamond" w:eastAsia="Garamond" w:hAnsi="Garamond"/>
          <w:b w:val="false"/>
          <w:bCs w:val="false"/>
          <w:i w:val="false"/>
          <w:iCs w:val="false"/>
          <w:color w:val="333333"/>
          <w:sz w:val="21"/>
          <w:szCs w:val="21"/>
        </w:rPr>
        <w:t xml:space="preserve">Between pressure point identification (analysis) and front mapping (construction at Vertebra 3), a creative interpretation step is required. This step is explicitly named because it represents the transition from calculation to contribution.</w:t>
      </w:r>
    </w:p>
    <w:p>
      <w:pPr>
        <w:spacing w:after="60" w:line="276"/>
      </w:pPr>
      <w:r>
        <w:rPr>
          <w:rFonts w:ascii="Garamond" w:cs="Garamond" w:eastAsia="Garamond" w:hAnsi="Garamond"/>
          <w:b w:val="false"/>
          <w:bCs w:val="false"/>
          <w:i/>
          <w:iCs/>
          <w:color w:val="555555"/>
          <w:sz w:val="21"/>
          <w:szCs w:val="21"/>
        </w:rPr>
        <w:t xml:space="preserve">Steps 1-2 of the derivation are analysis. This step is interpretation. You are now contributing, not calculating.</w:t>
      </w:r>
    </w:p>
    <w:p>
      <w:pPr>
        <w:pStyle w:val="Heading2"/>
        <w:spacing w:after="100" w:before="220"/>
      </w:pPr>
      <w:r>
        <w:rPr>
          <w:rFonts w:ascii="Garamond" w:cs="Garamond" w:eastAsia="Garamond" w:hAnsi="Garamond"/>
          <w:b/>
          <w:bCs/>
          <w:color w:val="2B2B4B"/>
        </w:rPr>
        <w:t xml:space="preserve">The Three Sub-Operations</w:t>
      </w:r>
    </w:p>
    <w:p>
      <w:pPr>
        <w:spacing w:after="100" w:line="276"/>
      </w:pPr>
      <w:r>
        <w:rPr>
          <w:rFonts w:ascii="Garamond" w:cs="Garamond" w:eastAsia="Garamond" w:hAnsi="Garamond"/>
          <w:b/>
          <w:bCs/>
          <w:color w:val="1A1A2E"/>
          <w:sz w:val="21"/>
          <w:szCs w:val="21"/>
        </w:rPr>
        <w:t xml:space="preserve">1. Operational Context: </w:t>
      </w:r>
      <w:r>
        <w:rPr>
          <w:rFonts w:ascii="Garamond" w:cs="Garamond" w:eastAsia="Garamond" w:hAnsi="Garamond"/>
          <w:b w:val="false"/>
          <w:bCs w:val="false"/>
          <w:i w:val="false"/>
          <w:iCs w:val="false"/>
          <w:color w:val="333333"/>
          <w:sz w:val="21"/>
          <w:szCs w:val="21"/>
        </w:rPr>
        <w:t xml:space="preserve">For each pressure point, ask: where in this entity’s operational life does this tension manifest? The answer requires knowing the entity’s college methodology, their position’s daily demands, and the current state of the setting around them. The same pressure point in different operational contexts produces completely different fronts. A Veritas/Gnosis split in a Chronosynclastic analyst produces an intelligence front. The same split in a Wildpath Warden produces a survival methodology front. Context determines expression.</w:t>
      </w:r>
    </w:p>
    <w:p>
      <w:pPr>
        <w:spacing w:after="100" w:line="276"/>
      </w:pPr>
      <w:r>
        <w:rPr>
          <w:rFonts w:ascii="Garamond" w:cs="Garamond" w:eastAsia="Garamond" w:hAnsi="Garamond"/>
          <w:b/>
          <w:bCs/>
          <w:color w:val="1A1A2E"/>
          <w:sz w:val="21"/>
          <w:szCs w:val="21"/>
        </w:rPr>
        <w:t xml:space="preserve">2. Personal Shaping: </w:t>
      </w:r>
      <w:r>
        <w:rPr>
          <w:rFonts w:ascii="Garamond" w:cs="Garamond" w:eastAsia="Garamond" w:hAnsi="Garamond"/>
          <w:b w:val="false"/>
          <w:bCs w:val="false"/>
          <w:i w:val="false"/>
          <w:iCs w:val="false"/>
          <w:color w:val="333333"/>
          <w:sz w:val="21"/>
          <w:szCs w:val="21"/>
        </w:rPr>
        <w:t xml:space="preserve">For each external pressure point (from the positional reading), ask: how does this entity’s personal Schema shape their response to the positional demand? The position demands institutional maintenance. A headmaster with Constantine 95 handles this through absolute duty. A headmaster with Constantine 40 delegates and produces a completely different institutional culture. The personal Schema is the lens through which positional demands are processed.</w:t>
      </w:r>
    </w:p>
    <w:p>
      <w:pPr>
        <w:spacing w:after="100" w:line="276"/>
      </w:pPr>
      <w:r>
        <w:rPr>
          <w:rFonts w:ascii="Garamond" w:cs="Garamond" w:eastAsia="Garamond" w:hAnsi="Garamond"/>
          <w:b/>
          <w:bCs/>
          <w:color w:val="1A1A2E"/>
          <w:sz w:val="21"/>
          <w:szCs w:val="21"/>
        </w:rPr>
        <w:t xml:space="preserve">3. Intersection Check: </w:t>
      </w:r>
      <w:r>
        <w:rPr>
          <w:rFonts w:ascii="Garamond" w:cs="Garamond" w:eastAsia="Garamond" w:hAnsi="Garamond"/>
          <w:b w:val="false"/>
          <w:bCs w:val="false"/>
          <w:i w:val="false"/>
          <w:iCs w:val="false"/>
          <w:color w:val="333333"/>
          <w:sz w:val="21"/>
          <w:szCs w:val="21"/>
        </w:rPr>
        <w:t xml:space="preserve">Check whether any internal and external fronts interact. Where does the entity’s attention divide between personal and positional fronts? An entity whose internal fronts consume all attention neglects their external obligations — producing observable symptoms of institutional decay that the party can detect. An entity whose external obligations consume all attention suppresses their internal tensions until they erupt — producing sudden behavioral anomalies that break the expected pattern.</w:t>
      </w:r>
    </w:p>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creative interpretation step cannot and should not be automated. It is the GM’s contribution to the campfire at this vertebra. The procedure’s job is to make the invitation explicit so the GM knows when they are calculating (pressure point identification) and when they are creating (contextual interpretation).</w:t>
      </w:r>
    </w:p>
    <w:p>
      <w:r>
        <w:br w:type="page"/>
      </w:r>
    </w:p>
    <w:p>
      <w:pPr>
        <w:pStyle w:val="Heading1"/>
        <w:spacing w:after="140" w:before="300"/>
      </w:pPr>
      <w:r>
        <w:rPr>
          <w:rFonts w:ascii="Garamond" w:cs="Garamond" w:eastAsia="Garamond" w:hAnsi="Garamond"/>
          <w:b/>
          <w:bCs/>
          <w:color w:val="1A1A2E"/>
        </w:rPr>
        <w:t xml:space="preserve">THE REGULATORY DIAGNOSTICS</w:t>
      </w:r>
    </w:p>
    <w:p>
      <w:pPr>
        <w:spacing w:after="50" w:line="276"/>
      </w:pPr>
      <w:r>
        <w:rPr>
          <w:rFonts w:ascii="Garamond" w:cs="Garamond" w:eastAsia="Garamond" w:hAnsi="Garamond"/>
          <w:b w:val="false"/>
          <w:bCs w:val="false"/>
          <w:i w:val="false"/>
          <w:iCs w:val="false"/>
          <w:color w:val="333333"/>
          <w:sz w:val="21"/>
          <w:szCs w:val="21"/>
        </w:rPr>
        <w:t xml:space="preserve">Two regulatory systems are most active at this vertebra.</w:t>
      </w:r>
    </w:p>
    <w:p>
      <w:pPr>
        <w:pStyle w:val="Heading2"/>
        <w:spacing w:after="100" w:before="220"/>
      </w:pPr>
      <w:r>
        <w:rPr>
          <w:rFonts w:ascii="Garamond" w:cs="Garamond" w:eastAsia="Garamond" w:hAnsi="Garamond"/>
          <w:b/>
          <w:bCs/>
          <w:color w:val="2B2B4B"/>
        </w:rPr>
        <w:t xml:space="preserve">McDowall Diagnostic (Information / Choice / Consequence)</w:t>
      </w:r>
    </w:p>
    <w:p>
      <w:pPr>
        <w:spacing w:after="100" w:line="276"/>
      </w:pPr>
      <w:r>
        <w:rPr>
          <w:rFonts w:ascii="Garamond" w:cs="Garamond" w:eastAsia="Garamond" w:hAnsi="Garamond"/>
          <w:b w:val="false"/>
          <w:bCs w:val="false"/>
          <w:i w:val="false"/>
          <w:iCs w:val="false"/>
          <w:color w:val="333333"/>
          <w:sz w:val="21"/>
          <w:szCs w:val="21"/>
        </w:rPr>
        <w:t xml:space="preserve">When you cannot find pressure points, one of three elements is absent from the 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Information missing</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You cannot extract pressure because you do not have enough data about the entity. The Schema is incomplete. The ten questions are unanswered. The solution is not deeper analysis — it is more data. Ask more questions. Observe more behavior. Read more of the profile.</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Choice missing</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You can see the pressure but it is not generating fronts because the entity has no meaningful options. They are locked into a single course of action. The solution is introducing competing demands — give them something else they want that conflicts with what they are already pursuing.</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Consequence missing</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pressure points exist but nothing happens when they are stressed. The entity’s tensions have no stakes attached. The solution is connecting the pressure points to things the entity (or the party, or the setting) cares about. What happens if this tension breaks?</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McDowall diagnostic is the fastest tool for unsticking extraction. When the ten questions and the Schema reads are not producing useful output, check which of the three elements is absent. Supply it. The extraction resumes.</w:t>
      </w:r>
    </w:p>
    <w:p>
      <w:pPr>
        <w:pStyle w:val="Heading2"/>
        <w:spacing w:after="100" w:before="220"/>
      </w:pPr>
      <w:r>
        <w:rPr>
          <w:rFonts w:ascii="Garamond" w:cs="Garamond" w:eastAsia="Garamond" w:hAnsi="Garamond"/>
          <w:b/>
          <w:bCs/>
          <w:color w:val="2B2B4B"/>
        </w:rPr>
        <w:t xml:space="preserve">Red Team Method — First Application</w:t>
      </w:r>
    </w:p>
    <w:p>
      <w:pPr>
        <w:spacing w:after="100" w:line="276"/>
      </w:pPr>
      <w:r>
        <w:rPr>
          <w:rFonts w:ascii="Garamond" w:cs="Garamond" w:eastAsia="Garamond" w:hAnsi="Garamond"/>
          <w:b w:val="false"/>
          <w:bCs w:val="false"/>
          <w:i w:val="false"/>
          <w:iCs w:val="false"/>
          <w:color w:val="333333"/>
          <w:sz w:val="21"/>
          <w:szCs w:val="21"/>
        </w:rPr>
        <w:t xml:space="preserve">Adopt the adversary’s perspective on the pressure landscape. After identifying the entity’s pressure points through the personal and positional readings, ask: if I were an adversary targeting this entity, which pressure points would I exploit?</w:t>
      </w:r>
    </w:p>
    <w:p>
      <w:pPr>
        <w:spacing w:after="100" w:line="276"/>
      </w:pPr>
      <w:r>
        <w:rPr>
          <w:rFonts w:ascii="Garamond" w:cs="Garamond" w:eastAsia="Garamond" w:hAnsi="Garamond"/>
          <w:b w:val="false"/>
          <w:bCs w:val="false"/>
          <w:i w:val="false"/>
          <w:iCs w:val="false"/>
          <w:color w:val="333333"/>
          <w:sz w:val="21"/>
          <w:szCs w:val="21"/>
        </w:rPr>
        <w:t xml:space="preserve">The adversary’s perspective reveals which pressure points are VULNERABLE — not just where tension exists, but where tension can be weaponized. The pressure point that the entity has managed for decades is stable tension. The pressure point that the entity does not know exists is exploitable tension. Red Teaming the pressure landscape identifies which points are managed, which are unmanaged, and which are invisible to the entity.</w:t>
      </w:r>
    </w:p>
    <w:p>
      <w:pPr>
        <w:spacing w:after="100" w:line="276"/>
      </w:pPr>
      <w:r>
        <w:rPr>
          <w:rFonts w:ascii="Garamond" w:cs="Garamond" w:eastAsia="Garamond" w:hAnsi="Garamond"/>
          <w:b w:val="false"/>
          <w:bCs w:val="false"/>
          <w:i w:val="false"/>
          <w:iCs w:val="false"/>
          <w:color w:val="333333"/>
          <w:sz w:val="21"/>
          <w:szCs w:val="21"/>
        </w:rPr>
        <w:t xml:space="preserve">This is the method’s first of three applications. At Vertebra 3 (Fronts), Red Team validates whether a front’s behavior is strategically coherent. At the Catalysts layer, Red Team checks whether the operator (the GM or the campfire-lighter) has become visible.</w:t>
      </w:r>
    </w:p>
    <w:p>
      <w:r>
        <w:br w:type="page"/>
      </w:r>
    </w:p>
    <w:p>
      <w:pPr>
        <w:pStyle w:val="Heading1"/>
        <w:spacing w:after="140" w:before="300"/>
      </w:pPr>
      <w:r>
        <w:rPr>
          <w:rFonts w:ascii="Garamond" w:cs="Garamond" w:eastAsia="Garamond" w:hAnsi="Garamond"/>
          <w:b/>
          <w:bCs/>
          <w:color w:val="1A1A2E"/>
        </w:rPr>
        <w:t xml:space="preserve">EXPRESSION GUIDANCE: EVIDENTIARY PRESENTATION</w:t>
      </w:r>
    </w:p>
    <w:p>
      <w:pPr>
        <w:spacing w:after="50" w:line="276"/>
      </w:pPr>
      <w:r>
        <w:rPr>
          <w:rFonts w:ascii="Garamond" w:cs="Garamond" w:eastAsia="Garamond" w:hAnsi="Garamond"/>
          <w:b w:val="false"/>
          <w:bCs w:val="false"/>
          <w:i w:val="false"/>
          <w:iCs w:val="false"/>
          <w:color w:val="333333"/>
          <w:sz w:val="21"/>
          <w:szCs w:val="21"/>
        </w:rPr>
        <w:t xml:space="preserve">Vertebra 2’s strongest expression bond is Evidentiary Presentation — presenting raw observational data rather than interpreted conclusions. This bond is strong because pressure extraction is fundamentally an analytical process that operates on evidence, not inference.</w:t>
      </w:r>
    </w:p>
    <w:p>
      <w:pPr>
        <w:pStyle w:val="Heading2"/>
        <w:spacing w:after="100" w:before="220"/>
      </w:pPr>
      <w:r>
        <w:rPr>
          <w:rFonts w:ascii="Garamond" w:cs="Garamond" w:eastAsia="Garamond" w:hAnsi="Garamond"/>
          <w:b/>
          <w:bCs/>
          <w:color w:val="2B2B4B"/>
        </w:rPr>
        <w:t xml:space="preserve">The Journalism Principle</w:t>
      </w:r>
    </w:p>
    <w:p>
      <w:pPr>
        <w:spacing w:after="100" w:line="276"/>
      </w:pPr>
      <w:r>
        <w:rPr>
          <w:rFonts w:ascii="Garamond" w:cs="Garamond" w:eastAsia="Garamond" w:hAnsi="Garamond"/>
          <w:b w:val="false"/>
          <w:bCs w:val="false"/>
          <w:i w:val="false"/>
          <w:iCs w:val="false"/>
          <w:color w:val="333333"/>
          <w:sz w:val="21"/>
          <w:szCs w:val="21"/>
        </w:rPr>
        <w:t xml:space="preserve">Show the primary source. Let the audience interpret. At the table, this means the GM (or the investigating player) presents what was OBSERVED, not what it MEANS.</w:t>
      </w:r>
    </w:p>
    <w:p>
      <w:pPr>
        <w:spacing w:after="40" w:line="276"/>
      </w:pPr>
      <w:r>
        <w:rPr>
          <w:rFonts w:ascii="Garamond" w:cs="Garamond" w:eastAsia="Garamond" w:hAnsi="Garamond"/>
          <w:b w:val="false"/>
          <w:bCs w:val="false"/>
          <w:i/>
          <w:iCs/>
          <w:color w:val="333333"/>
          <w:sz w:val="21"/>
          <w:szCs w:val="21"/>
        </w:rPr>
        <w:t xml:space="preserve">The merchant touched his collar twice while saying the shipment was delayed. He looked toward the warehouse when he mentioned his supplier. His voice dropped when he said the word ‘bandits.’</w:t>
      </w:r>
    </w:p>
    <w:p>
      <w:pPr>
        <w:spacing w:after="100" w:line="276"/>
      </w:pPr>
      <w:r>
        <w:rPr>
          <w:rFonts w:ascii="Garamond" w:cs="Garamond" w:eastAsia="Garamond" w:hAnsi="Garamond"/>
          <w:b w:val="false"/>
          <w:bCs w:val="false"/>
          <w:i w:val="false"/>
          <w:iCs w:val="false"/>
          <w:color w:val="333333"/>
          <w:sz w:val="21"/>
          <w:szCs w:val="21"/>
        </w:rPr>
        <w:t xml:space="preserve">These are three pieces of raw behavioral evidence. The GM does not say “the merchant is lying.” The GM presents the behaviors. The party draws the conclusion. When the party draws its own conclusion, the conclusion is more convincing because they reached it themselves. The evidence was the call. The interpretation is the response. The participation makes the discovery feel earned rather than delivered.</w:t>
      </w:r>
    </w:p>
    <w:p>
      <w:pPr>
        <w:pStyle w:val="Heading2"/>
        <w:spacing w:after="100" w:before="220"/>
      </w:pPr>
      <w:r>
        <w:rPr>
          <w:rFonts w:ascii="Garamond" w:cs="Garamond" w:eastAsia="Garamond" w:hAnsi="Garamond"/>
          <w:b/>
          <w:bCs/>
          <w:color w:val="2B2B4B"/>
        </w:rPr>
        <w:t xml:space="preserve">Applying Evidentiary Presentation to Schema Reads</w:t>
      </w:r>
    </w:p>
    <w:p>
      <w:pPr>
        <w:spacing w:after="100" w:line="276"/>
      </w:pPr>
      <w:r>
        <w:rPr>
          <w:rFonts w:ascii="Garamond" w:cs="Garamond" w:eastAsia="Garamond" w:hAnsi="Garamond"/>
          <w:b w:val="false"/>
          <w:bCs w:val="false"/>
          <w:i w:val="false"/>
          <w:iCs w:val="false"/>
          <w:color w:val="333333"/>
          <w:sz w:val="21"/>
          <w:szCs w:val="21"/>
        </w:rPr>
        <w:t xml:space="preserve">When the GM identifies a pressure point through the Schema diagnostic reads, the pressure point is not presented as “this NPC has an asymmetric split between Veritas and Gnosis.” That is an analytical conclusion. The pressure point is presented through its observable symptoms — the NPC’s specific behaviors that result from the split. The chirurgeon who flinches when asked about research methodology. The officer who changes the subject when philosophical questions arise. The merchant who maintains meticulous records but never reads them.</w:t>
      </w:r>
    </w:p>
    <w:p>
      <w:pPr>
        <w:spacing w:after="100" w:line="276"/>
      </w:pPr>
      <w:r>
        <w:rPr>
          <w:rFonts w:ascii="Garamond" w:cs="Garamond" w:eastAsia="Garamond" w:hAnsi="Garamond"/>
          <w:b w:val="false"/>
          <w:bCs w:val="false"/>
          <w:i w:val="false"/>
          <w:iCs w:val="false"/>
          <w:color w:val="333333"/>
          <w:sz w:val="21"/>
          <w:szCs w:val="21"/>
        </w:rPr>
        <w:t xml:space="preserve">Each observable behavior is one piece of evidence that the party (or the reader, or the community member) collects and assembles into a picture. The picture they assemble is shaped by their own schema (Bartlett) — they see the pattern that their experience prepares them to recognize. Different participants may assemble different pictures from the same evidence. Both pictures are valid. The evidence is the same. The interpretation is the contribution.</w:t>
      </w:r>
    </w:p>
    <w:p>
      <w:r>
        <w:br w:type="page"/>
      </w:r>
    </w:p>
    <w:p>
      <w:pPr>
        <w:pStyle w:val="Heading1"/>
        <w:spacing w:after="140" w:before="300"/>
      </w:pPr>
      <w:r>
        <w:rPr>
          <w:rFonts w:ascii="Garamond" w:cs="Garamond" w:eastAsia="Garamond" w:hAnsi="Garamond"/>
          <w:b/>
          <w:bCs/>
          <w:color w:val="1A1A2E"/>
        </w:rPr>
        <w:t xml:space="preserve">THE COMPLETE EXTRACTION PROCEDURE</w:t>
      </w:r>
    </w:p>
    <w:p>
      <w:pPr>
        <w:spacing w:after="50" w:line="276"/>
      </w:pPr>
      <w:r>
        <w:rPr>
          <w:rFonts w:ascii="Garamond" w:cs="Garamond" w:eastAsia="Garamond" w:hAnsi="Garamond"/>
          <w:b w:val="false"/>
          <w:bCs w:val="false"/>
          <w:i w:val="false"/>
          <w:iCs w:val="false"/>
          <w:color w:val="333333"/>
          <w:sz w:val="21"/>
          <w:szCs w:val="21"/>
        </w:rPr>
        <w:t xml:space="preserve">The full sequence from Schema to stored pressure points, incorporating all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800"/>
        <w:gridCol w:w="4460"/>
      </w:tblGrid>
      <w:tr>
        <w:tc>
          <w:tcPr>
            <w:tcW w:type="dxa" w:w="6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Step</w:t>
            </w:r>
          </w:p>
        </w:tc>
        <w:tc>
          <w:tcPr>
            <w:tcW w:type="dxa" w:w="15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Phase</w:t>
            </w:r>
          </w:p>
        </w:tc>
        <w:tc>
          <w:tcPr>
            <w:tcW w:type="dxa" w:w="28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Action</w:t>
            </w:r>
          </w:p>
        </w:tc>
        <w:tc>
          <w:tcPr>
            <w:tcW w:type="dxa" w:w="446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Output</w:t>
            </w:r>
          </w:p>
        </w:tc>
      </w:tr>
      <w:tr>
        <w:tc>
          <w:tcPr>
            <w:tcW w:type="dxa" w:w="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w:t>
            </w:r>
          </w:p>
        </w:tc>
        <w:tc>
          <w:tcPr>
            <w:tcW w:type="dxa" w:w="1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1565C0"/>
                <w:sz w:val="18"/>
                <w:szCs w:val="18"/>
              </w:rPr>
              <w:t xml:space="preserve">Analysis</w:t>
            </w:r>
          </w:p>
        </w:tc>
        <w:tc>
          <w:tcPr>
            <w:tcW w:type="dxa" w:w="2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Outlier Detection</w:t>
            </w:r>
          </w:p>
        </w:tc>
        <w:tc>
          <w:tcPr>
            <w:tcW w:type="dxa" w:w="44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List of all scores above 80 or below 20 (or Load-bearing / Absent bands). Each is a pressure point.</w:t>
            </w:r>
          </w:p>
        </w:tc>
      </w:tr>
      <w:t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2</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1565C0"/>
                <w:sz w:val="18"/>
                <w:szCs w:val="18"/>
              </w:rPr>
              <w:t xml:space="preserve">Analysis</w:t>
            </w:r>
          </w:p>
        </w:tc>
        <w:tc>
          <w:tcPr>
            <w:tcW w:type="dxa" w:w="2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Asymmetric Split Identification</w:t>
            </w:r>
          </w:p>
        </w:tc>
        <w:tc>
          <w:tcPr>
            <w:tcW w:type="dxa" w:w="44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List of all paired dimensions with gaps exceeding 50 points. Each is a pressure point.</w:t>
            </w:r>
          </w:p>
        </w:tc>
      </w:tr>
      <w:tr>
        <w:tc>
          <w:tcPr>
            <w:tcW w:type="dxa" w:w="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3</w:t>
            </w:r>
          </w:p>
        </w:tc>
        <w:tc>
          <w:tcPr>
            <w:tcW w:type="dxa" w:w="1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1565C0"/>
                <w:sz w:val="18"/>
                <w:szCs w:val="18"/>
              </w:rPr>
              <w:t xml:space="preserve">Analysis</w:t>
            </w:r>
          </w:p>
        </w:tc>
        <w:tc>
          <w:tcPr>
            <w:tcW w:type="dxa" w:w="2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Pattern Break Recognition</w:t>
            </w:r>
          </w:p>
        </w:tc>
        <w:tc>
          <w:tcPr>
            <w:tcW w:type="dxa" w:w="44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List of all scores contradicting the expected profile for college, role, and presented identity. Each is a pressure point.</w:t>
            </w:r>
          </w:p>
        </w:tc>
      </w:tr>
      <w:t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4</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1565C0"/>
                <w:sz w:val="18"/>
                <w:szCs w:val="18"/>
              </w:rPr>
              <w:t xml:space="preserve">Analysis</w:t>
            </w:r>
          </w:p>
        </w:tc>
        <w:tc>
          <w:tcPr>
            <w:tcW w:type="dxa" w:w="2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Positional Reading</w:t>
            </w:r>
          </w:p>
        </w:tc>
        <w:tc>
          <w:tcPr>
            <w:tcW w:type="dxa" w:w="44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List of pressures the ROLE generates independent of the person. Institutional demands, structural obligations, inter-entity diplomacy requirements.</w:t>
            </w:r>
          </w:p>
        </w:tc>
      </w:tr>
      <w:tr>
        <w:tc>
          <w:tcPr>
            <w:tcW w:type="dxa" w:w="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5</w:t>
            </w:r>
          </w:p>
        </w:tc>
        <w:tc>
          <w:tcPr>
            <w:tcW w:type="dxa" w:w="1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E65100"/>
                <w:sz w:val="18"/>
                <w:szCs w:val="18"/>
              </w:rPr>
              <w:t xml:space="preserve">Creative</w:t>
            </w:r>
          </w:p>
        </w:tc>
        <w:tc>
          <w:tcPr>
            <w:tcW w:type="dxa" w:w="2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Contextual Interpretation</w:t>
            </w:r>
          </w:p>
        </w:tc>
        <w:tc>
          <w:tcPr>
            <w:tcW w:type="dxa" w:w="44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For each pressure point: where it manifests operationally, how the personal Schema shapes the response, and where internal and external fronts intersect.</w:t>
            </w:r>
          </w:p>
        </w:tc>
      </w:tr>
      <w:t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6</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2E7D32"/>
                <w:sz w:val="18"/>
                <w:szCs w:val="18"/>
              </w:rPr>
              <w:t xml:space="preserve">Storage</w:t>
            </w:r>
          </w:p>
        </w:tc>
        <w:tc>
          <w:tcPr>
            <w:tcW w:type="dxa" w:w="2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NPC Assessment Card</w:t>
            </w:r>
          </w:p>
        </w:tc>
        <w:tc>
          <w:tcPr>
            <w:tcW w:type="dxa" w:w="44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Record all findings on the persistent storage form. Want, fear, Goffman gap, contradictions log, pressure point summary, FP generation estimate.</w:t>
            </w:r>
          </w:p>
        </w:tc>
      </w:tr>
      <w:tr>
        <w:tc>
          <w:tcPr>
            <w:tcW w:type="dxa" w:w="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7</w:t>
            </w:r>
          </w:p>
        </w:tc>
        <w:tc>
          <w:tcPr>
            <w:tcW w:type="dxa" w:w="1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7B1FA2"/>
                <w:sz w:val="18"/>
                <w:szCs w:val="18"/>
              </w:rPr>
              <w:t xml:space="preserve">Validation</w:t>
            </w:r>
          </w:p>
        </w:tc>
        <w:tc>
          <w:tcPr>
            <w:tcW w:type="dxa" w:w="2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Red Team Check</w:t>
            </w:r>
          </w:p>
        </w:tc>
        <w:tc>
          <w:tcPr>
            <w:tcW w:type="dxa" w:w="44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Adopt the adversary’s perspective. Which pressure points are managed, unmanaged, or invisible to the entity? Which are exploitable?</w:t>
            </w:r>
          </w:p>
        </w:tc>
      </w:tr>
      <w:t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8</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7B1FA2"/>
                <w:sz w:val="18"/>
                <w:szCs w:val="18"/>
              </w:rPr>
              <w:t xml:space="preserve">Diagnostic</w:t>
            </w:r>
          </w:p>
        </w:tc>
        <w:tc>
          <w:tcPr>
            <w:tcW w:type="dxa" w:w="2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McDowall Check</w:t>
            </w:r>
          </w:p>
        </w:tc>
        <w:tc>
          <w:tcPr>
            <w:tcW w:type="dxa" w:w="44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If extraction produced insufficient results: which of Information, Choice, or Consequence is missing from the situation? Supply it.</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Steps 1-4 are analysis — mechanical reads of the Schema and position that require no creative judgment. Step 5 is creative — the GM’s interpretive contribution. Step 6 is storage — recording the results persistently. Steps 7-8 are validation — checking the work and diagnosing gaps.</w:t>
      </w:r>
    </w:p>
    <w:p>
      <w:pPr>
        <w:spacing w:after="100" w:line="276"/>
      </w:pPr>
      <w:r>
        <w:rPr>
          <w:rFonts w:ascii="Garamond" w:cs="Garamond" w:eastAsia="Garamond" w:hAnsi="Garamond"/>
          <w:b w:val="false"/>
          <w:bCs w:val="false"/>
          <w:i w:val="false"/>
          <w:iCs w:val="false"/>
          <w:color w:val="333333"/>
          <w:sz w:val="21"/>
          <w:szCs w:val="21"/>
        </w:rPr>
        <w:t xml:space="preserve">During play, the Ten Questions serve as the real-time version of Steps 1-3. The player asking Q7 (“Who is performing?”) is running a live Goffman gap detection. The player asking Q2 (“Who has the most to lose?”) is running a live outlier read on the motivational landscape. The Ten Questions are the field version of the diagnostic reads that the GM performs during prep with the full Schema available.</w:t>
      </w:r>
    </w:p>
    <w:p>
      <w:r>
        <w:br w:type="page"/>
      </w:r>
    </w:p>
    <w:p>
      <w:pPr>
        <w:pStyle w:val="Heading1"/>
        <w:spacing w:after="140" w:before="300"/>
      </w:pPr>
      <w:r>
        <w:rPr>
          <w:rFonts w:ascii="Garamond" w:cs="Garamond" w:eastAsia="Garamond" w:hAnsi="Garamond"/>
          <w:b/>
          <w:bCs/>
          <w:color w:val="1A1A2E"/>
        </w:rPr>
        <w:t xml:space="preserve">FULCRUM POINT CALCULATION</w:t>
      </w:r>
    </w:p>
    <w:p>
      <w:pPr>
        <w:spacing w:after="50" w:line="276"/>
      </w:pPr>
      <w:r>
        <w:rPr>
          <w:rFonts w:ascii="Garamond" w:cs="Garamond" w:eastAsia="Garamond" w:hAnsi="Garamond"/>
          <w:b w:val="false"/>
          <w:bCs w:val="false"/>
          <w:i w:val="false"/>
          <w:iCs w:val="false"/>
          <w:color w:val="333333"/>
          <w:sz w:val="21"/>
          <w:szCs w:val="21"/>
        </w:rPr>
        <w:t xml:space="preserve">The extraction procedure produces the FP generation count as a byproduct.</w:t>
      </w:r>
    </w:p>
    <w:p>
      <w:pPr>
        <w:spacing w:after="100" w:line="276"/>
      </w:pPr>
      <w:r>
        <w:rPr>
          <w:rFonts w:ascii="Garamond" w:cs="Garamond" w:eastAsia="Garamond" w:hAnsi="Garamond"/>
          <w:b/>
          <w:bCs/>
          <w:color w:val="1A1A2E"/>
          <w:sz w:val="21"/>
          <w:szCs w:val="21"/>
        </w:rPr>
        <w:t xml:space="preserve">For individual entities: </w:t>
      </w:r>
      <w:r>
        <w:rPr>
          <w:rFonts w:ascii="Garamond" w:cs="Garamond" w:eastAsia="Garamond" w:hAnsi="Garamond"/>
          <w:b w:val="false"/>
          <w:bCs w:val="false"/>
          <w:i w:val="false"/>
          <w:iCs w:val="false"/>
          <w:color w:val="333333"/>
          <w:sz w:val="21"/>
          <w:szCs w:val="21"/>
        </w:rPr>
        <w:t xml:space="preserve">Count all pressure points identified in Steps 1-3 of the extraction procedure. This count IS the entity’s FP generation per session. No additional formula is needed. The extraction procedure and the FP generation procedure are the same operation.</w:t>
      </w:r>
    </w:p>
    <w:p>
      <w:pPr>
        <w:spacing w:after="100" w:line="276"/>
      </w:pPr>
      <w:r>
        <w:rPr>
          <w:rFonts w:ascii="Garamond" w:cs="Garamond" w:eastAsia="Garamond" w:hAnsi="Garamond"/>
          <w:b/>
          <w:bCs/>
          <w:color w:val="1A1A2E"/>
          <w:sz w:val="21"/>
          <w:szCs w:val="21"/>
        </w:rPr>
        <w:t xml:space="preserve">For institutions: </w:t>
      </w:r>
      <w:r>
        <w:rPr>
          <w:rFonts w:ascii="Garamond" w:cs="Garamond" w:eastAsia="Garamond" w:hAnsi="Garamond"/>
          <w:b w:val="false"/>
          <w:bCs w:val="false"/>
          <w:i w:val="false"/>
          <w:iCs w:val="false"/>
          <w:color w:val="333333"/>
          <w:sz w:val="21"/>
          <w:szCs w:val="21"/>
        </w:rPr>
        <w:t xml:space="preserve">Count the institutional pressure points identified in Step 4’s positional reading applied to the institution’s own Schema (Document 1B). This count is the institutional FP pool, available to whoever operates the institution.</w:t>
      </w:r>
    </w:p>
    <w:p>
      <w:pPr>
        <w:spacing w:after="100" w:line="276"/>
      </w:pPr>
      <w:r>
        <w:rPr>
          <w:rFonts w:ascii="Garamond" w:cs="Garamond" w:eastAsia="Garamond" w:hAnsi="Garamond"/>
          <w:b/>
          <w:bCs/>
          <w:color w:val="1A1A2E"/>
          <w:sz w:val="21"/>
          <w:szCs w:val="21"/>
        </w:rPr>
        <w:t xml:space="preserve">For composite entities: </w:t>
      </w:r>
      <w:r>
        <w:rPr>
          <w:rFonts w:ascii="Garamond" w:cs="Garamond" w:eastAsia="Garamond" w:hAnsi="Garamond"/>
          <w:b w:val="false"/>
          <w:bCs w:val="false"/>
          <w:i w:val="false"/>
          <w:iCs w:val="false"/>
          <w:color w:val="333333"/>
          <w:sz w:val="21"/>
          <w:szCs w:val="21"/>
        </w:rPr>
        <w:t xml:space="preserve">Sum the personal FP (Step 1-3) and the applicable positional, institutional, territorial, and divine FP pools (Document 1B). The composite FP budget determines the GM’s total narrative energy budget for this entity in this context.</w:t>
      </w:r>
    </w:p>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pressure extraction procedure at Vertebra 2 is simultaneously the diagnostic tool (finding where the story lives), the front generator input (each pressure point maps to a front at Vertebra 3), and the economy tool (each pressure point generates one FP). These three functions are not separate operations. They are three readings of the same output.</w:t>
      </w:r>
    </w:p>
    <w:p>
      <w:pPr>
        <w:pBdr>
          <w:bottom w:val="single" w:color="CCCCCC" w:sz="3" w:space="1"/>
        </w:pBdr>
        <w:spacing w:after="80" w:before="80"/>
      </w:pPr>
      <w:r>
        <w:rPr>
          <w:sz w:val="2"/>
          <w:szCs w:val="2"/>
        </w:rPr>
        <w:t xml:space="preserve"/>
      </w:r>
    </w:p>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iCs/>
          <w:color w:val="888888"/>
          <w:sz w:val="21"/>
          <w:szCs w:val="21"/>
        </w:rPr>
        <w:t xml:space="preserve">The extracted pressure points feed directly into Vertebra 3 (Fronts). Document 3A describes how each pressure point maps to a front through the contextual interpretation step, how fronts connect through relationship maps (Document 3B), and how fronts take action through faction turns (Document 3C). The NPC Assessment Card (Document 2B) is the physical form that stores all extraction output persistently across sessions.</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Garamond" w:cs="Garamond" w:eastAsia="Garamond" w:hAnsi="Garamond"/>
      <w:b/>
      <w:bCs/>
      <w:color w:val="1A1A2E"/>
      <w:sz w:val="30"/>
      <w:szCs w:val="30"/>
    </w:rPr>
  </w:style>
  <w:style w:type="paragraph" w:styleId="Heading2">
    <w:name w:val="Heading 2"/>
    <w:basedOn w:val="Normal"/>
    <w:next w:val="Normal"/>
    <w:qFormat/>
    <w:pPr>
      <w:spacing w:after="140" w:before="260"/>
      <w:outlineLvl w:val="1"/>
    </w:pPr>
    <w:rPr>
      <w:rFonts w:ascii="Garamond" w:cs="Garamond" w:eastAsia="Garamond" w:hAnsi="Garamond"/>
      <w:b/>
      <w:bCs/>
      <w:color w:val="2B2B4B"/>
      <w:sz w:val="25"/>
      <w:szCs w:val="25"/>
    </w:rPr>
  </w:style>
  <w:style w:type="paragraph" w:styleId="Heading3">
    <w:name w:val="Heading 3"/>
    <w:basedOn w:val="Normal"/>
    <w:next w:val="Normal"/>
    <w:qFormat/>
    <w:pPr>
      <w:spacing w:after="100" w:before="200"/>
      <w:outlineLvl w:val="2"/>
    </w:pPr>
    <w:rPr>
      <w:rFonts w:ascii="Garamond" w:cs="Garamond" w:eastAsia="Garamond" w:hAnsi="Garamond"/>
      <w:b/>
      <w:bCs/>
      <w:color w:val="4444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2026-04-15T00:56:57.318Z</dcterms:created>
  <dcterms:modified xsi:type="dcterms:W3CDTF">2026-04-15T00:56:57.319Z</dcterms:modified>
</cp:coreProperties>
</file>

<file path=docProps/custom.xml><?xml version="1.0" encoding="utf-8"?>
<Properties xmlns="http://schemas.openxmlformats.org/officeDocument/2006/custom-properties" xmlns:vt="http://schemas.openxmlformats.org/officeDocument/2006/docPropsVTypes"/>
</file>