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8"/>
          <w:szCs w:val="48"/>
        </w:rPr>
        <w:t xml:space="preserve">FRONT ARCHITECTURE</w:t>
      </w:r>
    </w:p>
    <w:p>
      <w:pPr>
        <w:spacing w:after="30"/>
        <w:jc w:val="center"/>
      </w:pPr>
      <w:r>
        <w:rPr>
          <w:rFonts w:ascii="Garamond" w:cs="Garamond" w:eastAsia="Garamond" w:hAnsi="Garamond"/>
          <w:color w:val="666666"/>
          <w:sz w:val="24"/>
          <w:szCs w:val="24"/>
        </w:rPr>
        <w:t xml:space="preserve">Organized Actors, Plans, and Connections</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3A — Vertebra 3: Fronts</w:t>
      </w:r>
    </w:p>
    <w:p>
      <w:pPr>
        <w:spacing w:after="500"/>
        <w:jc w:val="center"/>
      </w:pPr>
      <w:r>
        <w:rPr>
          <w:rFonts w:ascii="Garamond" w:cs="Garamond" w:eastAsia="Garamond" w:hAnsi="Garamond"/>
          <w:i/>
          <w:iCs/>
          <w:color w:val="999999"/>
          <w:sz w:val="18"/>
          <w:szCs w:val="18"/>
        </w:rPr>
        <w:t xml:space="preserve">The organizational layer of the spine — where pressure becomes action</w:t>
      </w:r>
    </w:p>
    <w:p>
      <w:r>
        <w:br w:type="page"/>
      </w:r>
    </w:p>
    <w:p>
      <w:pPr>
        <w:pStyle w:val="Heading1"/>
        <w:spacing w:after="140" w:before="300"/>
      </w:pPr>
      <w:r>
        <w:rPr>
          <w:rFonts w:ascii="Garamond" w:cs="Garamond" w:eastAsia="Garamond" w:hAnsi="Garamond"/>
          <w:b/>
          <w:bCs/>
          <w:color w:val="1A1A2E"/>
        </w:rPr>
        <w:t xml:space="preserve">WHAT A FRONT IS</w:t>
      </w:r>
    </w:p>
    <w:p>
      <w:pPr>
        <w:spacing w:after="100" w:line="276"/>
      </w:pPr>
      <w:r>
        <w:rPr>
          <w:rFonts w:ascii="Garamond" w:cs="Garamond" w:eastAsia="Garamond" w:hAnsi="Garamond"/>
          <w:b w:val="false"/>
          <w:bCs w:val="false"/>
          <w:i w:val="false"/>
          <w:iCs w:val="false"/>
          <w:color w:val="333333"/>
          <w:sz w:val="21"/>
          <w:szCs w:val="21"/>
        </w:rPr>
        <w:t xml:space="preserve">A front is a motivated actor pursuing a goal through a specific methodology with specific resources along a trajectory that will produce a specific outcome if no one intervenes. It is the organizing structure that converts pressure points (Vertebra 2) into clocks (Vertebra 4). Without fronts, pressure points are static observations. With fronts, pressure points become stories in motion.</w:t>
      </w:r>
    </w:p>
    <w:p>
      <w:pPr>
        <w:spacing w:after="100" w:line="276"/>
      </w:pPr>
      <w:r>
        <w:rPr>
          <w:rFonts w:ascii="Garamond" w:cs="Garamond" w:eastAsia="Garamond" w:hAnsi="Garamond"/>
          <w:b w:val="false"/>
          <w:bCs w:val="false"/>
          <w:i w:val="false"/>
          <w:iCs w:val="false"/>
          <w:color w:val="333333"/>
          <w:sz w:val="21"/>
          <w:szCs w:val="21"/>
        </w:rPr>
        <w:t xml:space="preserve">A front is not a villain. A front is not a plot. A front is a situation with momentum. The Wildpath Wardens running containment operations in the Titanwood is a front. The Sovereign Exchange expanding trade routes into contested territory is a front. A chirurgeon trending toward numbness while managing a hospital wing is a front. Any entity pursuing an objective through sustained action over time is running a front, whether they intend to or not.</w:t>
      </w:r>
    </w:p>
    <w:p>
      <w:pPr>
        <w:spacing w:after="100" w:line="276"/>
      </w:pPr>
      <w:r>
        <w:rPr>
          <w:rFonts w:ascii="Garamond" w:cs="Garamond" w:eastAsia="Garamond" w:hAnsi="Garamond"/>
          <w:b w:val="false"/>
          <w:bCs w:val="false"/>
          <w:i w:val="false"/>
          <w:iCs w:val="false"/>
          <w:color w:val="333333"/>
          <w:sz w:val="21"/>
          <w:szCs w:val="21"/>
        </w:rPr>
        <w:t xml:space="preserve">The spine produces fronts from pressure points through the Contextual Interpretation step (Document 2A). Each pressure point identified at Vertebra 2 maps to at least one front. The front’s character is determined by which type of pressure point generated it.</w:t>
      </w:r>
    </w:p>
    <w:p>
      <w:r>
        <w:br w:type="page"/>
      </w:r>
    </w:p>
    <w:p>
      <w:pPr>
        <w:pStyle w:val="Heading1"/>
        <w:spacing w:after="140" w:before="300"/>
      </w:pPr>
      <w:r>
        <w:rPr>
          <w:rFonts w:ascii="Garamond" w:cs="Garamond" w:eastAsia="Garamond" w:hAnsi="Garamond"/>
          <w:b/>
          <w:bCs/>
          <w:color w:val="1A1A2E"/>
        </w:rPr>
        <w:t xml:space="preserve">FRONT GENERATION: FROM PRESSURE TO ACTION</w:t>
      </w:r>
    </w:p>
    <w:p>
      <w:pPr>
        <w:spacing w:after="50" w:line="276"/>
      </w:pPr>
      <w:r>
        <w:rPr>
          <w:rFonts w:ascii="Garamond" w:cs="Garamond" w:eastAsia="Garamond" w:hAnsi="Garamond"/>
          <w:b w:val="false"/>
          <w:bCs w:val="false"/>
          <w:i w:val="false"/>
          <w:iCs w:val="false"/>
          <w:color w:val="333333"/>
          <w:sz w:val="21"/>
          <w:szCs w:val="21"/>
        </w:rPr>
        <w:t xml:space="preserve">The Contextual Interpretation step (Document 2A, Step 5) maps each pressure point to a front. The mapping follows the pressure point’s type:</w:t>
      </w:r>
    </w:p>
    <w:p>
      <w:pPr>
        <w:pStyle w:val="Heading2"/>
        <w:spacing w:after="100" w:before="220"/>
      </w:pPr>
      <w:r>
        <w:rPr>
          <w:rFonts w:ascii="Garamond" w:cs="Garamond" w:eastAsia="Garamond" w:hAnsi="Garamond"/>
          <w:b/>
          <w:bCs/>
          <w:color w:val="2B2B4B"/>
        </w:rPr>
        <w:t xml:space="preserve">Maintenance Fronts — from Outlier Scores</w:t>
      </w:r>
    </w:p>
    <w:p>
      <w:pPr>
        <w:spacing w:after="100" w:line="276"/>
      </w:pPr>
      <w:r>
        <w:rPr>
          <w:rFonts w:ascii="Garamond" w:cs="Garamond" w:eastAsia="Garamond" w:hAnsi="Garamond"/>
          <w:b w:val="false"/>
          <w:bCs w:val="false"/>
          <w:i w:val="false"/>
          <w:iCs w:val="false"/>
          <w:color w:val="333333"/>
          <w:sz w:val="21"/>
          <w:szCs w:val="21"/>
        </w:rPr>
        <w:t xml:space="preserve">An outlier score (above 80 or below 20) represents a load-bearing conviction or an absent capacity. The entity is actively investing energy in sustaining or suppressing the extreme value. That investment IS a front — the entity’s ongoing effort to maintain the extreme. Kyril’s Constantine 95 generates the Institutional Maintenance front because the duty IS the institution’s operation. The front exists because the outlier demands continuous energy.</w:t>
      </w:r>
    </w:p>
    <w:p>
      <w:pPr>
        <w:spacing w:after="100" w:line="276"/>
      </w:pPr>
      <w:r>
        <w:rPr>
          <w:rFonts w:ascii="Garamond" w:cs="Garamond" w:eastAsia="Garamond" w:hAnsi="Garamond"/>
          <w:b w:val="false"/>
          <w:bCs w:val="false"/>
          <w:i w:val="false"/>
          <w:iCs w:val="false"/>
          <w:color w:val="333333"/>
          <w:sz w:val="21"/>
          <w:szCs w:val="21"/>
        </w:rPr>
        <w:t xml:space="preserve">Maintenance fronts are the background hum. They run constantly. They rarely produce dramatic symptoms on their own. They become dramatic when OTHER fronts divert the entity’s attention and the maintenance front begins to degrade. The first sign that something is wrong is usually the maintenance front faltering — the institution’s routine slipping, the commitment wavering, the suppressed dimension leaking through.</w:t>
      </w:r>
    </w:p>
    <w:p>
      <w:pPr>
        <w:pStyle w:val="Heading2"/>
        <w:spacing w:after="100" w:before="220"/>
      </w:pPr>
      <w:r>
        <w:rPr>
          <w:rFonts w:ascii="Garamond" w:cs="Garamond" w:eastAsia="Garamond" w:hAnsi="Garamond"/>
          <w:b/>
          <w:bCs/>
          <w:color w:val="2B2B4B"/>
        </w:rPr>
        <w:t xml:space="preserve">Conflict Fronts — from Asymmetric Splits</w:t>
      </w:r>
    </w:p>
    <w:p>
      <w:pPr>
        <w:spacing w:after="100" w:line="276"/>
      </w:pPr>
      <w:r>
        <w:rPr>
          <w:rFonts w:ascii="Garamond" w:cs="Garamond" w:eastAsia="Garamond" w:hAnsi="Garamond"/>
          <w:b w:val="false"/>
          <w:bCs w:val="false"/>
          <w:i w:val="false"/>
          <w:iCs w:val="false"/>
          <w:color w:val="333333"/>
          <w:sz w:val="21"/>
          <w:szCs w:val="21"/>
        </w:rPr>
        <w:t xml:space="preserve">An asymmetric split (paired gap exceeding 50 points) means the world will inevitably present situations that require the suppressed aspect. The entity either fails or breaks. The conflict front is the story of that collision — the entity’s dominant aspect encountering a situation that demands the aspect they cannot access.</w:t>
      </w:r>
    </w:p>
    <w:p>
      <w:pPr>
        <w:spacing w:after="100" w:line="276"/>
      </w:pPr>
      <w:r>
        <w:rPr>
          <w:rFonts w:ascii="Garamond" w:cs="Garamond" w:eastAsia="Garamond" w:hAnsi="Garamond"/>
          <w:b w:val="false"/>
          <w:bCs w:val="false"/>
          <w:i w:val="false"/>
          <w:iCs w:val="false"/>
          <w:color w:val="333333"/>
          <w:sz w:val="21"/>
          <w:szCs w:val="21"/>
        </w:rPr>
        <w:t xml:space="preserve">Kyril’s Veritas 90 / Gnosis 15 split generates the Vestus Containment front because Vestus IS the Gnosis aspect made divine. The conflict is structural — Kyril cannot engage with decontextualized knowledge-seeking without distortion, and the world keeps presenting him with exactly that demand through Vestus’s institutional probing.</w:t>
      </w:r>
    </w:p>
    <w:p>
      <w:pPr>
        <w:spacing w:after="100" w:line="276"/>
      </w:pPr>
      <w:r>
        <w:rPr>
          <w:rFonts w:ascii="Garamond" w:cs="Garamond" w:eastAsia="Garamond" w:hAnsi="Garamond"/>
          <w:b w:val="false"/>
          <w:bCs w:val="false"/>
          <w:i w:val="false"/>
          <w:iCs w:val="false"/>
          <w:color w:val="333333"/>
          <w:sz w:val="21"/>
          <w:szCs w:val="21"/>
        </w:rPr>
        <w:t xml:space="preserve">Conflict fronts produce the most dramatic clock moments because they force the entity into encounters they are structurally unable to handle well. The intervention threshold on a conflict front’s clock is the point where the entity’s coping mechanism fails and the suppressed aspect erupts.</w:t>
      </w:r>
    </w:p>
    <w:p>
      <w:pPr>
        <w:pStyle w:val="Heading2"/>
        <w:spacing w:after="100" w:before="220"/>
      </w:pPr>
      <w:r>
        <w:rPr>
          <w:rFonts w:ascii="Garamond" w:cs="Garamond" w:eastAsia="Garamond" w:hAnsi="Garamond"/>
          <w:b/>
          <w:bCs/>
          <w:color w:val="2B2B4B"/>
        </w:rPr>
        <w:t xml:space="preserve">Mystery Fronts — from Pattern Breaks</w:t>
      </w:r>
    </w:p>
    <w:p>
      <w:pPr>
        <w:spacing w:after="100" w:line="276"/>
      </w:pPr>
      <w:r>
        <w:rPr>
          <w:rFonts w:ascii="Garamond" w:cs="Garamond" w:eastAsia="Garamond" w:hAnsi="Garamond"/>
          <w:b w:val="false"/>
          <w:bCs w:val="false"/>
          <w:i w:val="false"/>
          <w:iCs w:val="false"/>
          <w:color w:val="333333"/>
          <w:sz w:val="21"/>
          <w:szCs w:val="21"/>
        </w:rPr>
        <w:t xml:space="preserve">A pattern break (score contradicting expected profile) means the entity is doing something their conscious self-model cannot explain. The mystery front is the story of that hidden pressure surfacing — the entity’s behavior generating observable anomalies that neither they nor the observer can immediately account for.</w:t>
      </w:r>
    </w:p>
    <w:p>
      <w:pPr>
        <w:spacing w:after="100" w:line="276"/>
      </w:pPr>
      <w:r>
        <w:rPr>
          <w:rFonts w:ascii="Garamond" w:cs="Garamond" w:eastAsia="Garamond" w:hAnsi="Garamond"/>
          <w:b w:val="false"/>
          <w:bCs w:val="false"/>
          <w:i w:val="false"/>
          <w:iCs w:val="false"/>
          <w:color w:val="333333"/>
          <w:sz w:val="21"/>
          <w:szCs w:val="21"/>
        </w:rPr>
        <w:t xml:space="preserve">Kyril’s Veyra 55 break generates the double-blind dynamic with Vestus. The mystery front is the richest adventure generator because it leads toward revelations that reshape the campaign’s understanding of the setting. Mystery fronts are the fronts the party investigates — the symptoms are anomalous behavior that doesn’t match the entity’s known profile, and the investigation leads toward the hidden truth.</w:t>
      </w:r>
    </w:p>
    <w:p>
      <w:pPr>
        <w:pStyle w:val="Heading2"/>
        <w:spacing w:after="100" w:before="220"/>
      </w:pPr>
      <w:r>
        <w:rPr>
          <w:rFonts w:ascii="Garamond" w:cs="Garamond" w:eastAsia="Garamond" w:hAnsi="Garamond"/>
          <w:b/>
          <w:bCs/>
          <w:color w:val="2B2B4B"/>
        </w:rPr>
        <w:t xml:space="preserve">Operational Fronts — from Positional Demands</w:t>
      </w:r>
    </w:p>
    <w:p>
      <w:pPr>
        <w:spacing w:after="100" w:line="276"/>
      </w:pPr>
      <w:r>
        <w:rPr>
          <w:rFonts w:ascii="Garamond" w:cs="Garamond" w:eastAsia="Garamond" w:hAnsi="Garamond"/>
          <w:b w:val="false"/>
          <w:bCs w:val="false"/>
          <w:i w:val="false"/>
          <w:iCs w:val="false"/>
          <w:color w:val="333333"/>
          <w:sz w:val="21"/>
          <w:szCs w:val="21"/>
        </w:rPr>
        <w:t xml:space="preserve">The positional reading (Document 2A, Step 4) produces external pressure points — demands the role generates regardless of who occupies it. Each positional demand maps to an operational front. These are the fronts that any entity in this position would run: institutional obligations, structural dependencies, inter-entity diplomacy.</w:t>
      </w:r>
    </w:p>
    <w:p>
      <w:pPr>
        <w:spacing w:after="100" w:line="276"/>
      </w:pPr>
      <w:r>
        <w:rPr>
          <w:rFonts w:ascii="Garamond" w:cs="Garamond" w:eastAsia="Garamond" w:hAnsi="Garamond"/>
          <w:b w:val="false"/>
          <w:bCs w:val="false"/>
          <w:i w:val="false"/>
          <w:iCs w:val="false"/>
          <w:color w:val="333333"/>
          <w:sz w:val="21"/>
          <w:szCs w:val="21"/>
        </w:rPr>
        <w:t xml:space="preserve">Operational fronts are not derived from the Schema. They are derived from the position. Any headmaster of Mortis Ævum runs the Institutional Maintenance front because the position demands it. Any senior Stormpeak officer runs a personnel management front because the role requires it. The personal Schema shapes HOW the entity handles the operational front, not WHETHER the front exists.</w:t>
      </w:r>
    </w:p>
    <w:p>
      <w:r>
        <w:br w:type="page"/>
      </w:r>
    </w:p>
    <w:p>
      <w:pPr>
        <w:pStyle w:val="Heading1"/>
        <w:spacing w:after="140" w:before="300"/>
      </w:pPr>
      <w:r>
        <w:rPr>
          <w:rFonts w:ascii="Garamond" w:cs="Garamond" w:eastAsia="Garamond" w:hAnsi="Garamond"/>
          <w:b/>
          <w:bCs/>
          <w:color w:val="1A1A2E"/>
        </w:rPr>
        <w:t xml:space="preserve">THE FRONT TEMPLATE</w:t>
      </w:r>
    </w:p>
    <w:p>
      <w:pPr>
        <w:spacing w:after="50" w:line="276"/>
      </w:pPr>
      <w:r>
        <w:rPr>
          <w:rFonts w:ascii="Garamond" w:cs="Garamond" w:eastAsia="Garamond" w:hAnsi="Garamond"/>
          <w:b w:val="false"/>
          <w:bCs w:val="false"/>
          <w:i w:val="false"/>
          <w:iCs w:val="false"/>
          <w:color w:val="333333"/>
          <w:sz w:val="21"/>
          <w:szCs w:val="21"/>
        </w:rPr>
        <w:t xml:space="preserve">Eight fields define a front. Each field connects to a specific source in the preceding vertebrae.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160"/>
        <w:gridCol w:w="3200"/>
      </w:tblGrid>
      <w:tr>
        <w:tc>
          <w:tcPr>
            <w:tcW w:type="dxa" w:w="600"/>
            <w:gridSpan w:val="1"/>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t>
            </w:r>
          </w:p>
        </w:tc>
        <w:tc>
          <w:tcPr>
            <w:tcW w:type="dxa" w:w="1400"/>
            <w:gridSpan w:val="1"/>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Field</w:t>
            </w:r>
          </w:p>
        </w:tc>
        <w:tc>
          <w:tcPr>
            <w:tcW w:type="dxa" w:w="4160"/>
            <w:gridSpan w:val="1"/>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What It Does</w:t>
            </w:r>
          </w:p>
        </w:tc>
        <w:tc>
          <w:tcPr>
            <w:tcW w:type="dxa" w:w="3200"/>
            <w:gridSpan w:val="1"/>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Source</w:t>
            </w:r>
          </w:p>
        </w:tc>
      </w:tr>
      <w:tr>
        <w:tc>
          <w:tcPr>
            <w:tcW w:type="dxa" w:w="6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14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Identity</w:t>
            </w:r>
          </w:p>
        </w:tc>
        <w:tc>
          <w:tcPr>
            <w:tcW w:type="dxa" w:w="416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Who or what is driving this front. Named and specific. A faction, institution, specific NPC, coalition, or location.</w:t>
            </w:r>
          </w:p>
        </w:tc>
        <w:tc>
          <w:tcPr>
            <w:tcW w:type="dxa" w:w="32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setting’s existing actors. Colleges, guilds, governments, individuals with institutional backing, or reactive environments.</w:t>
            </w:r>
          </w:p>
        </w:tc>
      </w:tr>
      <w:tr>
        <w:tc>
          <w:tcPr>
            <w:tcW w:type="dxa" w:w="6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14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Motivation</w:t>
            </w:r>
          </w:p>
        </w:tc>
        <w:tc>
          <w:tcPr>
            <w:tcW w:type="dxa" w:w="416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WHY this front pursues its goal. Mapped to the driving NPC’s Schema AND college philosophy. Not “they want power” — which KIND of power, pursued for which REASONS, shaped by which persistent test.</w:t>
            </w:r>
          </w:p>
        </w:tc>
        <w:tc>
          <w:tcPr>
            <w:tcW w:type="dxa" w:w="32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Schema scores + college affiliation + personal clock position. A master-trending NPC has different motivation than a failure-trending NPC running the same institutional machinery.</w:t>
            </w:r>
          </w:p>
        </w:tc>
      </w:tr>
      <w:tr>
        <w:tc>
          <w:tcPr>
            <w:tcW w:type="dxa" w:w="6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14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Methodology</w:t>
            </w:r>
          </w:p>
        </w:tc>
        <w:tc>
          <w:tcPr>
            <w:tcW w:type="dxa" w:w="416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HOW the front pursues its goal. Determines clock segment structure, tick triggers, and observable symptoms. Expressed through the Spell Sentence vocabulary.</w:t>
            </w:r>
          </w:p>
        </w:tc>
        <w:tc>
          <w:tcPr>
            <w:tcW w:type="dxa" w:w="32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College operational approach. Chronosynclastic: information and probability. Stormpeak: military force. Unity: social engineering. Deepguard: legal and engineering. The 19 canonical effects describe institutional action.</w:t>
            </w:r>
          </w:p>
        </w:tc>
      </w:tr>
      <w:tr>
        <w:tc>
          <w:tcPr>
            <w:tcW w:type="dxa" w:w="6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w:t>
            </w:r>
          </w:p>
        </w:tc>
        <w:tc>
          <w:tcPr>
            <w:tcW w:type="dxa" w:w="14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Assets</w:t>
            </w:r>
          </w:p>
        </w:tc>
        <w:tc>
          <w:tcPr>
            <w:tcW w:type="dxa" w:w="416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resources the front commands. Physical (troops, equipment, territory), Mental (intelligence, expertise), Social (relationships, reputation), Metaphysical (magical capability, planar connections, divine backing).</w:t>
            </w:r>
          </w:p>
        </w:tc>
        <w:tc>
          <w:tcPr>
            <w:tcW w:type="dxa" w:w="32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Four Condition Track pillars + college-specific capabilities + territorial isotope resources (Dual Periodic Table). A front’s isotope access determines what it can build, deploy, and sustain.</w:t>
            </w:r>
          </w:p>
        </w:tc>
      </w:tr>
      <w:tr>
        <w:tc>
          <w:tcPr>
            <w:tcW w:type="dxa" w:w="6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w:t>
            </w:r>
          </w:p>
        </w:tc>
        <w:tc>
          <w:tcPr>
            <w:tcW w:type="dxa" w:w="14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Representation Chain</w:t>
            </w:r>
          </w:p>
        </w:tc>
        <w:tc>
          <w:tcPr>
            <w:tcW w:type="dxa" w:w="416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How the front’s intent flows from driving actor through intermediaries to ground-level execution. At each link: what information is added, lost, or distorted. The party interacts with the BOTTOM of the chain.</w:t>
            </w:r>
          </w:p>
        </w:tc>
        <w:tc>
          <w:tcPr>
            <w:tcW w:type="dxa" w:w="32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Institutional hierarchy. Headmaster → faculty → regional representative → local operative. The distortion at each link IS the story.</w:t>
            </w:r>
          </w:p>
        </w:tc>
      </w:tr>
      <w:tr>
        <w:tc>
          <w:tcPr>
            <w:tcW w:type="dxa" w:w="6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6</w:t>
            </w:r>
          </w:p>
        </w:tc>
        <w:tc>
          <w:tcPr>
            <w:tcW w:type="dxa" w:w="14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Clocks</w:t>
            </w:r>
          </w:p>
        </w:tc>
        <w:tc>
          <w:tcPr>
            <w:tcW w:type="dxa" w:w="416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front’s active operations. Multiple clocks per front (typically 2-4). Each follows the clock template (Document 4A). Prep produces clock POTENTIAL. Play produces parameterized clocks.</w:t>
            </w:r>
          </w:p>
        </w:tc>
        <w:tc>
          <w:tcPr>
            <w:tcW w:type="dxa" w:w="32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Created when the front enters active play. The front sheet lists potential clocks. The GM instantiates specific clocks when the party engages with the front’s area of operation.</w:t>
            </w:r>
          </w:p>
        </w:tc>
      </w:tr>
      <w:tr>
        <w:tc>
          <w:tcPr>
            <w:tcW w:type="dxa" w:w="6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7</w:t>
            </w:r>
          </w:p>
        </w:tc>
        <w:tc>
          <w:tcPr>
            <w:tcW w:type="dxa" w:w="14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Relationships</w:t>
            </w:r>
          </w:p>
        </w:tc>
        <w:tc>
          <w:tcPr>
            <w:tcW w:type="dxa" w:w="416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How this front connects to other fronts. Trust, debt, and tension on each connection. The connections are the channels through which clock effects propagate. Reference Document 3B.</w:t>
            </w:r>
          </w:p>
        </w:tc>
        <w:tc>
          <w:tcPr>
            <w:tcW w:type="dxa" w:w="32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relationship map. Bidirectional edges with three properties. When this front’s clocks advance, the connected fronts feel pressure through these edges.</w:t>
            </w:r>
          </w:p>
        </w:tc>
      </w:tr>
      <w:tr>
        <w:tc>
          <w:tcPr>
            <w:tcW w:type="dxa" w:w="6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8</w:t>
            </w:r>
          </w:p>
        </w:tc>
        <w:tc>
          <w:tcPr>
            <w:tcW w:type="dxa" w:w="14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Failure Trajectory</w:t>
            </w:r>
          </w:p>
        </w:tc>
        <w:tc>
          <w:tcPr>
            <w:tcW w:type="dxa" w:w="416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happens if the driving NPC trends toward slag. The front’s character shifts as the NPC’s personal clock advances toward the college’s failure state.</w:t>
            </w:r>
          </w:p>
        </w:tc>
        <w:tc>
          <w:tcPr>
            <w:tcW w:type="dxa" w:w="32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Personal clock position + college failure state. A Chronosynclastic front driven by a paranoid analyst starts seeing conspiracies in the data. A Unity front driven by a captured architect optimizes without seeing individuals.</w:t>
            </w:r>
          </w:p>
        </w:tc>
      </w:tr>
    </w:tbl>
    <w:p>
      <w:r>
        <w:br w:type="page"/>
      </w:r>
    </w:p>
    <w:p>
      <w:pPr>
        <w:pStyle w:val="Heading1"/>
        <w:spacing w:after="140" w:before="300"/>
      </w:pPr>
      <w:r>
        <w:rPr>
          <w:rFonts w:ascii="Garamond" w:cs="Garamond" w:eastAsia="Garamond" w:hAnsi="Garamond"/>
          <w:b/>
          <w:bCs/>
          <w:color w:val="1A1A2E"/>
        </w:rPr>
        <w:t xml:space="preserve">FRONT TYPES</w:t>
      </w:r>
    </w:p>
    <w:p>
      <w:pPr>
        <w:spacing w:after="50" w:line="276"/>
      </w:pPr>
      <w:r>
        <w:rPr>
          <w:rFonts w:ascii="Garamond" w:cs="Garamond" w:eastAsia="Garamond" w:hAnsi="Garamond"/>
          <w:b w:val="false"/>
          <w:bCs w:val="false"/>
          <w:i w:val="false"/>
          <w:iCs w:val="false"/>
          <w:color w:val="333333"/>
          <w:sz w:val="21"/>
          <w:szCs w:val="21"/>
        </w:rPr>
        <w:t xml:space="preserve">Four types of fronts, distinguished by what kind of entity drives them. The template is identical. The content differs.</w:t>
      </w:r>
    </w:p>
    <w:p>
      <w:pPr>
        <w:pStyle w:val="Heading2"/>
        <w:spacing w:after="100" w:before="220"/>
      </w:pPr>
      <w:r>
        <w:rPr>
          <w:rFonts w:ascii="Garamond" w:cs="Garamond" w:eastAsia="Garamond" w:hAnsi="Garamond"/>
          <w:b/>
          <w:bCs/>
          <w:color w:val="2B2B4B"/>
        </w:rPr>
        <w:t xml:space="preserve">Institutional Fronts</w:t>
      </w:r>
    </w:p>
    <w:p>
      <w:pPr>
        <w:spacing w:after="100" w:line="276"/>
      </w:pPr>
      <w:r>
        <w:rPr>
          <w:rFonts w:ascii="Garamond" w:cs="Garamond" w:eastAsia="Garamond" w:hAnsi="Garamond"/>
          <w:b w:val="false"/>
          <w:bCs w:val="false"/>
          <w:i w:val="false"/>
          <w:iCs w:val="false"/>
          <w:color w:val="333333"/>
          <w:sz w:val="21"/>
          <w:szCs w:val="21"/>
        </w:rPr>
        <w:t xml:space="preserve">Driven by colleges, guilds, governments, or other formal organizations. The institution’s charter defines the methodology. The headmaster or leader’s Schema shapes the expression. The representation chain is long — multiple layers of distortion between institutional intent and ground-level execution.</w:t>
      </w:r>
    </w:p>
    <w:p>
      <w:pPr>
        <w:spacing w:after="100" w:line="276"/>
      </w:pPr>
      <w:r>
        <w:rPr>
          <w:rFonts w:ascii="Garamond" w:cs="Garamond" w:eastAsia="Garamond" w:hAnsi="Garamond"/>
          <w:b w:val="false"/>
          <w:bCs w:val="false"/>
          <w:i w:val="false"/>
          <w:iCs w:val="false"/>
          <w:color w:val="333333"/>
          <w:sz w:val="21"/>
          <w:szCs w:val="21"/>
        </w:rPr>
        <w:t xml:space="preserve">The nine colleges are nine permanent institutional fronts in the setting. Their methodologies are defined by their initiations (College Initiations Canon). Their interactions drive the world’s political, social, and metaphysical dynamics. Every inter-college relationship is a front connection with trust, debt, and tension properties.</w:t>
      </w:r>
    </w:p>
    <w:p>
      <w:pPr>
        <w:pStyle w:val="Heading2"/>
        <w:spacing w:after="100" w:before="220"/>
      </w:pPr>
      <w:r>
        <w:rPr>
          <w:rFonts w:ascii="Garamond" w:cs="Garamond" w:eastAsia="Garamond" w:hAnsi="Garamond"/>
          <w:b/>
          <w:bCs/>
          <w:color w:val="2B2B4B"/>
        </w:rPr>
        <w:t xml:space="preserve">Individual Fronts</w:t>
      </w:r>
    </w:p>
    <w:p>
      <w:pPr>
        <w:spacing w:after="100" w:line="276"/>
      </w:pPr>
      <w:r>
        <w:rPr>
          <w:rFonts w:ascii="Garamond" w:cs="Garamond" w:eastAsia="Garamond" w:hAnsi="Garamond"/>
          <w:b w:val="false"/>
          <w:bCs w:val="false"/>
          <w:i w:val="false"/>
          <w:iCs w:val="false"/>
          <w:color w:val="333333"/>
          <w:sz w:val="21"/>
          <w:szCs w:val="21"/>
        </w:rPr>
        <w:t xml:space="preserve">Driven by a single NPC pursuing personal objectives. The representation chain is short or absent — the NPC acts directly. Individual fronts are generated from the NPC’s personal Schema pressure points (maintenance, conflict, and mystery fronts). They are the most common front type for adventure-scale play because the party encounters individuals more frequently than institutions.</w:t>
      </w:r>
    </w:p>
    <w:p>
      <w:pPr>
        <w:spacing w:after="100" w:line="276"/>
      </w:pPr>
      <w:r>
        <w:rPr>
          <w:rFonts w:ascii="Garamond" w:cs="Garamond" w:eastAsia="Garamond" w:hAnsi="Garamond"/>
          <w:b w:val="false"/>
          <w:bCs w:val="false"/>
          <w:i w:val="false"/>
          <w:iCs w:val="false"/>
          <w:color w:val="333333"/>
          <w:sz w:val="21"/>
          <w:szCs w:val="21"/>
        </w:rPr>
        <w:t xml:space="preserve">An individual front operating within an institutional context inherits the institution’s methodology but applies it through the NPC’s personal lens. A rogue Chronosynclastic analyst running a personal intelligence operation is an individual front using institutional methodology without institutional authorization. The gap between the personal and institutional is itself a pressure point.</w:t>
      </w:r>
    </w:p>
    <w:p>
      <w:pPr>
        <w:pStyle w:val="Heading2"/>
        <w:spacing w:after="100" w:before="220"/>
      </w:pPr>
      <w:r>
        <w:rPr>
          <w:rFonts w:ascii="Garamond" w:cs="Garamond" w:eastAsia="Garamond" w:hAnsi="Garamond"/>
          <w:b/>
          <w:bCs/>
          <w:color w:val="2B2B4B"/>
        </w:rPr>
        <w:t xml:space="preserve">Location Fronts (Project Slaughterhouse)</w:t>
      </w:r>
    </w:p>
    <w:p>
      <w:pPr>
        <w:spacing w:after="100" w:line="276"/>
      </w:pPr>
      <w:r>
        <w:rPr>
          <w:rFonts w:ascii="Garamond" w:cs="Garamond" w:eastAsia="Garamond" w:hAnsi="Garamond"/>
          <w:b w:val="false"/>
          <w:bCs w:val="false"/>
          <w:i w:val="false"/>
          <w:iCs w:val="false"/>
          <w:color w:val="333333"/>
          <w:sz w:val="21"/>
          <w:szCs w:val="21"/>
        </w:rPr>
        <w:t xml:space="preserve">Driven by a physical environment that behaves as a reactive organism. The dungeon, the contested zone, the living ecosystem. The location has assets (monsters, traps, environmental hazards), methodology (how it responds to intrusion), and a representation chain (the location’s inhabitants at different depths represent different levels of the environment’s defensive response).</w:t>
      </w:r>
    </w:p>
    <w:p>
      <w:pPr>
        <w:spacing w:after="100" w:line="276"/>
      </w:pPr>
      <w:r>
        <w:rPr>
          <w:rFonts w:ascii="Garamond" w:cs="Garamond" w:eastAsia="Garamond" w:hAnsi="Garamond"/>
          <w:b w:val="false"/>
          <w:bCs w:val="false"/>
          <w:i w:val="false"/>
          <w:iCs w:val="false"/>
          <w:color w:val="333333"/>
          <w:sz w:val="21"/>
          <w:szCs w:val="21"/>
        </w:rPr>
        <w:t xml:space="preserve">The Titanwood IS a location front. It has motivation (biological expansion), methodology (Verdant Font isotope expression), assets (fauna, flora, failed Wardens), and a failure trajectory (if uncontained, the ecosystem consumes adjacent civilization). The Crash Site beneath Mortis Ævum is a location front. The Pythia Gauntlet between Stormpeak and the Chronosynclastic Institute is a location front.</w:t>
      </w:r>
    </w:p>
    <w:p>
      <w:pPr>
        <w:spacing w:after="100" w:line="276"/>
      </w:pPr>
      <w:r>
        <w:rPr>
          <w:rFonts w:ascii="Garamond" w:cs="Garamond" w:eastAsia="Garamond" w:hAnsi="Garamond"/>
          <w:b w:val="false"/>
          <w:bCs w:val="false"/>
          <w:i w:val="false"/>
          <w:iCs w:val="false"/>
          <w:color w:val="333333"/>
          <w:sz w:val="21"/>
          <w:szCs w:val="21"/>
        </w:rPr>
        <w:t xml:space="preserve">Location fronts respond to the party’s actions as an organism responds to disturbance. The goblins in room 4 hear the fight in room 3 and react. The ecosystem shifts when resources are extracted. The environment has its own logic that produces consequences independent of any NPC’s intentions. The location front’s clocks track the environment’s state rather than an actor’s progress.</w:t>
      </w:r>
    </w:p>
    <w:p>
      <w:pPr>
        <w:pStyle w:val="Heading2"/>
        <w:spacing w:after="100" w:before="220"/>
      </w:pPr>
      <w:r>
        <w:rPr>
          <w:rFonts w:ascii="Garamond" w:cs="Garamond" w:eastAsia="Garamond" w:hAnsi="Garamond"/>
          <w:b/>
          <w:bCs/>
          <w:color w:val="2B2B4B"/>
        </w:rPr>
        <w:t xml:space="preserve">Territorial Fronts</w:t>
      </w:r>
    </w:p>
    <w:p>
      <w:pPr>
        <w:spacing w:after="100" w:line="276"/>
      </w:pPr>
      <w:r>
        <w:rPr>
          <w:rFonts w:ascii="Garamond" w:cs="Garamond" w:eastAsia="Garamond" w:hAnsi="Garamond"/>
          <w:b w:val="false"/>
          <w:bCs w:val="false"/>
          <w:i w:val="false"/>
          <w:iCs w:val="false"/>
          <w:color w:val="333333"/>
          <w:sz w:val="21"/>
          <w:szCs w:val="21"/>
        </w:rPr>
        <w:t xml:space="preserve">Driven by the pressures inherent to a territory’s Zoetrope position, isotope distribution, and institutional landscape. Territorial fronts are not run by any single actor — they are the emergent properties of the territory’s internal tensions. The transition pressure between Zoetrope positions IS a territorial front. The resource competition for scarce isotopes IS a territorial front.</w:t>
      </w:r>
    </w:p>
    <w:p>
      <w:pPr>
        <w:spacing w:after="100" w:line="276"/>
      </w:pPr>
      <w:r>
        <w:rPr>
          <w:rFonts w:ascii="Garamond" w:cs="Garamond" w:eastAsia="Garamond" w:hAnsi="Garamond"/>
          <w:b w:val="false"/>
          <w:bCs w:val="false"/>
          <w:i w:val="false"/>
          <w:iCs w:val="false"/>
          <w:color w:val="333333"/>
          <w:sz w:val="21"/>
          <w:szCs w:val="21"/>
        </w:rPr>
        <w:t xml:space="preserve">Territorial fronts operate at the slowest timescale. Their clocks measure decades, not sessions. They are tracked between campaign arcs rather than between sessions. The accumulated weight of resolved institutional and individual fronts within the territory IS the tick trigger for territorial clocks. When enough fronts resolve in a consistent direction, the territorial clock advances and the Zoetrope position shifts.</w:t>
      </w:r>
    </w:p>
    <w:p>
      <w:r>
        <w:br w:type="page"/>
      </w:r>
    </w:p>
    <w:p>
      <w:pPr>
        <w:pStyle w:val="Heading1"/>
        <w:spacing w:after="140" w:before="300"/>
      </w:pPr>
      <w:r>
        <w:rPr>
          <w:rFonts w:ascii="Garamond" w:cs="Garamond" w:eastAsia="Garamond" w:hAnsi="Garamond"/>
          <w:b/>
          <w:bCs/>
          <w:color w:val="1A1A2E"/>
        </w:rPr>
        <w:t xml:space="preserve">THE REPRESENTATION CHAIN</w:t>
      </w:r>
    </w:p>
    <w:p>
      <w:pPr>
        <w:spacing w:after="50" w:line="276"/>
      </w:pPr>
      <w:r>
        <w:rPr>
          <w:rFonts w:ascii="Garamond" w:cs="Garamond" w:eastAsia="Garamond" w:hAnsi="Garamond"/>
          <w:b w:val="false"/>
          <w:bCs w:val="false"/>
          <w:i w:val="false"/>
          <w:iCs w:val="false"/>
          <w:color w:val="333333"/>
          <w:sz w:val="21"/>
          <w:szCs w:val="21"/>
        </w:rPr>
        <w:t xml:space="preserve">Field 5 on the front template. The mechanism by which intent distorts through human layers. The most important field for adventure generation because the party never interacts with the top of the chain — they interact with the bottom, where the original intent has been filtered, interpreted, and transformed by every intermediary.</w:t>
      </w:r>
    </w:p>
    <w:p>
      <w:pPr>
        <w:pStyle w:val="Heading2"/>
        <w:spacing w:after="100" w:before="220"/>
      </w:pPr>
      <w:r>
        <w:rPr>
          <w:rFonts w:ascii="Garamond" w:cs="Garamond" w:eastAsia="Garamond" w:hAnsi="Garamond"/>
          <w:b/>
          <w:bCs/>
          <w:color w:val="2B2B4B"/>
        </w:rPr>
        <w:t xml:space="preserve">How Distortion Works</w:t>
      </w:r>
    </w:p>
    <w:p>
      <w:pPr>
        <w:spacing w:after="100" w:line="276"/>
      </w:pPr>
      <w:r>
        <w:rPr>
          <w:rFonts w:ascii="Garamond" w:cs="Garamond" w:eastAsia="Garamond" w:hAnsi="Garamond"/>
          <w:b w:val="false"/>
          <w:bCs w:val="false"/>
          <w:i w:val="false"/>
          <w:iCs w:val="false"/>
          <w:color w:val="333333"/>
          <w:sz w:val="21"/>
          <w:szCs w:val="21"/>
        </w:rPr>
        <w:t xml:space="preserve">At each link in the chain, three things happen:</w:t>
      </w:r>
    </w:p>
    <w:p>
      <w:pPr>
        <w:spacing w:after="100" w:line="276"/>
      </w:pPr>
      <w:r>
        <w:rPr>
          <w:rFonts w:ascii="Garamond" w:cs="Garamond" w:eastAsia="Garamond" w:hAnsi="Garamond"/>
          <w:b/>
          <w:bCs/>
          <w:color w:val="1A1A2E"/>
          <w:sz w:val="21"/>
          <w:szCs w:val="21"/>
        </w:rPr>
        <w:t xml:space="preserve">Information is added: </w:t>
      </w:r>
      <w:r>
        <w:rPr>
          <w:rFonts w:ascii="Garamond" w:cs="Garamond" w:eastAsia="Garamond" w:hAnsi="Garamond"/>
          <w:b w:val="false"/>
          <w:bCs w:val="false"/>
          <w:i w:val="false"/>
          <w:iCs w:val="false"/>
          <w:color w:val="333333"/>
          <w:sz w:val="21"/>
          <w:szCs w:val="21"/>
        </w:rPr>
        <w:t xml:space="preserve">The intermediary adds their own understanding, biases, and institutional vocabulary to the message. A headmaster’s strategic directive becomes a faculty member’s operational order becomes a regional representative’s local interpretation.</w:t>
      </w:r>
    </w:p>
    <w:p>
      <w:pPr>
        <w:spacing w:after="100" w:line="276"/>
      </w:pPr>
      <w:r>
        <w:rPr>
          <w:rFonts w:ascii="Garamond" w:cs="Garamond" w:eastAsia="Garamond" w:hAnsi="Garamond"/>
          <w:b/>
          <w:bCs/>
          <w:color w:val="1A1A2E"/>
          <w:sz w:val="21"/>
          <w:szCs w:val="21"/>
        </w:rPr>
        <w:t xml:space="preserve">Information is lost: </w:t>
      </w:r>
      <w:r>
        <w:rPr>
          <w:rFonts w:ascii="Garamond" w:cs="Garamond" w:eastAsia="Garamond" w:hAnsi="Garamond"/>
          <w:b w:val="false"/>
          <w:bCs w:val="false"/>
          <w:i w:val="false"/>
          <w:iCs w:val="false"/>
          <w:color w:val="333333"/>
          <w:sz w:val="21"/>
          <w:szCs w:val="21"/>
        </w:rPr>
        <w:t xml:space="preserve">Nuance, context, and conditional qualifiers are dropped at each link. “Exercise caution in the eastern district, there may be Verdant Font bleed activity” becomes “Watch the east side” becomes “Stay out of the east.”</w:t>
      </w:r>
    </w:p>
    <w:p>
      <w:pPr>
        <w:spacing w:after="100" w:line="276"/>
      </w:pPr>
      <w:r>
        <w:rPr>
          <w:rFonts w:ascii="Garamond" w:cs="Garamond" w:eastAsia="Garamond" w:hAnsi="Garamond"/>
          <w:b/>
          <w:bCs/>
          <w:color w:val="1A1A2E"/>
          <w:sz w:val="21"/>
          <w:szCs w:val="21"/>
        </w:rPr>
        <w:t xml:space="preserve">Information is distorted: </w:t>
      </w:r>
      <w:r>
        <w:rPr>
          <w:rFonts w:ascii="Garamond" w:cs="Garamond" w:eastAsia="Garamond" w:hAnsi="Garamond"/>
          <w:b w:val="false"/>
          <w:bCs w:val="false"/>
          <w:i w:val="false"/>
          <w:iCs w:val="false"/>
          <w:color w:val="333333"/>
          <w:sz w:val="21"/>
          <w:szCs w:val="21"/>
        </w:rPr>
        <w:t xml:space="preserve">The intermediary’s own Schema shapes how they pass the message. A cautious intermediary amplifies warnings. An ambitious intermediary softens restrictions. A burned-out intermediary transmits the letter without the spirit.</w:t>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party encounters the bottom-of-chain version of the top-of-chain intent. They see the local chirurgeon implementing a policy that makes no sense at their level. Investigation leads upward through the chain. At each link, the party discovers how the message changed and why. The chain IS the adventure — tracing distorted information backward to its source.</w:t>
      </w:r>
    </w:p>
    <w:p>
      <w:pPr>
        <w:pStyle w:val="Heading2"/>
        <w:spacing w:after="100" w:before="220"/>
      </w:pPr>
      <w:r>
        <w:rPr>
          <w:rFonts w:ascii="Garamond" w:cs="Garamond" w:eastAsia="Garamond" w:hAnsi="Garamond"/>
          <w:b/>
          <w:bCs/>
          <w:color w:val="2B2B4B"/>
        </w:rPr>
        <w:t xml:space="preserve">Chain Length and Front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Individual fronts</w:t>
            </w:r>
          </w:p>
        </w:tc>
        <w:tc>
          <w:tcPr>
            <w:tcW w:type="dxa" w:w="696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Short or absent chain. The NPC acts directly. Minimal distortion. The party sees the actor’s intent relatively clearly.</w:t>
            </w:r>
          </w:p>
        </w:tc>
      </w:tr>
      <w:tr>
        <w:tc>
          <w:tcPr>
            <w:tcW w:type="dxa" w:w="24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Institutional fronts</w:t>
            </w:r>
          </w:p>
        </w:tc>
        <w:tc>
          <w:tcPr>
            <w:tcW w:type="dxa" w:w="696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Long chain (3-5 links typical). Maximum distortion. The party sees heavily filtered output and must investigate upward to understand the source.</w:t>
            </w:r>
          </w:p>
        </w:tc>
      </w:tr>
      <w:tr>
        <w:tc>
          <w:tcPr>
            <w:tcW w:type="dxa" w:w="24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Location fronts</w:t>
            </w:r>
          </w:p>
        </w:tc>
        <w:tc>
          <w:tcPr>
            <w:tcW w:type="dxa" w:w="696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chain is spatial rather than hierarchical. Surface encounters represent the location’s outer defenses. Deeper penetration reveals the location’s core logic. Each depth layer is a chain link.</w:t>
            </w:r>
          </w:p>
        </w:tc>
      </w:tr>
      <w:tr>
        <w:tc>
          <w:tcPr>
            <w:tcW w:type="dxa" w:w="24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Territorial fronts</w:t>
            </w:r>
          </w:p>
        </w:tc>
        <w:tc>
          <w:tcPr>
            <w:tcW w:type="dxa" w:w="696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chain is structural. Civilizational pressures manifest through institutional behaviors, which manifest through individual actions. The party sees the individual action and must trace upward through institution to territory to understand the systemic cause.</w:t>
            </w:r>
          </w:p>
        </w:tc>
      </w:tr>
    </w:tbl>
    <w:p>
      <w:r>
        <w:br w:type="page"/>
      </w:r>
    </w:p>
    <w:p>
      <w:pPr>
        <w:pStyle w:val="Heading1"/>
        <w:spacing w:after="140" w:before="300"/>
      </w:pPr>
      <w:r>
        <w:rPr>
          <w:rFonts w:ascii="Garamond" w:cs="Garamond" w:eastAsia="Garamond" w:hAnsi="Garamond"/>
          <w:b/>
          <w:bCs/>
          <w:color w:val="1A1A2E"/>
        </w:rPr>
        <w:t xml:space="preserve">THE DUAL-TRACK SYSTEM: GREAT AND LITTLE TRADITION</w:t>
      </w:r>
    </w:p>
    <w:p>
      <w:pPr>
        <w:spacing w:after="50" w:line="276"/>
      </w:pPr>
      <w:r>
        <w:rPr>
          <w:rFonts w:ascii="Garamond" w:cs="Garamond" w:eastAsia="Garamond" w:hAnsi="Garamond"/>
          <w:b w:val="false"/>
          <w:bCs w:val="false"/>
          <w:i w:val="false"/>
          <w:iCs w:val="false"/>
          <w:color w:val="333333"/>
          <w:sz w:val="21"/>
          <w:szCs w:val="21"/>
        </w:rPr>
        <w:t xml:space="preserve">Every front system operates on two parallel tracks. The gap between tracks is automatically a seed at Vertebra 5 (Symptoms).</w:t>
      </w:r>
    </w:p>
    <w:p>
      <w:pPr>
        <w:pStyle w:val="Heading2"/>
        <w:spacing w:after="100" w:before="220"/>
      </w:pPr>
      <w:r>
        <w:rPr>
          <w:rFonts w:ascii="Garamond" w:cs="Garamond" w:eastAsia="Garamond" w:hAnsi="Garamond"/>
          <w:b/>
          <w:bCs/>
          <w:color w:val="2B2B4B"/>
        </w:rPr>
        <w:t xml:space="preserve">The Great Tradition</w:t>
      </w:r>
    </w:p>
    <w:p>
      <w:pPr>
        <w:spacing w:after="100" w:line="276"/>
      </w:pPr>
      <w:r>
        <w:rPr>
          <w:rFonts w:ascii="Garamond" w:cs="Garamond" w:eastAsia="Garamond" w:hAnsi="Garamond"/>
          <w:b w:val="false"/>
          <w:bCs w:val="false"/>
          <w:i w:val="false"/>
          <w:iCs w:val="false"/>
          <w:color w:val="333333"/>
          <w:sz w:val="21"/>
          <w:szCs w:val="21"/>
        </w:rPr>
        <w:t xml:space="preserve">The institutional narrative. Official histories, college curricula, sanctioned knowledge, formal doctrine. Information that flows through the representation chain of authorized institutions. The Great Tradition is curated, controlled, and deliberately shaped. It tells the story the institutions want told.</w:t>
      </w:r>
    </w:p>
    <w:p>
      <w:pPr>
        <w:spacing w:after="100" w:line="276"/>
      </w:pPr>
      <w:r>
        <w:rPr>
          <w:rFonts w:ascii="Garamond" w:cs="Garamond" w:eastAsia="Garamond" w:hAnsi="Garamond"/>
          <w:b w:val="false"/>
          <w:bCs w:val="false"/>
          <w:i w:val="false"/>
          <w:iCs w:val="false"/>
          <w:color w:val="333333"/>
          <w:sz w:val="21"/>
          <w:szCs w:val="21"/>
        </w:rPr>
        <w:t xml:space="preserve">In the Ætherium Codex, the Great Tradition is maintained primarily by Praxis Collegium’s foundational curriculum — the shared conceptual vocabulary that every Tier 1+ practitioner learns. The curriculum is accurate but deliberately incomplete. The omissions ARE the Great Lie’s architecture. What the Great Tradition does not say is as significant as what it says.</w:t>
      </w:r>
    </w:p>
    <w:p>
      <w:pPr>
        <w:pStyle w:val="Heading2"/>
        <w:spacing w:after="100" w:before="220"/>
      </w:pPr>
      <w:r>
        <w:rPr>
          <w:rFonts w:ascii="Garamond" w:cs="Garamond" w:eastAsia="Garamond" w:hAnsi="Garamond"/>
          <w:b/>
          <w:bCs/>
          <w:color w:val="2B2B4B"/>
        </w:rPr>
        <w:t xml:space="preserve">The Little Tradition</w:t>
      </w:r>
    </w:p>
    <w:p>
      <w:pPr>
        <w:spacing w:after="100" w:line="276"/>
      </w:pPr>
      <w:r>
        <w:rPr>
          <w:rFonts w:ascii="Garamond" w:cs="Garamond" w:eastAsia="Garamond" w:hAnsi="Garamond"/>
          <w:b w:val="false"/>
          <w:bCs w:val="false"/>
          <w:i w:val="false"/>
          <w:iCs w:val="false"/>
          <w:color w:val="333333"/>
          <w:sz w:val="21"/>
          <w:szCs w:val="21"/>
        </w:rPr>
        <w:t xml:space="preserve">The folk narrative. Nursery rhymes, drinking songs, local stories, tradesman’s wisdom, old wives’ tales. Information that exists outside institutional control. The Little Tradition is not curated — it accumulates through oral transmission, practical experience, and communal memory. It encodes information the institutions do not control and sometimes do not know about.</w:t>
      </w:r>
    </w:p>
    <w:p>
      <w:pPr>
        <w:spacing w:after="100" w:line="276"/>
      </w:pPr>
      <w:r>
        <w:rPr>
          <w:rFonts w:ascii="Garamond" w:cs="Garamond" w:eastAsia="Garamond" w:hAnsi="Garamond"/>
          <w:b w:val="false"/>
          <w:bCs w:val="false"/>
          <w:i w:val="false"/>
          <w:iCs w:val="false"/>
          <w:color w:val="333333"/>
          <w:sz w:val="21"/>
          <w:szCs w:val="21"/>
        </w:rPr>
        <w:t xml:space="preserve">In the Ætherium Codex, the Little Tradition includes songs that encode planar hazard data (“don’t sleep where the moss glows blue”), trade secrets that describe isotope behaviors without the formal alchemical vocabulary, and folk remedies that work for reasons the colleges have not formalized. Tier 0 (Everyman) characters live entirely in the Little Tradition. They may know things the colleges do not — local knowledge that never entered the institutional record.</w:t>
      </w:r>
    </w:p>
    <w:p>
      <w:pPr>
        <w:pStyle w:val="Heading2"/>
        <w:spacing w:after="100" w:before="220"/>
      </w:pPr>
      <w:r>
        <w:rPr>
          <w:rFonts w:ascii="Garamond" w:cs="Garamond" w:eastAsia="Garamond" w:hAnsi="Garamond"/>
          <w:b/>
          <w:bCs/>
          <w:color w:val="2B2B4B"/>
        </w:rPr>
        <w:t xml:space="preserve">The Gap as Seed Source</w:t>
      </w:r>
    </w:p>
    <w:p>
      <w:pPr>
        <w:spacing w:after="100" w:line="276"/>
      </w:pPr>
      <w:r>
        <w:rPr>
          <w:rFonts w:ascii="Garamond" w:cs="Garamond" w:eastAsia="Garamond" w:hAnsi="Garamond"/>
          <w:b w:val="false"/>
          <w:bCs w:val="false"/>
          <w:i w:val="false"/>
          <w:iCs w:val="false"/>
          <w:color w:val="333333"/>
          <w:sz w:val="21"/>
          <w:szCs w:val="21"/>
        </w:rPr>
        <w:t xml:space="preserve">The discrepancy between the Great and Little Traditions IS a symptom at Vertebra 5. When the institutional narrative says one thing and the folk narrative says another, the gap is a seed the party can investigate. The investigation leads to one of three outcomes:</w:t>
      </w:r>
    </w:p>
    <w:p>
      <w:pPr>
        <w:spacing w:after="100" w:line="276"/>
      </w:pPr>
      <w:r>
        <w:rPr>
          <w:rFonts w:ascii="Garamond" w:cs="Garamond" w:eastAsia="Garamond" w:hAnsi="Garamond"/>
          <w:b/>
          <w:bCs/>
          <w:color w:val="1A1A2E"/>
          <w:sz w:val="21"/>
          <w:szCs w:val="21"/>
        </w:rPr>
        <w:t xml:space="preserve">1. </w:t>
      </w:r>
      <w:r>
        <w:rPr>
          <w:rFonts w:ascii="Garamond" w:cs="Garamond" w:eastAsia="Garamond" w:hAnsi="Garamond"/>
          <w:b w:val="false"/>
          <w:bCs w:val="false"/>
          <w:i w:val="false"/>
          <w:iCs w:val="false"/>
          <w:color w:val="333333"/>
          <w:sz w:val="21"/>
          <w:szCs w:val="21"/>
        </w:rPr>
        <w:t xml:space="preserve">The institution omitted information deliberately (the gap reveals institutional control).</w:t>
      </w:r>
    </w:p>
    <w:p>
      <w:pPr>
        <w:spacing w:after="100" w:line="276"/>
      </w:pPr>
      <w:r>
        <w:rPr>
          <w:rFonts w:ascii="Garamond" w:cs="Garamond" w:eastAsia="Garamond" w:hAnsi="Garamond"/>
          <w:b/>
          <w:bCs/>
          <w:color w:val="1A1A2E"/>
          <w:sz w:val="21"/>
          <w:szCs w:val="21"/>
        </w:rPr>
        <w:t xml:space="preserve">2. </w:t>
      </w:r>
      <w:r>
        <w:rPr>
          <w:rFonts w:ascii="Garamond" w:cs="Garamond" w:eastAsia="Garamond" w:hAnsi="Garamond"/>
          <w:b w:val="false"/>
          <w:bCs w:val="false"/>
          <w:i w:val="false"/>
          <w:iCs w:val="false"/>
          <w:color w:val="333333"/>
          <w:sz w:val="21"/>
          <w:szCs w:val="21"/>
        </w:rPr>
        <w:t xml:space="preserve">The folk tradition preserved information the institution lost (the gap reveals institutional limitation).</w:t>
      </w:r>
    </w:p>
    <w:p>
      <w:pPr>
        <w:spacing w:after="100" w:line="276"/>
      </w:pPr>
      <w:r>
        <w:rPr>
          <w:rFonts w:ascii="Garamond" w:cs="Garamond" w:eastAsia="Garamond" w:hAnsi="Garamond"/>
          <w:b/>
          <w:bCs/>
          <w:color w:val="1A1A2E"/>
          <w:sz w:val="21"/>
          <w:szCs w:val="21"/>
        </w:rPr>
        <w:t xml:space="preserve">3. </w:t>
      </w:r>
      <w:r>
        <w:rPr>
          <w:rFonts w:ascii="Garamond" w:cs="Garamond" w:eastAsia="Garamond" w:hAnsi="Garamond"/>
          <w:b w:val="false"/>
          <w:bCs w:val="false"/>
          <w:i w:val="false"/>
          <w:iCs w:val="false"/>
          <w:color w:val="333333"/>
          <w:sz w:val="21"/>
          <w:szCs w:val="21"/>
        </w:rPr>
        <w:t xml:space="preserve">Both traditions are wrong in different ways (the gap reveals that the truth is more complex than either account).</w:t>
      </w:r>
    </w:p>
    <w:p>
      <w:pPr>
        <w:spacing w:after="100" w:line="276"/>
      </w:pPr>
      <w:r>
        <w:rPr>
          <w:rFonts w:ascii="Garamond" w:cs="Garamond" w:eastAsia="Garamond" w:hAnsi="Garamond"/>
          <w:b w:val="false"/>
          <w:bCs w:val="false"/>
          <w:i w:val="false"/>
          <w:iCs w:val="false"/>
          <w:color w:val="333333"/>
          <w:sz w:val="21"/>
          <w:szCs w:val="21"/>
        </w:rPr>
        <w:t xml:space="preserve">Each outcome produces a different kind of adventure. The GM does not need to decide which outcome is correct during prep. They prepare the gap. The party’s investigation determines which outcome emerges. This is Schrödinger’s Gun applied to institutional knowledge — the truth is in superposition until the party collapses it through observation.</w:t>
      </w:r>
    </w:p>
    <w:p>
      <w:r>
        <w:br w:type="page"/>
      </w:r>
    </w:p>
    <w:p>
      <w:pPr>
        <w:pStyle w:val="Heading1"/>
        <w:spacing w:after="140" w:before="300"/>
      </w:pPr>
      <w:r>
        <w:rPr>
          <w:rFonts w:ascii="Garamond" w:cs="Garamond" w:eastAsia="Garamond" w:hAnsi="Garamond"/>
          <w:b/>
          <w:bCs/>
          <w:color w:val="1A1A2E"/>
        </w:rPr>
        <w:t xml:space="preserve">THE DEFAULT TIMELINE</w:t>
      </w:r>
    </w:p>
    <w:p>
      <w:pPr>
        <w:spacing w:after="50" w:line="276"/>
      </w:pPr>
      <w:r>
        <w:rPr>
          <w:rFonts w:ascii="Garamond" w:cs="Garamond" w:eastAsia="Garamond" w:hAnsi="Garamond"/>
          <w:b w:val="false"/>
          <w:bCs w:val="false"/>
          <w:i w:val="false"/>
          <w:iCs w:val="false"/>
          <w:color w:val="333333"/>
          <w:sz w:val="21"/>
          <w:szCs w:val="21"/>
        </w:rPr>
        <w:t xml:space="preserve">The sum of all active fronts’ terminal states reached without player intervention. Not a separate document. A derived forecast.</w:t>
      </w:r>
    </w:p>
    <w:p>
      <w:pPr>
        <w:pStyle w:val="Heading2"/>
        <w:spacing w:after="100" w:before="220"/>
      </w:pPr>
      <w:r>
        <w:rPr>
          <w:rFonts w:ascii="Garamond" w:cs="Garamond" w:eastAsia="Garamond" w:hAnsi="Garamond"/>
          <w:b/>
          <w:bCs/>
          <w:color w:val="2B2B4B"/>
        </w:rPr>
        <w:t xml:space="preserve">Derivation Procedure</w:t>
      </w:r>
    </w:p>
    <w:p>
      <w:pPr>
        <w:spacing w:after="100" w:line="276"/>
      </w:pPr>
      <w:r>
        <w:rPr>
          <w:rFonts w:ascii="Garamond" w:cs="Garamond" w:eastAsia="Garamond" w:hAnsi="Garamond"/>
          <w:b w:val="false"/>
          <w:bCs w:val="false"/>
          <w:i w:val="false"/>
          <w:iCs w:val="false"/>
          <w:color w:val="333333"/>
          <w:sz w:val="21"/>
          <w:szCs w:val="21"/>
        </w:rPr>
        <w:t xml:space="preserve">List every active front. For each front, read the terminal state (Field 8 on the clock template, or the narrative description from the front’s clock potential if clocks are not yet parameterized). The terminal state describes what happens when the front achieves its goal without interference.</w:t>
      </w:r>
    </w:p>
    <w:p>
      <w:pPr>
        <w:spacing w:after="100" w:line="276"/>
      </w:pPr>
      <w:r>
        <w:rPr>
          <w:rFonts w:ascii="Garamond" w:cs="Garamond" w:eastAsia="Garamond" w:hAnsi="Garamond"/>
          <w:b w:val="false"/>
          <w:bCs w:val="false"/>
          <w:i w:val="false"/>
          <w:iCs w:val="false"/>
          <w:color w:val="333333"/>
          <w:sz w:val="21"/>
          <w:szCs w:val="21"/>
        </w:rPr>
        <w:t xml:space="preserve">Now read all terminal states simultaneously. What does the world look like when ALL of them resolve? Some terminal states are compatible — they can coexist. Some are contradictory — one front’s success prevents another’s. The contradictions between terminal states ARE the setting’s central tensions. The compatible resolutions are the background changes. The contradictory resolutions are the dramatic collisions.</w:t>
      </w:r>
    </w:p>
    <w:p>
      <w:pPr>
        <w:spacing w:after="100" w:line="276"/>
      </w:pPr>
      <w:r>
        <w:rPr>
          <w:rFonts w:ascii="Garamond" w:cs="Garamond" w:eastAsia="Garamond" w:hAnsi="Garamond"/>
          <w:b w:val="false"/>
          <w:bCs w:val="false"/>
          <w:i w:val="false"/>
          <w:iCs w:val="false"/>
          <w:color w:val="333333"/>
          <w:sz w:val="21"/>
          <w:szCs w:val="21"/>
        </w:rPr>
        <w:t xml:space="preserve">The Default Timeline is the answer to Ten Questions Q6 applied to the entire setting: “What happens if nobody intervenes?” The answer is the gravitational trajectory that the party’s actions bend. The further the actual outcome diverges from the default, the more narrative energy was required and the more dramatic the story becomes.</w:t>
      </w:r>
    </w:p>
    <w:p>
      <w:pPr>
        <w:pStyle w:val="Heading2"/>
        <w:spacing w:after="100" w:before="220"/>
      </w:pPr>
      <w:r>
        <w:rPr>
          <w:rFonts w:ascii="Garamond" w:cs="Garamond" w:eastAsia="Garamond" w:hAnsi="Garamond"/>
          <w:b/>
          <w:bCs/>
          <w:color w:val="2B2B4B"/>
        </w:rPr>
        <w:t xml:space="preserve">Using the Default Timeline</w:t>
      </w:r>
    </w:p>
    <w:p>
      <w:pPr>
        <w:spacing w:after="100" w:line="276"/>
      </w:pPr>
      <w:r>
        <w:rPr>
          <w:rFonts w:ascii="Garamond" w:cs="Garamond" w:eastAsia="Garamond" w:hAnsi="Garamond"/>
          <w:b w:val="false"/>
          <w:bCs w:val="false"/>
          <w:i w:val="false"/>
          <w:iCs w:val="false"/>
          <w:color w:val="333333"/>
          <w:sz w:val="21"/>
          <w:szCs w:val="21"/>
        </w:rPr>
        <w:t xml:space="preserve">The GM does not read the Default Timeline to the party. The GM uses it as the hidden benchmark against which the party’s actions are measured. When the party disrupts a front, the default shifts. When the party ignores a front, the default advances toward its terminal state. The party does not need to know the default — they need to encounter symptoms that hint at what will happen if they do nothing.</w:t>
      </w:r>
    </w:p>
    <w:p>
      <w:pPr>
        <w:spacing w:after="100" w:line="276"/>
      </w:pPr>
      <w:r>
        <w:rPr>
          <w:rFonts w:ascii="Garamond" w:cs="Garamond" w:eastAsia="Garamond" w:hAnsi="Garamond"/>
          <w:b w:val="false"/>
          <w:bCs w:val="false"/>
          <w:i w:val="false"/>
          <w:iCs w:val="false"/>
          <w:color w:val="333333"/>
          <w:sz w:val="21"/>
          <w:szCs w:val="21"/>
        </w:rPr>
        <w:t xml:space="preserve">Between sessions, the GM advances all active fronts whose tick triggers fired. The Default Timeline updates automatically. The world moves. The party enters the next session into a world that is slightly different from the one they left — not because the GM authored a change, but because the fronts advanced on schedule. The party’s sense that the world moves without them IS the Default Timeline operating.</w:t>
      </w:r>
    </w:p>
    <w:p>
      <w:r>
        <w:br w:type="page"/>
      </w:r>
    </w:p>
    <w:p>
      <w:pPr>
        <w:pStyle w:val="Heading1"/>
        <w:spacing w:after="140" w:before="300"/>
      </w:pPr>
      <w:r>
        <w:rPr>
          <w:rFonts w:ascii="Garamond" w:cs="Garamond" w:eastAsia="Garamond" w:hAnsi="Garamond"/>
          <w:b/>
          <w:bCs/>
          <w:color w:val="1A1A2E"/>
        </w:rPr>
        <w:t xml:space="preserve">FRONT METHODOLOGY AND THE GAME SYSTEM</w:t>
      </w:r>
    </w:p>
    <w:p>
      <w:pPr>
        <w:spacing w:after="50" w:line="276"/>
      </w:pPr>
      <w:r>
        <w:rPr>
          <w:rFonts w:ascii="Garamond" w:cs="Garamond" w:eastAsia="Garamond" w:hAnsi="Garamond"/>
          <w:b w:val="false"/>
          <w:bCs w:val="false"/>
          <w:i w:val="false"/>
          <w:iCs w:val="false"/>
          <w:color w:val="333333"/>
          <w:sz w:val="21"/>
          <w:szCs w:val="21"/>
        </w:rPr>
        <w:t xml:space="preserve">The front’s methodology (Field 3) is not narrative flavor. It is the game system expressed at the institutional level.</w:t>
      </w:r>
    </w:p>
    <w:p>
      <w:pPr>
        <w:pStyle w:val="Heading2"/>
        <w:spacing w:after="100" w:before="220"/>
      </w:pPr>
      <w:r>
        <w:rPr>
          <w:rFonts w:ascii="Garamond" w:cs="Garamond" w:eastAsia="Garamond" w:hAnsi="Garamond"/>
          <w:b/>
          <w:bCs/>
          <w:color w:val="2B2B4B"/>
        </w:rPr>
        <w:t xml:space="preserve">The Spell Sentence as Institutional Action</w:t>
      </w:r>
    </w:p>
    <w:p>
      <w:pPr>
        <w:spacing w:after="100" w:line="276"/>
      </w:pPr>
      <w:r>
        <w:rPr>
          <w:rFonts w:ascii="Garamond" w:cs="Garamond" w:eastAsia="Garamond" w:hAnsi="Garamond"/>
          <w:b w:val="false"/>
          <w:bCs w:val="false"/>
          <w:i w:val="false"/>
          <w:iCs w:val="false"/>
          <w:color w:val="333333"/>
          <w:sz w:val="21"/>
          <w:szCs w:val="21"/>
        </w:rPr>
        <w:t xml:space="preserve">When a front takes action, the action is describable as a Spell Sentence operation. A Deepguard front expanding its ward network is performing Protection and Nullify effects at institutional scale. A Wildpath front reclaiming territory is performing Growth and Transform effects through the Verdant Font’s biological processes. The 19 canonical effects are not just combat mechanics — they are the vocabulary of institutional action.</w:t>
      </w:r>
    </w:p>
    <w:p>
      <w:pPr>
        <w:spacing w:after="100" w:line="276"/>
      </w:pPr>
      <w:r>
        <w:rPr>
          <w:rFonts w:ascii="Garamond" w:cs="Garamond" w:eastAsia="Garamond" w:hAnsi="Garamond"/>
          <w:b w:val="false"/>
          <w:bCs w:val="false"/>
          <w:i w:val="false"/>
          <w:iCs w:val="false"/>
          <w:color w:val="333333"/>
          <w:sz w:val="21"/>
          <w:szCs w:val="21"/>
        </w:rPr>
        <w:t xml:space="preserve">This connection means that the same grammar describes individual spellcasting (Vertebra 6: Adventures) and institutional operations (Vertebra 3: Fronts). A character casting Protection on themselves and a college deploying a ward network across a territory are performing the same effect at different scales. The rules do not change. The scale changes.</w:t>
      </w:r>
    </w:p>
    <w:p>
      <w:pPr>
        <w:pStyle w:val="Heading2"/>
        <w:spacing w:after="100" w:before="220"/>
      </w:pPr>
      <w:r>
        <w:rPr>
          <w:rFonts w:ascii="Garamond" w:cs="Garamond" w:eastAsia="Garamond" w:hAnsi="Garamond"/>
          <w:b/>
          <w:bCs/>
          <w:color w:val="2B2B4B"/>
        </w:rPr>
        <w:t xml:space="preserve">The Dual Periodic Table as Front Resources</w:t>
      </w:r>
    </w:p>
    <w:p>
      <w:pPr>
        <w:spacing w:after="100" w:line="276"/>
      </w:pPr>
      <w:r>
        <w:rPr>
          <w:rFonts w:ascii="Garamond" w:cs="Garamond" w:eastAsia="Garamond" w:hAnsi="Garamond"/>
          <w:b w:val="false"/>
          <w:bCs w:val="false"/>
          <w:i w:val="false"/>
          <w:iCs w:val="false"/>
          <w:color w:val="333333"/>
          <w:sz w:val="21"/>
          <w:szCs w:val="21"/>
        </w:rPr>
        <w:t xml:space="preserve">A front’s assets (Field 4) include access to specific isotopes. The 104 isotopes across five planes determine what a front can build, deploy, and sustain. Territorial control of isotope-rich zones IS the resource game that fronts compete over.</w:t>
      </w:r>
    </w:p>
    <w:p>
      <w:pPr>
        <w:spacing w:after="100" w:line="276"/>
      </w:pPr>
      <w:r>
        <w:rPr>
          <w:rFonts w:ascii="Garamond" w:cs="Garamond" w:eastAsia="Garamond" w:hAnsi="Garamond"/>
          <w:b w:val="false"/>
          <w:bCs w:val="false"/>
          <w:i w:val="false"/>
          <w:iCs w:val="false"/>
          <w:color w:val="333333"/>
          <w:sz w:val="21"/>
          <w:szCs w:val="21"/>
        </w:rPr>
        <w:t xml:space="preserve">A front operating in a Borderlands-dominant territory has access to inorganic chemistry resources — metals, minerals, structural materials. A front in a Verdant Font territory has biological resources — living materials, mutation catalysts, ecological leverage. The isotope distribution shapes what each front CAN do, which constrains how its clocks advance and what symptoms its operations produce.</w:t>
      </w:r>
    </w:p>
    <w:p>
      <w:pPr>
        <w:pStyle w:val="Heading2"/>
        <w:spacing w:after="100" w:before="220"/>
      </w:pPr>
      <w:r>
        <w:rPr>
          <w:rFonts w:ascii="Garamond" w:cs="Garamond" w:eastAsia="Garamond" w:hAnsi="Garamond"/>
          <w:b/>
          <w:bCs/>
          <w:color w:val="2B2B4B"/>
        </w:rPr>
        <w:t xml:space="preserve">College Methodology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60"/>
        <w:gridCol w:w="2600"/>
      </w:tblGrid>
      <w:tr>
        <w:tc>
          <w:tcPr>
            <w:tcW w:type="dxa" w:w="1800"/>
            <w:gridSpan w:val="1"/>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College</w:t>
            </w:r>
          </w:p>
        </w:tc>
        <w:tc>
          <w:tcPr>
            <w:tcW w:type="dxa" w:w="2200"/>
            <w:gridSpan w:val="1"/>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Dominant Effects</w:t>
            </w:r>
          </w:p>
        </w:tc>
        <w:tc>
          <w:tcPr>
            <w:tcW w:type="dxa" w:w="2760"/>
            <w:gridSpan w:val="1"/>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Operational Tempo</w:t>
            </w:r>
          </w:p>
        </w:tc>
        <w:tc>
          <w:tcPr>
            <w:tcW w:type="dxa" w:w="2600"/>
            <w:gridSpan w:val="1"/>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Symptom Character</w:t>
            </w:r>
          </w:p>
        </w:tc>
      </w:tr>
      <w:tr>
        <w:tc>
          <w:tcPr>
            <w:tcW w:type="dxa" w:w="18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Wildpath</w:t>
            </w:r>
          </w:p>
        </w:tc>
        <w:tc>
          <w:tcPr>
            <w:tcW w:type="dxa" w:w="22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Growth, Transform</w:t>
            </w:r>
          </w:p>
        </w:tc>
        <w:tc>
          <w:tcPr>
            <w:tcW w:type="dxa" w:w="276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Biological — slow accumulation, sudden eruption</w:t>
            </w:r>
          </w:p>
        </w:tc>
        <w:tc>
          <w:tcPr>
            <w:tcW w:type="dxa" w:w="26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Ecological shifts, creature behavior changes, terrain alteration</w:t>
            </w:r>
          </w:p>
        </w:tc>
      </w:tr>
      <w:tr>
        <w:tc>
          <w:tcPr>
            <w:tcW w:type="dxa" w:w="18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Mortis Ævum</w:t>
            </w:r>
          </w:p>
        </w:tc>
        <w:tc>
          <w:tcPr>
            <w:tcW w:type="dxa" w:w="22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Healing, Nullify, Senses</w:t>
            </w:r>
          </w:p>
        </w:tc>
        <w:tc>
          <w:tcPr>
            <w:tcW w:type="dxa" w:w="276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Clinical — methodical, patient, thorough</w:t>
            </w:r>
          </w:p>
        </w:tc>
        <w:tc>
          <w:tcPr>
            <w:tcW w:type="dxa" w:w="26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Queue fluctuations, theological shifts, archive access patterns</w:t>
            </w:r>
          </w:p>
        </w:tc>
      </w:tr>
      <w:tr>
        <w:tc>
          <w:tcPr>
            <w:tcW w:type="dxa" w:w="18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Deepguard</w:t>
            </w:r>
          </w:p>
        </w:tc>
        <w:tc>
          <w:tcPr>
            <w:tcW w:type="dxa" w:w="22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Protection, Nullify, Create</w:t>
            </w:r>
          </w:p>
        </w:tc>
        <w:tc>
          <w:tcPr>
            <w:tcW w:type="dxa" w:w="276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Engineering — precise, systematic, incremental</w:t>
            </w:r>
          </w:p>
        </w:tc>
        <w:tc>
          <w:tcPr>
            <w:tcW w:type="dxa" w:w="26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New regulations, ward installations, infrastructure changes</w:t>
            </w:r>
          </w:p>
        </w:tc>
      </w:tr>
      <w:tr>
        <w:tc>
          <w:tcPr>
            <w:tcW w:type="dxa" w:w="18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Unity</w:t>
            </w:r>
          </w:p>
        </w:tc>
        <w:tc>
          <w:tcPr>
            <w:tcW w:type="dxa" w:w="22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Mind Link, Enhanced Trait, Illusion</w:t>
            </w:r>
          </w:p>
        </w:tc>
        <w:tc>
          <w:tcPr>
            <w:tcW w:type="dxa" w:w="276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Social — gradual, ambient, accumulative</w:t>
            </w:r>
          </w:p>
        </w:tc>
        <w:tc>
          <w:tcPr>
            <w:tcW w:type="dxa" w:w="26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Behavioral shifts, preference changes, architectural nudging</w:t>
            </w:r>
          </w:p>
        </w:tc>
      </w:tr>
      <w:tr>
        <w:tc>
          <w:tcPr>
            <w:tcW w:type="dxa" w:w="18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Chiaroscuro</w:t>
            </w:r>
          </w:p>
        </w:tc>
        <w:tc>
          <w:tcPr>
            <w:tcW w:type="dxa" w:w="22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Illusion, Transform, Create</w:t>
            </w:r>
          </w:p>
        </w:tc>
        <w:tc>
          <w:tcPr>
            <w:tcW w:type="dxa" w:w="276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Performative — episodic, dramatic, cyclical</w:t>
            </w:r>
          </w:p>
        </w:tc>
        <w:tc>
          <w:tcPr>
            <w:tcW w:type="dxa" w:w="26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Narrative shifts, perception changes, reality/fiction blurring</w:t>
            </w:r>
          </w:p>
        </w:tc>
      </w:tr>
      <w:tr>
        <w:tc>
          <w:tcPr>
            <w:tcW w:type="dxa" w:w="18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Sovereign Exchange</w:t>
            </w:r>
          </w:p>
        </w:tc>
        <w:tc>
          <w:tcPr>
            <w:tcW w:type="dxa" w:w="22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Summon, Movement, Create</w:t>
            </w:r>
          </w:p>
        </w:tc>
        <w:tc>
          <w:tcPr>
            <w:tcW w:type="dxa" w:w="276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Commercial — transactional, opportunistic, responsive</w:t>
            </w:r>
          </w:p>
        </w:tc>
        <w:tc>
          <w:tcPr>
            <w:tcW w:type="dxa" w:w="26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Trade route changes, price fluctuations, contract patterns</w:t>
            </w:r>
          </w:p>
        </w:tc>
      </w:tr>
      <w:tr>
        <w:tc>
          <w:tcPr>
            <w:tcW w:type="dxa" w:w="18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Stormpeak</w:t>
            </w:r>
          </w:p>
        </w:tc>
        <w:tc>
          <w:tcPr>
            <w:tcW w:type="dxa" w:w="22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Damage, Protection, Enhanced Trait</w:t>
            </w:r>
          </w:p>
        </w:tc>
        <w:tc>
          <w:tcPr>
            <w:tcW w:type="dxa" w:w="276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Military — rapid, decisive, event-triggered</w:t>
            </w:r>
          </w:p>
        </w:tc>
        <w:tc>
          <w:tcPr>
            <w:tcW w:type="dxa" w:w="26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Troop movements, fortification changes, operational tempo shifts</w:t>
            </w:r>
          </w:p>
        </w:tc>
      </w:tr>
      <w:tr>
        <w:tc>
          <w:tcPr>
            <w:tcW w:type="dxa" w:w="18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Chronosynclastic</w:t>
            </w:r>
          </w:p>
        </w:tc>
        <w:tc>
          <w:tcPr>
            <w:tcW w:type="dxa" w:w="22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Senses, Chronos, Illusion</w:t>
            </w:r>
          </w:p>
        </w:tc>
        <w:tc>
          <w:tcPr>
            <w:tcW w:type="dxa" w:w="276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Analytical — slow, calculated, probability-triggered</w:t>
            </w:r>
          </w:p>
        </w:tc>
        <w:tc>
          <w:tcPr>
            <w:tcW w:type="dxa" w:w="2600"/>
            <w:gridSpan w:val="1"/>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Information pattern changes, prediction anomalies, probability distortions</w:t>
            </w:r>
          </w:p>
        </w:tc>
      </w:tr>
      <w:tr>
        <w:tc>
          <w:tcPr>
            <w:tcW w:type="dxa" w:w="18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Praxis</w:t>
            </w:r>
          </w:p>
        </w:tc>
        <w:tc>
          <w:tcPr>
            <w:tcW w:type="dxa" w:w="22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Variable</w:t>
            </w:r>
          </w:p>
        </w:tc>
        <w:tc>
          <w:tcPr>
            <w:tcW w:type="dxa" w:w="276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Distributed — parallel, redundant, adaptive</w:t>
            </w:r>
          </w:p>
        </w:tc>
        <w:tc>
          <w:tcPr>
            <w:tcW w:type="dxa" w:w="2600"/>
            <w:gridSpan w:val="1"/>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Inter-college coordination changes, curriculum shifts, humanitarian pattern changes</w:t>
            </w:r>
          </w:p>
        </w:tc>
      </w:tr>
    </w:tbl>
    <w:p>
      <w:r>
        <w:br w:type="page"/>
      </w:r>
    </w:p>
    <w:p>
      <w:pPr>
        <w:pStyle w:val="Heading1"/>
        <w:spacing w:after="140" w:before="300"/>
      </w:pPr>
      <w:r>
        <w:rPr>
          <w:rFonts w:ascii="Garamond" w:cs="Garamond" w:eastAsia="Garamond" w:hAnsi="Garamond"/>
          <w:b/>
          <w:bCs/>
          <w:color w:val="1A1A2E"/>
        </w:rPr>
        <w:t xml:space="preserve">THE SMOOTHING EFFECT AS FRONT RESISTANCE</w:t>
      </w:r>
    </w:p>
    <w:p>
      <w:pPr>
        <w:spacing w:after="50" w:line="276"/>
      </w:pPr>
      <w:r>
        <w:rPr>
          <w:rFonts w:ascii="Garamond" w:cs="Garamond" w:eastAsia="Garamond" w:hAnsi="Garamond"/>
          <w:b w:val="false"/>
          <w:bCs w:val="false"/>
          <w:i w:val="false"/>
          <w:iCs w:val="false"/>
          <w:color w:val="333333"/>
          <w:sz w:val="21"/>
          <w:szCs w:val="21"/>
        </w:rPr>
        <w:t xml:space="preserve">The Smoothing Effect (regulatory system) governs how much resistance fronts encounter when they try to change the world. It is referenced here because it most directly shapes front behavior.</w:t>
      </w:r>
    </w:p>
    <w:p>
      <w:pPr>
        <w:spacing w:after="100" w:line="276"/>
      </w:pPr>
      <w:r>
        <w:rPr>
          <w:rFonts w:ascii="Garamond" w:cs="Garamond" w:eastAsia="Garamond" w:hAnsi="Garamond"/>
          <w:b w:val="false"/>
          <w:bCs w:val="false"/>
          <w:i w:val="false"/>
          <w:iCs w:val="false"/>
          <w:color w:val="333333"/>
          <w:sz w:val="21"/>
          <w:szCs w:val="21"/>
        </w:rPr>
        <w:t xml:space="preserve">Small front actions pass through unnoticed. A local Deepguard operative installing a ward on one building does not trigger Smoothing resistance. The change is small enough to be absorbed by the setting’s natural coherence.</w:t>
      </w:r>
    </w:p>
    <w:p>
      <w:pPr>
        <w:spacing w:after="100" w:line="276"/>
      </w:pPr>
      <w:r>
        <w:rPr>
          <w:rFonts w:ascii="Garamond" w:cs="Garamond" w:eastAsia="Garamond" w:hAnsi="Garamond"/>
          <w:b w:val="false"/>
          <w:bCs w:val="false"/>
          <w:i w:val="false"/>
          <w:iCs w:val="false"/>
          <w:color w:val="333333"/>
          <w:sz w:val="21"/>
          <w:szCs w:val="21"/>
        </w:rPr>
        <w:t xml:space="preserve">Large front actions trigger dampening. A Deepguard initiative to restructure an entire city’s ward network encounters resistance — institutional inertia, political opposition, resource constraints, unexpected complications. These are not authored obstacles. They are the Smoothing Effect expressing through the setting’s social physics. Large changes require accumulated pressure over multiple clock cycles to overcome the threshold.</w:t>
      </w:r>
    </w:p>
    <w:p>
      <w:pPr>
        <w:spacing w:after="100" w:line="276"/>
      </w:pPr>
      <w:r>
        <w:rPr>
          <w:rFonts w:ascii="Garamond" w:cs="Garamond" w:eastAsia="Garamond" w:hAnsi="Garamond"/>
          <w:b w:val="false"/>
          <w:bCs w:val="false"/>
          <w:i w:val="false"/>
          <w:iCs w:val="false"/>
          <w:color w:val="333333"/>
          <w:sz w:val="21"/>
          <w:szCs w:val="21"/>
        </w:rPr>
        <w:t xml:space="preserve">This is why clocks have multiple segments rather than binary states. The front does not achieve its goal in one action. It advances incrementally through a resistant medium. Each segment represents one step of accumulated pressure overcoming one layer of Smoothing resistance. The front that fills its clock has pushed through enough resistance to produce irreversible change. The Smoothing Effect ensures that only sustained, committed action produces lasting results — which ensures that only fronts driven by genuine pressure (deep Schema tensions) have the energy to complete their clocks.</w:t>
      </w:r>
    </w:p>
    <w:p>
      <w:r>
        <w:br w:type="page"/>
      </w:r>
    </w:p>
    <w:p>
      <w:pPr>
        <w:pStyle w:val="Heading1"/>
        <w:spacing w:after="140" w:before="300"/>
      </w:pPr>
      <w:r>
        <w:rPr>
          <w:rFonts w:ascii="Garamond" w:cs="Garamond" w:eastAsia="Garamond" w:hAnsi="Garamond"/>
          <w:b/>
          <w:bCs/>
          <w:color w:val="1A1A2E"/>
        </w:rPr>
        <w:t xml:space="preserve">EXPRESSION GUIDANCE: INFORMATION SEQUENCING</w:t>
      </w:r>
    </w:p>
    <w:p>
      <w:pPr>
        <w:spacing w:after="50" w:line="276"/>
      </w:pPr>
      <w:r>
        <w:rPr>
          <w:rFonts w:ascii="Garamond" w:cs="Garamond" w:eastAsia="Garamond" w:hAnsi="Garamond"/>
          <w:b w:val="false"/>
          <w:bCs w:val="false"/>
          <w:i w:val="false"/>
          <w:iCs w:val="false"/>
          <w:color w:val="333333"/>
          <w:sz w:val="21"/>
          <w:szCs w:val="21"/>
        </w:rPr>
        <w:t xml:space="preserve">Vertebra 3’s strongest expression bond is Information Sequencing — the order in which information reaches the audience. This bond is strong because the representation chain IS an information sequencing structure.</w:t>
      </w:r>
    </w:p>
    <w:p>
      <w:pPr>
        <w:pStyle w:val="Heading2"/>
        <w:spacing w:after="100" w:before="220"/>
      </w:pPr>
      <w:r>
        <w:rPr>
          <w:rFonts w:ascii="Garamond" w:cs="Garamond" w:eastAsia="Garamond" w:hAnsi="Garamond"/>
          <w:b/>
          <w:bCs/>
          <w:color w:val="2B2B4B"/>
        </w:rPr>
        <w:t xml:space="preserve">Dramatic Irony</w:t>
      </w:r>
    </w:p>
    <w:p>
      <w:pPr>
        <w:spacing w:after="100" w:line="276"/>
      </w:pPr>
      <w:r>
        <w:rPr>
          <w:rFonts w:ascii="Garamond" w:cs="Garamond" w:eastAsia="Garamond" w:hAnsi="Garamond"/>
          <w:b w:val="false"/>
          <w:bCs w:val="false"/>
          <w:i w:val="false"/>
          <w:iCs w:val="false"/>
          <w:color w:val="333333"/>
          <w:sz w:val="21"/>
          <w:szCs w:val="21"/>
        </w:rPr>
        <w:t xml:space="preserve">The audience (or some participants) know something the characters do not. The representation chain creates dramatic irony naturally: the GM knows the headmaster’s intent at the top of the chain. The party knows only the local operative’s distorted version at the bottom. The gap between the two IS dramatic irony. The tension sustains as long as the party has not yet traced the chain to its source.</w:t>
      </w:r>
    </w:p>
    <w:p>
      <w:pPr>
        <w:spacing w:after="100" w:line="276"/>
      </w:pPr>
      <w:r>
        <w:rPr>
          <w:rFonts w:ascii="Garamond" w:cs="Garamond" w:eastAsia="Garamond" w:hAnsi="Garamond"/>
          <w:b w:val="false"/>
          <w:bCs w:val="false"/>
          <w:i w:val="false"/>
          <w:iCs w:val="false"/>
          <w:color w:val="333333"/>
          <w:sz w:val="21"/>
          <w:szCs w:val="21"/>
        </w:rPr>
        <w:t xml:space="preserve">When one player character knows something the others do not (Kismet’s scouting report delivered only to the operator), intra-party dramatic irony exists. The player who knows can choose when and how to share. The delay IS the tension. The reveal IS the payoff.</w:t>
      </w:r>
    </w:p>
    <w:p>
      <w:pPr>
        <w:pStyle w:val="Heading2"/>
        <w:spacing w:after="100" w:before="220"/>
      </w:pPr>
      <w:r>
        <w:rPr>
          <w:rFonts w:ascii="Garamond" w:cs="Garamond" w:eastAsia="Garamond" w:hAnsi="Garamond"/>
          <w:b/>
          <w:bCs/>
          <w:color w:val="2B2B4B"/>
        </w:rPr>
        <w:t xml:space="preserve">The Unreliable Chain</w:t>
      </w:r>
    </w:p>
    <w:p>
      <w:pPr>
        <w:spacing w:after="100" w:line="276"/>
      </w:pPr>
      <w:r>
        <w:rPr>
          <w:rFonts w:ascii="Garamond" w:cs="Garamond" w:eastAsia="Garamond" w:hAnsi="Garamond"/>
          <w:b w:val="false"/>
          <w:bCs w:val="false"/>
          <w:i w:val="false"/>
          <w:iCs w:val="false"/>
          <w:color w:val="333333"/>
          <w:sz w:val="21"/>
          <w:szCs w:val="21"/>
        </w:rPr>
        <w:t xml:space="preserve">Every link in the representation chain is an unreliable narrator. They are telling the truth as they understand it, but their understanding was shaped by their own Schema, filtered through their institutional vocabulary, and constrained by what their link above them chose to share. When the party receives contradictory information from two NPCs who are both telling the truth, the contradiction is not a lie — it is the representation chain distorting the same source through different filters.</w:t>
      </w:r>
    </w:p>
    <w:p>
      <w:pPr>
        <w:spacing w:after="100" w:line="276"/>
      </w:pPr>
      <w:r>
        <w:rPr>
          <w:rFonts w:ascii="Garamond" w:cs="Garamond" w:eastAsia="Garamond" w:hAnsi="Garamond"/>
          <w:b w:val="false"/>
          <w:bCs w:val="false"/>
          <w:i w:val="false"/>
          <w:iCs w:val="false"/>
          <w:color w:val="333333"/>
          <w:sz w:val="21"/>
          <w:szCs w:val="21"/>
        </w:rPr>
        <w:t xml:space="preserve">Framing NPC contradictions as chain distortion rather than deception teaches the table that perspective shapes reality. Both NPCs are right from their position. The truth is at the top of the chain, visible only through investigation. This is the novelistic technique of the unreliable narrator applied structurally rather than stylistically.</w:t>
      </w:r>
    </w:p>
    <w:p>
      <w:pPr>
        <w:pStyle w:val="Heading2"/>
        <w:spacing w:after="100" w:before="220"/>
      </w:pPr>
      <w:r>
        <w:rPr>
          <w:rFonts w:ascii="Garamond" w:cs="Garamond" w:eastAsia="Garamond" w:hAnsi="Garamond"/>
          <w:b/>
          <w:bCs/>
          <w:color w:val="2B2B4B"/>
        </w:rPr>
        <w:t xml:space="preserve">Sequencing Decisions</w:t>
      </w:r>
    </w:p>
    <w:p>
      <w:pPr>
        <w:spacing w:after="100" w:line="276"/>
      </w:pPr>
      <w:r>
        <w:rPr>
          <w:rFonts w:ascii="Garamond" w:cs="Garamond" w:eastAsia="Garamond" w:hAnsi="Garamond"/>
          <w:b w:val="false"/>
          <w:bCs w:val="false"/>
          <w:i w:val="false"/>
          <w:iCs w:val="false"/>
          <w:color w:val="333333"/>
          <w:sz w:val="21"/>
          <w:szCs w:val="21"/>
        </w:rPr>
        <w:t xml:space="preserve">The GM chooses which front’s symptoms to present first. This is an information sequencing decision. Presenting the Vestus containment symptoms before the institutional maintenance symptoms creates a mystery (why is the archive being locked down?). Presenting institutional maintenance symptoms first creates a different mystery (why is the institution faltering?). Same fronts, same clocks, different presentation order, different audience experience.</w:t>
      </w:r>
    </w:p>
    <w:p>
      <w:pPr>
        <w:spacing w:after="100" w:line="276"/>
      </w:pPr>
      <w:r>
        <w:rPr>
          <w:rFonts w:ascii="Garamond" w:cs="Garamond" w:eastAsia="Garamond" w:hAnsi="Garamond"/>
          <w:b w:val="false"/>
          <w:bCs w:val="false"/>
          <w:i w:val="false"/>
          <w:iCs w:val="false"/>
          <w:color w:val="333333"/>
          <w:sz w:val="21"/>
          <w:szCs w:val="21"/>
        </w:rPr>
        <w:t xml:space="preserve">The order is not arbitrary. The pacing tracker (Document 4C) guides the selection based on the session’s current beat pattern. But within the pacing constraints, the GM’s sequencing choice shapes what the party investigates first, which shapes their understanding of the situation, which shapes their response. The sequencing IS a creative act with narrative consequences.</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iCs/>
          <w:color w:val="888888"/>
          <w:sz w:val="21"/>
          <w:szCs w:val="21"/>
        </w:rPr>
        <w:t xml:space="preserve">This document defines what fronts ARE and how they are generated from pressure points. Document 3B (Relationship Map System) defines how fronts CONNECT to each other. Document 3C (Faction Turn Procedures) defines how fronts ACT between sessions. Together, the three documents constitute the complete Vertebra 3 architecture.</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2026-04-15T01:05:33.908Z</dcterms:created>
  <dcterms:modified xsi:type="dcterms:W3CDTF">2026-04-15T01:05:33.909Z</dcterms:modified>
</cp:coreProperties>
</file>

<file path=docProps/custom.xml><?xml version="1.0" encoding="utf-8"?>
<Properties xmlns="http://schemas.openxmlformats.org/officeDocument/2006/custom-properties" xmlns:vt="http://schemas.openxmlformats.org/officeDocument/2006/docPropsVTypes"/>
</file>