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800"/>
        <w:jc w:val="center"/>
      </w:pPr>
      <w:r>
        <w:rPr>
          <w:rFonts w:ascii="Garamond" w:cs="Garamond" w:eastAsia="Garamond" w:hAnsi="Garamond"/>
          <w:b/>
          <w:bCs/>
          <w:color w:val="1A1A2E"/>
          <w:sz w:val="48"/>
          <w:szCs w:val="48"/>
        </w:rPr>
        <w:t xml:space="preserve">SEED MANAGEMENT</w:t>
      </w:r>
    </w:p>
    <w:p>
      <w:pPr>
        <w:spacing w:after="30"/>
        <w:jc w:val="center"/>
      </w:pPr>
      <w:r>
        <w:rPr>
          <w:rFonts w:ascii="Garamond" w:cs="Garamond" w:eastAsia="Garamond" w:hAnsi="Garamond"/>
          <w:color w:val="666666"/>
          <w:sz w:val="24"/>
          <w:szCs w:val="24"/>
        </w:rPr>
        <w:t xml:space="preserve">Generating, Placing, and Resolving Observable Effects</w:t>
      </w:r>
    </w:p>
    <w:p>
      <w:pPr>
        <w:pBdr>
          <w:bottom w:val="single" w:color="CCCCCC" w:sz="3" w:space="1"/>
        </w:pBdr>
        <w:spacing w:after="80" w:before="80"/>
      </w:pPr>
      <w:r>
        <w:rPr>
          <w:sz w:val="2"/>
          <w:szCs w:val="2"/>
        </w:rPr>
        <w:t xml:space="preserve"/>
      </w:r>
    </w:p>
    <w:p>
      <w:pPr>
        <w:spacing w:after="20"/>
        <w:jc w:val="center"/>
      </w:pPr>
      <w:r>
        <w:rPr>
          <w:rFonts w:ascii="Garamond" w:cs="Garamond" w:eastAsia="Garamond" w:hAnsi="Garamond"/>
          <w:color w:val="888888"/>
          <w:sz w:val="20"/>
          <w:szCs w:val="20"/>
        </w:rPr>
        <w:t xml:space="preserve">Document 5A — Vertebra 5: Symptoms</w:t>
      </w:r>
    </w:p>
    <w:p>
      <w:pPr>
        <w:spacing w:after="500"/>
        <w:jc w:val="center"/>
      </w:pPr>
      <w:r>
        <w:rPr>
          <w:rFonts w:ascii="Garamond" w:cs="Garamond" w:eastAsia="Garamond" w:hAnsi="Garamond"/>
          <w:i/>
          <w:iCs/>
          <w:color w:val="999999"/>
          <w:sz w:val="18"/>
          <w:szCs w:val="18"/>
        </w:rPr>
        <w:t xml:space="preserve">What the world looks like when clocks advance and how participants encounter it</w:t>
      </w:r>
    </w:p>
    <w:p>
      <w:r>
        <w:br w:type="page"/>
      </w:r>
    </w:p>
    <w:p>
      <w:pPr>
        <w:pStyle w:val="Heading1"/>
        <w:spacing w:after="140" w:before="300"/>
      </w:pPr>
      <w:r>
        <w:rPr>
          <w:rFonts w:ascii="Garamond" w:cs="Garamond" w:eastAsia="Garamond" w:hAnsi="Garamond"/>
          <w:b/>
          <w:bCs/>
          <w:color w:val="1A1A2E"/>
        </w:rPr>
        <w:t xml:space="preserve">WHAT A SEED IS</w:t>
      </w:r>
    </w:p>
    <w:p>
      <w:pPr>
        <w:spacing w:after="100" w:line="276"/>
      </w:pPr>
      <w:r>
        <w:rPr>
          <w:rFonts w:ascii="Garamond" w:cs="Garamond" w:eastAsia="Garamond" w:hAnsi="Garamond"/>
          <w:b w:val="false"/>
          <w:bCs w:val="false"/>
          <w:i w:val="false"/>
          <w:iCs w:val="false"/>
          <w:color w:val="333333"/>
          <w:sz w:val="21"/>
          <w:szCs w:val="21"/>
        </w:rPr>
        <w:t xml:space="preserve">A seed is an observable detail, event, anomaly, or NPC behavior that the participants can detect. Seeds are the party’s window into the spine’s activity. The party never sees clocks directly. They never see fronts’ internal mechanics. They never see the relationship map’s edge properties. They see symptoms — the effects that clocks, fronts, and edges produce in the observable world.</w:t>
      </w:r>
    </w:p>
    <w:p>
      <w:pPr>
        <w:spacing w:after="100" w:line="276"/>
      </w:pPr>
      <w:r>
        <w:rPr>
          <w:rFonts w:ascii="Garamond" w:cs="Garamond" w:eastAsia="Garamond" w:hAnsi="Garamond"/>
          <w:b w:val="false"/>
          <w:bCs w:val="false"/>
          <w:i w:val="false"/>
          <w:iCs w:val="false"/>
          <w:color w:val="333333"/>
          <w:sz w:val="21"/>
          <w:szCs w:val="21"/>
        </w:rPr>
        <w:t xml:space="preserve">Every seed has a source (which clock or front produced it), a form (what it looks like in the world), and an obligation (it must eventually resolve). The source is the GM’s information. The form is the party’s experience. The obligation is the engine’s quality constraint — seeds that never pay off are worse than seeds never placed.</w:t>
      </w:r>
    </w:p>
    <w:p>
      <w:pPr>
        <w:spacing w:after="100" w:line="276"/>
      </w:pPr>
      <w:r>
        <w:rPr>
          <w:rFonts w:ascii="Garamond" w:cs="Garamond" w:eastAsia="Garamond" w:hAnsi="Garamond"/>
          <w:b w:val="false"/>
          <w:bCs w:val="false"/>
          <w:i w:val="false"/>
          <w:iCs w:val="false"/>
          <w:color w:val="333333"/>
          <w:sz w:val="21"/>
          <w:szCs w:val="21"/>
        </w:rPr>
        <w:t xml:space="preserve">Seed management is the discipline of generating seeds from clock advancement, placing them where participants can encounter them, and tracking them to ensure resolution. Five tools govern this discipline. Together they form a complete apparatus: quantity constraint, placement method, quality constraint, prep format, and distribution topology.</w:t>
      </w:r>
    </w:p>
    <w:p>
      <w:r>
        <w:br w:type="page"/>
      </w:r>
    </w:p>
    <w:p>
      <w:pPr>
        <w:pStyle w:val="Heading1"/>
        <w:spacing w:after="140" w:before="300"/>
      </w:pPr>
      <w:r>
        <w:rPr>
          <w:rFonts w:ascii="Garamond" w:cs="Garamond" w:eastAsia="Garamond" w:hAnsi="Garamond"/>
          <w:b/>
          <w:bCs/>
          <w:color w:val="1A1A2E"/>
        </w:rPr>
        <w:t xml:space="preserve">THE FIVE TOOLS</w:t>
      </w:r>
    </w:p>
    <w:p>
      <w:pPr>
        <w:pStyle w:val="Heading2"/>
        <w:spacing w:after="100" w:before="220"/>
      </w:pPr>
      <w:r>
        <w:rPr>
          <w:rFonts w:ascii="Garamond" w:cs="Garamond" w:eastAsia="Garamond" w:hAnsi="Garamond"/>
          <w:b/>
          <w:bCs/>
          <w:color w:val="2B2B4B"/>
        </w:rPr>
        <w:t xml:space="preserve">1. The Three Clue Rule — Quantity Constraint</w:t>
      </w:r>
    </w:p>
    <w:p>
      <w:pPr>
        <w:spacing w:after="100" w:line="276"/>
      </w:pPr>
      <w:r>
        <w:rPr>
          <w:rFonts w:ascii="Garamond" w:cs="Garamond" w:eastAsia="Garamond" w:hAnsi="Garamond"/>
          <w:b w:val="false"/>
          <w:bCs w:val="false"/>
          <w:i w:val="false"/>
          <w:iCs w:val="false"/>
          <w:color w:val="333333"/>
          <w:sz w:val="21"/>
          <w:szCs w:val="21"/>
        </w:rPr>
        <w:t xml:space="preserve">For any conclusion the participants need to reach, at least three independent expressions of the seed must exist. Participants will miss at least two. If you place one expression, the plot stalls when they miss it. If you place two, there is a coin flip. Three guarantees they find at least one and feel clever for connecting it.</w:t>
      </w:r>
    </w:p>
    <w:p>
      <w:pPr>
        <w:spacing w:after="100" w:line="276"/>
      </w:pPr>
      <w:r>
        <w:rPr>
          <w:rFonts w:ascii="Garamond" w:cs="Garamond" w:eastAsia="Garamond" w:hAnsi="Garamond"/>
          <w:b w:val="false"/>
          <w:bCs w:val="false"/>
          <w:i w:val="false"/>
          <w:iCs w:val="false"/>
          <w:color w:val="333333"/>
          <w:sz w:val="21"/>
          <w:szCs w:val="21"/>
        </w:rPr>
        <w:t xml:space="preserve">The three expressions must be independently discoverable. Three clues in the same room are one expression encountered three times. Three clues in three different locations, discoverable through three different methods (investigation, social interaction, scouting), are three independent expressions. Each expression should be accessible through a different party member’s competency so that different character builds contribute to the discovery.</w:t>
      </w:r>
    </w:p>
    <w:p>
      <w:pPr>
        <w:spacing w:after="100" w:line="276"/>
      </w:pPr>
      <w:r>
        <w:rPr>
          <w:rFonts w:ascii="Garamond" w:cs="Garamond" w:eastAsia="Garamond" w:hAnsi="Garamond"/>
          <w:b w:val="false"/>
          <w:bCs w:val="false"/>
          <w:i w:val="false"/>
          <w:iCs w:val="false"/>
          <w:color w:val="333333"/>
          <w:sz w:val="21"/>
          <w:szCs w:val="21"/>
        </w:rPr>
        <w:t xml:space="preserve">This is a MINIMUM. Critical seeds — the ones that determine whether the party engages with a major clock’s threshold — should have four or five expressions. The more important the seed, the more redundancy it needs. The Three Clue Rule is the floor, not the ceiling.</w:t>
      </w:r>
    </w:p>
    <w:p>
      <w:pPr>
        <w:pStyle w:val="Heading2"/>
        <w:spacing w:after="100" w:before="220"/>
      </w:pPr>
      <w:r>
        <w:rPr>
          <w:rFonts w:ascii="Garamond" w:cs="Garamond" w:eastAsia="Garamond" w:hAnsi="Garamond"/>
          <w:b/>
          <w:bCs/>
          <w:color w:val="2B2B4B"/>
        </w:rPr>
        <w:t xml:space="preserve">2. Schrödinger’s Gun — Placement Method</w:t>
      </w:r>
    </w:p>
    <w:p>
      <w:pPr>
        <w:spacing w:after="100" w:line="276"/>
      </w:pPr>
      <w:r>
        <w:rPr>
          <w:rFonts w:ascii="Garamond" w:cs="Garamond" w:eastAsia="Garamond" w:hAnsi="Garamond"/>
          <w:b w:val="false"/>
          <w:bCs w:val="false"/>
          <w:i w:val="false"/>
          <w:iCs w:val="false"/>
          <w:color w:val="333333"/>
          <w:sz w:val="21"/>
          <w:szCs w:val="21"/>
        </w:rPr>
        <w:t xml:space="preserve">The expressions are not pre-placed. They exist in superposition until the participants look somewhere, at which point the expression was always there. The GM writes the seed. The GM does not assign it to a specific location, NPC, or object. When the party searches a room, the GM checks the seed list and places the most appropriate expression in what the party is searching.</w:t>
      </w:r>
    </w:p>
    <w:p>
      <w:pPr>
        <w:spacing w:after="100" w:line="276"/>
      </w:pPr>
      <w:r>
        <w:rPr>
          <w:rFonts w:ascii="Garamond" w:cs="Garamond" w:eastAsia="Garamond" w:hAnsi="Garamond"/>
          <w:b w:val="false"/>
          <w:bCs w:val="false"/>
          <w:i w:val="false"/>
          <w:iCs w:val="false"/>
          <w:color w:val="333333"/>
          <w:sz w:val="21"/>
          <w:szCs w:val="21"/>
        </w:rPr>
        <w:t xml:space="preserve">This is not cheating. This is the Palimpsest operating through the GM. The world exists in multiple potential states until observation collapses it. The seed was always in the desk drawer or always in the merchant’s ledger or always in the guard captain’s report — whichever one the party investigates first. The other two locations still contain their expressions for future discovery.</w:t>
      </w:r>
    </w:p>
    <w:p>
      <w:pPr>
        <w:spacing w:after="100" w:line="276"/>
      </w:pPr>
      <w:r>
        <w:rPr>
          <w:rFonts w:ascii="Garamond" w:cs="Garamond" w:eastAsia="Garamond" w:hAnsi="Garamond"/>
          <w:b w:val="false"/>
          <w:bCs w:val="false"/>
          <w:i w:val="false"/>
          <w:iCs w:val="false"/>
          <w:color w:val="333333"/>
          <w:sz w:val="21"/>
          <w:szCs w:val="21"/>
        </w:rPr>
        <w:t xml:space="preserve">Schrödinger’s Gun IS the superposition principle given practical expression at the table. The GM is performing the same function as the Palimpsest — holding multiple states simultaneously and letting observation determine which one becomes real. The setting’s cosmology and the GM’s methodology are the same process at different scales.</w:t>
      </w:r>
    </w:p>
    <w:p>
      <w:pPr>
        <w:pStyle w:val="Heading2"/>
        <w:spacing w:after="100" w:before="220"/>
      </w:pPr>
      <w:r>
        <w:rPr>
          <w:rFonts w:ascii="Garamond" w:cs="Garamond" w:eastAsia="Garamond" w:hAnsi="Garamond"/>
          <w:b/>
          <w:bCs/>
          <w:color w:val="2B2B4B"/>
        </w:rPr>
        <w:t xml:space="preserve">3. Chekhov’s Gun — Quality Constraint</w:t>
      </w:r>
    </w:p>
    <w:p>
      <w:pPr>
        <w:spacing w:after="100" w:line="276"/>
      </w:pPr>
      <w:r>
        <w:rPr>
          <w:rFonts w:ascii="Garamond" w:cs="Garamond" w:eastAsia="Garamond" w:hAnsi="Garamond"/>
          <w:b w:val="false"/>
          <w:bCs w:val="false"/>
          <w:i w:val="false"/>
          <w:iCs w:val="false"/>
          <w:color w:val="333333"/>
          <w:sz w:val="21"/>
          <w:szCs w:val="21"/>
        </w:rPr>
        <w:t xml:space="preserve">Every placed seed must eventually resolve. If the merchant’s nervous collar-touching was introduced in session 3, it must pay off. The payoff may be immediate (the merchant was hiding contraband), delayed (the collar-touching becomes relevant when the party discovers the merchant’s connection to the Redbrands in session 7), or inverted (the collar-touching was a meaningless habit that the party over-interpreted, revealing their own paranoia rather than the merchant’s guilt). Each outcome is a valid resolution. No resolution is not valid.</w:t>
      </w:r>
    </w:p>
    <w:p>
      <w:pPr>
        <w:spacing w:after="100" w:line="276"/>
      </w:pPr>
      <w:r>
        <w:rPr>
          <w:rFonts w:ascii="Garamond" w:cs="Garamond" w:eastAsia="Garamond" w:hAnsi="Garamond"/>
          <w:b/>
          <w:bCs/>
          <w:color w:val="1A1A2E"/>
          <w:sz w:val="21"/>
          <w:szCs w:val="21"/>
        </w:rPr>
        <w:t xml:space="preserve">Cross-reference to Feedback Loop: </w:t>
      </w:r>
      <w:r>
        <w:rPr>
          <w:rFonts w:ascii="Garamond" w:cs="Garamond" w:eastAsia="Garamond" w:hAnsi="Garamond"/>
          <w:b w:val="false"/>
          <w:bCs w:val="false"/>
          <w:i w:val="false"/>
          <w:iCs w:val="false"/>
          <w:color w:val="333333"/>
          <w:sz w:val="21"/>
          <w:szCs w:val="21"/>
        </w:rPr>
        <w:t xml:space="preserve">Chekhov’s Gun creates a temporal obligation ACROSS spine cycles. The seed placed at Vertebra 5 in cycle 3 pays off at Vertebra 7 (Feedback Loop) in cycle 7. The Feedback Loop is where outstanding Chekhov obligations are tracked — the ledger of introduced elements that have not yet resolved. See Document 7A.</w:t>
      </w:r>
    </w:p>
    <w:p>
      <w:pPr>
        <w:spacing w:after="100" w:line="276"/>
      </w:pPr>
      <w:r>
        <w:rPr>
          <w:rFonts w:ascii="Garamond" w:cs="Garamond" w:eastAsia="Garamond" w:hAnsi="Garamond"/>
          <w:b w:val="false"/>
          <w:bCs w:val="false"/>
          <w:i w:val="false"/>
          <w:iCs w:val="false"/>
          <w:color w:val="333333"/>
          <w:sz w:val="21"/>
          <w:szCs w:val="21"/>
        </w:rPr>
        <w:t xml:space="preserve">The practical implication: do not introduce details casually. Every detail the participants notice becomes a Chekhov obligation. If the GM mentions that the inn has a cellar, the cellar must matter — or the GM must accept that the party will investigate the cellar expecting it to matter. Seed placement is a commitment, not a decoration.</w:t>
      </w:r>
    </w:p>
    <w:p>
      <w:pPr>
        <w:pStyle w:val="Heading2"/>
        <w:spacing w:after="100" w:before="220"/>
      </w:pPr>
      <w:r>
        <w:rPr>
          <w:rFonts w:ascii="Garamond" w:cs="Garamond" w:eastAsia="Garamond" w:hAnsi="Garamond"/>
          <w:b/>
          <w:bCs/>
          <w:color w:val="2B2B4B"/>
        </w:rPr>
        <w:t xml:space="preserve">4. Lazy DM Secrets — Prep Format</w:t>
      </w:r>
    </w:p>
    <w:p>
      <w:pPr>
        <w:spacing w:after="100" w:line="276"/>
      </w:pPr>
      <w:r>
        <w:rPr>
          <w:rFonts w:ascii="Garamond" w:cs="Garamond" w:eastAsia="Garamond" w:hAnsi="Garamond"/>
          <w:b w:val="false"/>
          <w:bCs w:val="false"/>
          <w:i w:val="false"/>
          <w:iCs w:val="false"/>
          <w:color w:val="333333"/>
          <w:sz w:val="21"/>
          <w:szCs w:val="21"/>
        </w:rPr>
        <w:t xml:space="preserve">Before the session, write a list of truths. Not locations. Not NPCs. Not objects. TRUTHS — things that are true about the current state of the world. The truths are seeds in their pre-placed state. They exist. They do not have locations yet.</w:t>
      </w:r>
    </w:p>
    <w:p>
      <w:pPr>
        <w:spacing w:after="100" w:line="276"/>
      </w:pPr>
      <w:r>
        <w:rPr>
          <w:rFonts w:ascii="Garamond" w:cs="Garamond" w:eastAsia="Garamond" w:hAnsi="Garamond"/>
          <w:b w:val="false"/>
          <w:bCs w:val="false"/>
          <w:i w:val="false"/>
          <w:iCs w:val="false"/>
          <w:color w:val="333333"/>
          <w:sz w:val="21"/>
          <w:szCs w:val="21"/>
        </w:rPr>
        <w:t xml:space="preserve">Write five to ten truths per session. Each truth is one sentence describing a fact about the current situation that the party does not yet know.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Truth</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mine has been sealed by the Redbrands.”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Truth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blacksmith’s brother was taken alive, not killed.”</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Truth</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merchant is paying protection money to two different groups simultaneously.”</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Truth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ward on the eastern gate has been failing for three days and nobody has reported it.”</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Truth</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 Chronosynclastic operative has been in town for a week, posing as a traveling scholar.”</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Each truth becomes a seed when the party encounters it. The GM does not decide WHERE the party learns each truth. The GM decides THAT the truth exists. Schrödinger’s Gun handles the placement. The Three Clue Rule ensures each truth has multiple discoverable expressions. Chekhov’s Gun ensures each truth eventually resolves.</w:t>
      </w:r>
    </w:p>
    <w:p>
      <w:pPr>
        <w:spacing w:after="100" w:line="276"/>
      </w:pPr>
      <w:r>
        <w:rPr>
          <w:rFonts w:ascii="Garamond" w:cs="Garamond" w:eastAsia="Garamond" w:hAnsi="Garamond"/>
          <w:b w:val="false"/>
          <w:bCs w:val="false"/>
          <w:i w:val="false"/>
          <w:iCs w:val="false"/>
          <w:color w:val="333333"/>
          <w:sz w:val="21"/>
          <w:szCs w:val="21"/>
        </w:rPr>
        <w:t xml:space="preserve">This is the prep format that eliminates railroading. The GM prepares density (many truths available) rather than direction (a predetermined sequence of discoveries). The party’s path through the truths is their own. Every path produces a coherent story because the truths are internally consistent — they all describe the same situation from different angles.</w:t>
      </w:r>
    </w:p>
    <w:p>
      <w:pPr>
        <w:pStyle w:val="Heading2"/>
        <w:spacing w:after="100" w:before="220"/>
      </w:pPr>
      <w:r>
        <w:rPr>
          <w:rFonts w:ascii="Garamond" w:cs="Garamond" w:eastAsia="Garamond" w:hAnsi="Garamond"/>
          <w:b/>
          <w:bCs/>
          <w:color w:val="2B2B4B"/>
        </w:rPr>
        <w:t xml:space="preserve">5. Node-Based Design — Distribution Topology</w:t>
      </w:r>
    </w:p>
    <w:p>
      <w:pPr>
        <w:spacing w:after="100" w:line="276"/>
      </w:pPr>
      <w:r>
        <w:rPr>
          <w:rFonts w:ascii="Garamond" w:cs="Garamond" w:eastAsia="Garamond" w:hAnsi="Garamond"/>
          <w:b w:val="false"/>
          <w:bCs w:val="false"/>
          <w:i w:val="false"/>
          <w:iCs w:val="false"/>
          <w:color w:val="333333"/>
          <w:sz w:val="21"/>
          <w:szCs w:val="21"/>
        </w:rPr>
        <w:t xml:space="preserve">Seeds are distributed across an interconnected network of locations. Each location contains at least one seed expression. Each seed expression connects to at least two other locations. There are no dead ends.</w:t>
      </w:r>
    </w:p>
    <w:p>
      <w:pPr>
        <w:spacing w:after="100" w:line="276"/>
      </w:pPr>
      <w:r>
        <w:rPr>
          <w:rFonts w:ascii="Garamond" w:cs="Garamond" w:eastAsia="Garamond" w:hAnsi="Garamond"/>
          <w:b w:val="false"/>
          <w:bCs w:val="false"/>
          <w:i w:val="false"/>
          <w:iCs w:val="false"/>
          <w:color w:val="333333"/>
          <w:sz w:val="21"/>
          <w:szCs w:val="21"/>
        </w:rPr>
        <w:t xml:space="preserve">A dead-end location (one that contains no seed expressions connecting to other locations) kills momentum. The party investigates, finds nothing, and stalls. Node-based design prevents this by ensuring every location the party visits contains something that points somewhere else. The network is navigable from any entry point.</w:t>
      </w:r>
    </w:p>
    <w:p>
      <w:pPr>
        <w:spacing w:after="100" w:line="276"/>
      </w:pPr>
      <w:r>
        <w:rPr>
          <w:rFonts w:ascii="Garamond" w:cs="Garamond" w:eastAsia="Garamond" w:hAnsi="Garamond"/>
          <w:b w:val="false"/>
          <w:bCs w:val="false"/>
          <w:i w:val="false"/>
          <w:iCs w:val="false"/>
          <w:color w:val="333333"/>
          <w:sz w:val="21"/>
          <w:szCs w:val="21"/>
        </w:rPr>
        <w:t xml:space="preserve">The topology is not a map of physical locations. It is a map of information connections. Location A contains a clue pointing to Location B and Location C. Location B contains a clue pointing to A and D. The lines between locations are the clue connections, not the roads. The party may physically travel from A to D directly, but the information path goes A → B → D. The investigation follows the information topology, not the geography.</w:t>
      </w:r>
    </w:p>
    <w:p>
      <w:pPr>
        <w:spacing w:after="100" w:line="276"/>
      </w:pPr>
      <w:r>
        <w:rPr>
          <w:rFonts w:ascii="Garamond" w:cs="Garamond" w:eastAsia="Garamond" w:hAnsi="Garamond"/>
          <w:b w:val="false"/>
          <w:bCs w:val="false"/>
          <w:i w:val="false"/>
          <w:iCs w:val="false"/>
          <w:color w:val="333333"/>
          <w:sz w:val="21"/>
          <w:szCs w:val="21"/>
        </w:rPr>
        <w:t xml:space="preserve">The Palimpsest IS the mega-dungeon expression of this principle. Every extradimensional fold is a node. Every portal is a connection. The Palimpsest’s node network is infinite in principle. The GM instantiates the portion of the network the party can access based on their current narrative reach.</w:t>
      </w:r>
    </w:p>
    <w:p>
      <w:r>
        <w:br w:type="page"/>
      </w:r>
    </w:p>
    <w:p>
      <w:pPr>
        <w:pStyle w:val="Heading1"/>
        <w:spacing w:after="140" w:before="300"/>
      </w:pPr>
      <w:r>
        <w:rPr>
          <w:rFonts w:ascii="Garamond" w:cs="Garamond" w:eastAsia="Garamond" w:hAnsi="Garamond"/>
          <w:b/>
          <w:bCs/>
          <w:color w:val="1A1A2E"/>
        </w:rPr>
        <w:t xml:space="preserve">SEED GENERATION FROM CLOCKS</w:t>
      </w:r>
    </w:p>
    <w:p>
      <w:pPr>
        <w:spacing w:after="50" w:line="276"/>
      </w:pPr>
      <w:r>
        <w:rPr>
          <w:rFonts w:ascii="Garamond" w:cs="Garamond" w:eastAsia="Garamond" w:hAnsi="Garamond"/>
          <w:b w:val="false"/>
          <w:bCs w:val="false"/>
          <w:i w:val="false"/>
          <w:iCs w:val="false"/>
          <w:color w:val="333333"/>
          <w:sz w:val="21"/>
          <w:szCs w:val="21"/>
        </w:rPr>
        <w:t xml:space="preserve">Seeds are not invented from nothing. They are produced by clock advancement. When a clock advances one segment, the Observable Symptoms field (clock template Field 9, Document 4A) specifies what the world looks like at this stage. Those specifications are the seed generation procedure.</w:t>
      </w:r>
    </w:p>
    <w:p>
      <w:pPr>
        <w:pStyle w:val="Heading2"/>
        <w:spacing w:after="100" w:before="220"/>
      </w:pPr>
      <w:r>
        <w:rPr>
          <w:rFonts w:ascii="Garamond" w:cs="Garamond" w:eastAsia="Garamond" w:hAnsi="Garamond"/>
          <w:b/>
          <w:bCs/>
          <w:color w:val="2B2B4B"/>
        </w:rPr>
        <w:t xml:space="preserve">The Generation Procedure</w:t>
      </w:r>
    </w:p>
    <w:p>
      <w:pPr>
        <w:spacing w:after="100" w:line="276"/>
      </w:pPr>
      <w:r>
        <w:rPr>
          <w:rFonts w:ascii="Garamond" w:cs="Garamond" w:eastAsia="Garamond" w:hAnsi="Garamond"/>
          <w:b w:val="false"/>
          <w:bCs w:val="false"/>
          <w:i w:val="false"/>
          <w:iCs w:val="false"/>
          <w:color w:val="333333"/>
          <w:sz w:val="21"/>
          <w:szCs w:val="21"/>
        </w:rPr>
        <w:t xml:space="preserve">Read the clock’s current segment’s Observable Symptoms field. Each listed symptom is a seed. Apply the Three Clue Rule: each symptom needs at least three independent expressions. Apply Schrödinger’s Gun: do not assign the expressions to specific locations. Add the seeds to the session’s truth list (Lazy DM format). They are now available for placement when the party investigates.</w:t>
      </w:r>
    </w:p>
    <w:p>
      <w:pPr>
        <w:spacing w:after="100" w:line="276"/>
      </w:pPr>
      <w:r>
        <w:rPr>
          <w:rFonts w:ascii="Garamond" w:cs="Garamond" w:eastAsia="Garamond" w:hAnsi="Garamond"/>
          <w:b w:val="false"/>
          <w:bCs w:val="false"/>
          <w:i w:val="false"/>
          <w:iCs w:val="false"/>
          <w:color w:val="333333"/>
          <w:sz w:val="21"/>
          <w:szCs w:val="21"/>
        </w:rPr>
        <w:t xml:space="preserve">If no active clock provides symptoms that match the pacing tracker’s needs (Document 4C, Step 3), use the Oracle Tables (Document 5B) to generate a seed from outside the active front network. The oracle introduces new pressure that may retroactively reveal a new front.</w:t>
      </w:r>
    </w:p>
    <w:p>
      <w:pPr>
        <w:pStyle w:val="Heading2"/>
        <w:spacing w:after="100" w:before="220"/>
      </w:pPr>
      <w:r>
        <w:rPr>
          <w:rFonts w:ascii="Garamond" w:cs="Garamond" w:eastAsia="Garamond" w:hAnsi="Garamond"/>
          <w:b/>
          <w:bCs/>
          <w:color w:val="2B2B4B"/>
        </w:rPr>
        <w:t xml:space="preserve">Seed Sourcing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Source</w:t>
            </w:r>
          </w:p>
        </w:tc>
        <w:tc>
          <w:tcPr>
            <w:tcW w:type="dxa" w:w="368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When to Use</w:t>
            </w:r>
          </w:p>
        </w:tc>
        <w:tc>
          <w:tcPr>
            <w:tcW w:type="dxa" w:w="368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Seed Character</w:t>
            </w:r>
          </w:p>
        </w:tc>
      </w:tr>
      <w:tr>
        <w:tc>
          <w:tcPr>
            <w:tcW w:type="dxa" w:w="20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Clock Advancement</w:t>
            </w:r>
          </w:p>
        </w:tc>
        <w:tc>
          <w:tcPr>
            <w:tcW w:type="dxa" w:w="368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Default source. Use whenever an active clock has advanced since last session or during the session.</w:t>
            </w:r>
          </w:p>
        </w:tc>
        <w:tc>
          <w:tcPr>
            <w:tcW w:type="dxa" w:w="368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seed is connected to a known front. Investigation leads to the front’s driving NPC through the representation chain.</w:t>
            </w:r>
          </w:p>
        </w:tc>
      </w:tr>
      <w:tr>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Consequence Propagation</w:t>
            </w:r>
          </w:p>
        </w:tc>
        <w:tc>
          <w:tcPr>
            <w:tcW w:type="dxa" w:w="368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When a clock’s advancement propagated through the relationship map and produced effects on connected fronts.</w:t>
            </w:r>
          </w:p>
        </w:tc>
        <w:tc>
          <w:tcPr>
            <w:tcW w:type="dxa" w:w="368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seed appears at a connected front’s location, not the source front’s. Investigation leads sideways through the network before finding the original source.</w:t>
            </w:r>
          </w:p>
        </w:tc>
      </w:tr>
      <w:tr>
        <w:tc>
          <w:tcPr>
            <w:tcW w:type="dxa" w:w="20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Oracle Tables</w:t>
            </w:r>
          </w:p>
        </w:tc>
        <w:tc>
          <w:tcPr>
            <w:tcW w:type="dxa" w:w="368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When no clock symptom fits the pacing need, or when the GM wants to introduce unexpected elements outside the active front network.</w:t>
            </w:r>
          </w:p>
        </w:tc>
        <w:tc>
          <w:tcPr>
            <w:tcW w:type="dxa" w:w="368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seed has no known source. If the party investigates, it may reveal a NEW front not yet on the map. Or it may connect to an existing front in a way the GM had not planned.</w:t>
            </w:r>
          </w:p>
        </w:tc>
      </w:tr>
      <w:tr>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Player FP Spend (D1)</w:t>
            </w:r>
          </w:p>
        </w:tc>
        <w:tc>
          <w:tcPr>
            <w:tcW w:type="dxa" w:w="368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When a player spends Fulcrum Points at Distance 1 to place or relocate a seed.</w:t>
            </w:r>
          </w:p>
        </w:tc>
        <w:tc>
          <w:tcPr>
            <w:tcW w:type="dxa" w:w="368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seed is player-authored. The GM must honor it and integrate it into the existing truth landscape. The placement IS a Palimpsest collapse — the player declared what was always true.</w:t>
            </w:r>
          </w:p>
        </w:tc>
      </w:tr>
      <w:tr>
        <w:tc>
          <w:tcPr>
            <w:tcW w:type="dxa" w:w="20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Deferred Consequences</w:t>
            </w:r>
          </w:p>
        </w:tc>
        <w:tc>
          <w:tcPr>
            <w:tcW w:type="dxa" w:w="368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When a previous FP spend produced skipped-vertebra side effects that manifest as new symptoms.</w:t>
            </w:r>
          </w:p>
        </w:tc>
        <w:tc>
          <w:tcPr>
            <w:tcW w:type="dxa" w:w="368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seed is a side effect the spender did not plan for. It emerges from the spine’s self-correction. The oracle may assist the GM in generating the specific form.</w:t>
            </w:r>
          </w:p>
        </w:tc>
      </w:tr>
    </w:tbl>
    <w:p>
      <w:r>
        <w:br w:type="page"/>
      </w:r>
    </w:p>
    <w:p>
      <w:pPr>
        <w:pStyle w:val="Heading1"/>
        <w:spacing w:after="140" w:before="300"/>
      </w:pPr>
      <w:r>
        <w:rPr>
          <w:rFonts w:ascii="Garamond" w:cs="Garamond" w:eastAsia="Garamond" w:hAnsi="Garamond"/>
          <w:b/>
          <w:bCs/>
          <w:color w:val="1A1A2E"/>
        </w:rPr>
        <w:t xml:space="preserve">SEED DESIGN: THE “THIS COULD BE YOU” PRINCIPLE</w:t>
      </w:r>
    </w:p>
    <w:p>
      <w:pPr>
        <w:spacing w:after="50" w:line="276"/>
      </w:pPr>
      <w:r>
        <w:rPr>
          <w:rFonts w:ascii="Garamond" w:cs="Garamond" w:eastAsia="Garamond" w:hAnsi="Garamond"/>
          <w:b w:val="false"/>
          <w:bCs w:val="false"/>
          <w:i w:val="false"/>
          <w:iCs w:val="false"/>
          <w:color w:val="333333"/>
          <w:sz w:val="21"/>
          <w:szCs w:val="21"/>
        </w:rPr>
        <w:t xml:space="preserve">Seeds must have personal relevance hooks — the participant must be able to see themselves in the situation. This is the oral tradition’s parable function applied to seed design.</w:t>
      </w:r>
    </w:p>
    <w:p>
      <w:pPr>
        <w:spacing w:after="100" w:line="276"/>
      </w:pPr>
      <w:r>
        <w:rPr>
          <w:rFonts w:ascii="Garamond" w:cs="Garamond" w:eastAsia="Garamond" w:hAnsi="Garamond"/>
          <w:b w:val="false"/>
          <w:bCs w:val="false"/>
          <w:i w:val="false"/>
          <w:iCs w:val="false"/>
          <w:color w:val="333333"/>
          <w:sz w:val="21"/>
          <w:szCs w:val="21"/>
        </w:rPr>
        <w:t xml:space="preserve">A seed that is too alien to identify with does not trigger engagement regardless of structural quality. “The dimensional rift is expanding at 0.3 meters per hour” is a fact. “The baker’s children are afraid to sleep because their bedroom wall has started humming” is a seed. Both describe the same event (a rift advancing toward inhabited structures). The second one triggers “this could be you” because the participant can project themselves into the situation. The children’s fear is legible. The dimensional mathematics are not.</w:t>
      </w:r>
    </w:p>
    <w:p>
      <w:pPr>
        <w:spacing w:after="100" w:line="276"/>
      </w:pPr>
      <w:r>
        <w:rPr>
          <w:rFonts w:ascii="Garamond" w:cs="Garamond" w:eastAsia="Garamond" w:hAnsi="Garamond"/>
          <w:b w:val="false"/>
          <w:bCs w:val="false"/>
          <w:i w:val="false"/>
          <w:iCs w:val="false"/>
          <w:color w:val="333333"/>
          <w:sz w:val="21"/>
          <w:szCs w:val="21"/>
        </w:rPr>
        <w:t xml:space="preserve">The design principle: every seed should be expressible in terms of human-scale experience. Institutional operations become visible through their effects on individual lives. Clock advancements become tangible through the specific people they affect. The party encounters the baker’s fear, not the front’s operational metrics. The investigation works backward from human-scale experience to institutional-scale cause.</w:t>
      </w:r>
    </w:p>
    <w:p>
      <w:pPr>
        <w:spacing w:after="100" w:line="276"/>
      </w:pPr>
      <w:r>
        <w:rPr>
          <w:rFonts w:ascii="Garamond" w:cs="Garamond" w:eastAsia="Garamond" w:hAnsi="Garamond"/>
          <w:b w:val="false"/>
          <w:bCs w:val="false"/>
          <w:i w:val="false"/>
          <w:iCs w:val="false"/>
          <w:color w:val="333333"/>
          <w:sz w:val="21"/>
          <w:szCs w:val="21"/>
        </w:rPr>
        <w:t xml:space="preserve">At Vertebra 6 (Adventures), “this could be you” is the FELT EXPERIENCE — the moment the participant’s transportation into the fictional space activates and they engage with the seed as though it were real. At Vertebra 5, it is a DESIGN PRINCIPLE — the seeds must be constructed with hooks that activate that transportation. The design produces the experience. The experience produces the engagement.</w:t>
      </w:r>
    </w:p>
    <w:p>
      <w:r>
        <w:br w:type="page"/>
      </w:r>
    </w:p>
    <w:p>
      <w:pPr>
        <w:pStyle w:val="Heading1"/>
        <w:spacing w:after="140" w:before="300"/>
      </w:pPr>
      <w:r>
        <w:rPr>
          <w:rFonts w:ascii="Garamond" w:cs="Garamond" w:eastAsia="Garamond" w:hAnsi="Garamond"/>
          <w:b/>
          <w:bCs/>
          <w:color w:val="1A1A2E"/>
        </w:rPr>
        <w:t xml:space="preserve">SEEDS AND THE GAME SYSTEM</w:t>
      </w:r>
    </w:p>
    <w:p>
      <w:pPr>
        <w:spacing w:after="50" w:line="276"/>
      </w:pPr>
      <w:r>
        <w:rPr>
          <w:rFonts w:ascii="Garamond" w:cs="Garamond" w:eastAsia="Garamond" w:hAnsi="Garamond"/>
          <w:b w:val="false"/>
          <w:bCs w:val="false"/>
          <w:i w:val="false"/>
          <w:iCs w:val="false"/>
          <w:color w:val="333333"/>
          <w:sz w:val="21"/>
          <w:szCs w:val="21"/>
        </w:rPr>
        <w:t xml:space="preserve">The Spell Sentence’s 19 canonical effects provide the vocabulary for what seeds LOOK LIKE in the world. The isotope map provides the specificity for HOW they look.</w:t>
      </w:r>
    </w:p>
    <w:p>
      <w:pPr>
        <w:pStyle w:val="Heading2"/>
        <w:spacing w:after="100" w:before="220"/>
      </w:pPr>
      <w:r>
        <w:rPr>
          <w:rFonts w:ascii="Garamond" w:cs="Garamond" w:eastAsia="Garamond" w:hAnsi="Garamond"/>
          <w:b/>
          <w:bCs/>
          <w:color w:val="2B2B4B"/>
        </w:rPr>
        <w:t xml:space="preserve">The Spell Sentence as Symptom Vocabulary</w:t>
      </w:r>
    </w:p>
    <w:p>
      <w:pPr>
        <w:spacing w:after="100" w:line="276"/>
      </w:pPr>
      <w:r>
        <w:rPr>
          <w:rFonts w:ascii="Garamond" w:cs="Garamond" w:eastAsia="Garamond" w:hAnsi="Garamond"/>
          <w:b w:val="false"/>
          <w:bCs w:val="false"/>
          <w:i w:val="false"/>
          <w:iCs w:val="false"/>
          <w:color w:val="333333"/>
          <w:sz w:val="21"/>
          <w:szCs w:val="21"/>
        </w:rPr>
        <w:t xml:space="preserve">When a clock advances, the symptom is describable as one or more Spell Sentence effects manifesting at observable scale. A Wildpath front’s expansion clock advancing produces Growth and Transform effects visible in the landscape. A Deepguard front’s ward network clock advancing produces Protection and Nullify effects detectable by Detect Magic or simple observation (new rune-marked stones, restricted access zones, faintly humming walls).</w:t>
      </w:r>
    </w:p>
    <w:p>
      <w:pPr>
        <w:spacing w:after="100" w:line="276"/>
      </w:pPr>
      <w:r>
        <w:rPr>
          <w:rFonts w:ascii="Garamond" w:cs="Garamond" w:eastAsia="Garamond" w:hAnsi="Garamond"/>
          <w:b w:val="false"/>
          <w:bCs w:val="false"/>
          <w:i w:val="false"/>
          <w:iCs w:val="false"/>
          <w:color w:val="333333"/>
          <w:sz w:val="21"/>
          <w:szCs w:val="21"/>
        </w:rPr>
        <w:t xml:space="preserve">The same grammar that describes individual spellcasting describes institutional symptoms. A character casting Growth and a territory experiencing ecological expansion are the same effect at different scales. The Spell Sentence IS the symptom vocabulary for every scale of clock advancement.</w:t>
      </w:r>
    </w:p>
    <w:p>
      <w:pPr>
        <w:pStyle w:val="Heading2"/>
        <w:spacing w:after="100" w:before="220"/>
      </w:pPr>
      <w:r>
        <w:rPr>
          <w:rFonts w:ascii="Garamond" w:cs="Garamond" w:eastAsia="Garamond" w:hAnsi="Garamond"/>
          <w:b/>
          <w:bCs/>
          <w:color w:val="2B2B4B"/>
        </w:rPr>
        <w:t xml:space="preserve">Isotope Specificity</w:t>
      </w:r>
    </w:p>
    <w:p>
      <w:pPr>
        <w:spacing w:after="100" w:line="276"/>
      </w:pPr>
      <w:r>
        <w:rPr>
          <w:rFonts w:ascii="Garamond" w:cs="Garamond" w:eastAsia="Garamond" w:hAnsi="Garamond"/>
          <w:b w:val="false"/>
          <w:bCs w:val="false"/>
          <w:i w:val="false"/>
          <w:iCs w:val="false"/>
          <w:color w:val="333333"/>
          <w:sz w:val="21"/>
          <w:szCs w:val="21"/>
        </w:rPr>
        <w:t xml:space="preserve">The 104 isotopes across five planes replace generalized descriptions with specific ones. “Fire” is not a symptom. “Borderlands Fire-03 (volcanic mineral combustion)” is a symptom. “Verdant Font Fire-07 (biological fever cascade)” is a different symptom. The same Spell Sentence effect in different territories produces visibly different seeds because the local isotope profile shapes the expression.</w:t>
      </w:r>
    </w:p>
    <w:p>
      <w:pPr>
        <w:spacing w:after="100" w:line="276"/>
      </w:pPr>
      <w:r>
        <w:rPr>
          <w:rFonts w:ascii="Garamond" w:cs="Garamond" w:eastAsia="Garamond" w:hAnsi="Garamond"/>
          <w:b w:val="false"/>
          <w:bCs w:val="false"/>
          <w:i w:val="false"/>
          <w:iCs w:val="false"/>
          <w:color w:val="333333"/>
          <w:sz w:val="21"/>
          <w:szCs w:val="21"/>
        </w:rPr>
        <w:t xml:space="preserve">A Growth symptom in a Borderlands territory looks like crystal formation or mineral accretion. A Growth symptom in a Verdant Font territory looks like vegetation surge or biological proliferation. A Growth symptom in a Palimpsest territory looks like probability condensation — the same unlikely event happening repeatedly, accumulating into pattern. Same effect. Different isotope. Different observable seed. The territory’s isotope profile IS the symptom’s visual vocabulary.</w:t>
      </w:r>
    </w:p>
    <w:p>
      <w:pPr>
        <w:pStyle w:val="Heading2"/>
        <w:spacing w:after="100" w:before="220"/>
      </w:pPr>
      <w:r>
        <w:rPr>
          <w:rFonts w:ascii="Garamond" w:cs="Garamond" w:eastAsia="Garamond" w:hAnsi="Garamond"/>
          <w:b/>
          <w:bCs/>
          <w:color w:val="2B2B4B"/>
        </w:rPr>
        <w:t xml:space="preserve">The Five Alchemy Layers as Seed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Borderlands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Inorganic symptoms. Structural changes, material anomalies, environmental hazards, resource shifts. The physical world behaving unexpectedly.</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Verdant Font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Biological symptoms. Ecological shifts, creature behavior changes, plant growth anomalies, disease patterns, mutation manifestations. The living world behaving unexpectedly.</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Synod of Endings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Entropic symptoms. Accelerated decay, debts surfacing, consequences arriving, institutional degradation, accumulated cost manifesting. The past catching up.</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Hidden Forge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Catalytic symptoms. System malfunctions, unexpected innovations, infrastructure anomalies, process failures, alchemical instabilities. The engineered world behaving unexpectedly.</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Palimpsest</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Probabilistic symptoms. Information conflicts, competing narratives, perception anomalies, reality seam disturbances, coincidence patterns. The narrative world behaving unexpectedly.</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Each alchemy layer produces a different category of observable effect. The driving college’s planar alignment determines which category the seed belongs to. A Stormpeak-driven clock produces Borderlands-category seeds. A Chronosynclastic-driven clock produces Palimpsest-category seeds. The category shapes what KIND of thing the party observes, which in turn shapes what KIND of investigation they pursue, which shapes which party members are most useful for the investigation.</w:t>
      </w:r>
    </w:p>
    <w:p>
      <w:r>
        <w:br w:type="page"/>
      </w:r>
    </w:p>
    <w:p>
      <w:pPr>
        <w:pStyle w:val="Heading1"/>
        <w:spacing w:after="140" w:before="300"/>
      </w:pPr>
      <w:r>
        <w:rPr>
          <w:rFonts w:ascii="Garamond" w:cs="Garamond" w:eastAsia="Garamond" w:hAnsi="Garamond"/>
          <w:b/>
          <w:bCs/>
          <w:color w:val="1A1A2E"/>
        </w:rPr>
        <w:t xml:space="preserve">THE PREP WORKFLOW</w:t>
      </w:r>
    </w:p>
    <w:p>
      <w:pPr>
        <w:spacing w:after="50" w:line="276"/>
      </w:pPr>
      <w:r>
        <w:rPr>
          <w:rFonts w:ascii="Garamond" w:cs="Garamond" w:eastAsia="Garamond" w:hAnsi="Garamond"/>
          <w:b w:val="false"/>
          <w:bCs w:val="false"/>
          <w:i w:val="false"/>
          <w:iCs w:val="false"/>
          <w:color w:val="333333"/>
          <w:sz w:val="21"/>
          <w:szCs w:val="21"/>
        </w:rPr>
        <w:t xml:space="preserve">The complete seed preparation process, integrating all five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c>
          <w:tcPr>
            <w:tcW w:type="dxa" w:w="5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w:t>
            </w:r>
          </w:p>
        </w:tc>
        <w:tc>
          <w:tcPr>
            <w:tcW w:type="dxa" w:w="22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Step</w:t>
            </w:r>
          </w:p>
        </w:tc>
        <w:tc>
          <w:tcPr>
            <w:tcW w:type="dxa" w:w="666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Procedure</w:t>
            </w:r>
          </w:p>
        </w:tc>
      </w:tr>
      <w:tr>
        <w:tc>
          <w:tcPr>
            <w:tcW w:type="dxa" w:w="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1</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Read Advanced Clocks</w:t>
            </w:r>
          </w:p>
        </w:tc>
        <w:tc>
          <w:tcPr>
            <w:tcW w:type="dxa" w:w="66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Check which clocks advanced since last session (from faction turn results, Document 3C). Read the Observable Symptoms field for each advanced segment.</w:t>
            </w:r>
          </w:p>
        </w:tc>
      </w:tr>
      <w:tr>
        <w:tc>
          <w:tcPr>
            <w:tcW w:type="dxa" w:w="5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2</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List the Truths</w:t>
            </w:r>
          </w:p>
        </w:tc>
        <w:tc>
          <w:tcPr>
            <w:tcW w:type="dxa" w:w="66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Write each symptom as a truth statement in the Lazy DM format. One sentence per truth. Five to ten truths per session. Add any truths from consequence propagation, deferred FP consequences, or oracle-generated seeds.</w:t>
            </w:r>
          </w:p>
        </w:tc>
      </w:tr>
      <w:tr>
        <w:tc>
          <w:tcPr>
            <w:tcW w:type="dxa" w:w="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3</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Apply Three Clue Rule</w:t>
            </w:r>
          </w:p>
        </w:tc>
        <w:tc>
          <w:tcPr>
            <w:tcW w:type="dxa" w:w="66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For each important truth, ensure at least three independent expressions exist. Each expression discoverable through a different method or at a different location. Critical truths (clock approaching threshold) get four or five expressions.</w:t>
            </w:r>
          </w:p>
        </w:tc>
      </w:tr>
      <w:tr>
        <w:tc>
          <w:tcPr>
            <w:tcW w:type="dxa" w:w="5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4</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Tag with Alchemy Layer</w:t>
            </w:r>
          </w:p>
        </w:tc>
        <w:tc>
          <w:tcPr>
            <w:tcW w:type="dxa" w:w="66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Note which alchemy layer each truth belongs to based on the driving college’s planar alignment. This determines the visual vocabulary for the seed when it is presented.</w:t>
            </w:r>
          </w:p>
        </w:tc>
      </w:tr>
      <w:tr>
        <w:tc>
          <w:tcPr>
            <w:tcW w:type="dxa" w:w="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5</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Check “This Could Be You”</w:t>
            </w:r>
          </w:p>
        </w:tc>
        <w:tc>
          <w:tcPr>
            <w:tcW w:type="dxa" w:w="66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Ensure each truth is expressible in human-scale terms. If a truth can only be described in institutional or mechanical language, reframe it through its effect on a specific person or community.</w:t>
            </w:r>
          </w:p>
        </w:tc>
      </w:tr>
      <w:tr>
        <w:tc>
          <w:tcPr>
            <w:tcW w:type="dxa" w:w="5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6</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Hold in Superposition</w:t>
            </w:r>
          </w:p>
        </w:tc>
        <w:tc>
          <w:tcPr>
            <w:tcW w:type="dxa" w:w="66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Do NOT assign truths to specific locations, NPCs, or objects. The truths exist. Their placement is undetermined until the party investigates. Schrödinger’s Gun is active.</w:t>
            </w:r>
          </w:p>
        </w:tc>
      </w:tr>
      <w:tr>
        <w:tc>
          <w:tcPr>
            <w:tcW w:type="dxa" w:w="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7</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Check Node Connectivity</w:t>
            </w:r>
          </w:p>
        </w:tc>
        <w:tc>
          <w:tcPr>
            <w:tcW w:type="dxa" w:w="66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Ensure the session’s available locations form a connected network. Every location the party might visit should contain at least one truth expression that points to at least one other location. No dead ends.</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This workflow takes ten to fifteen minutes per session. The output is a truth list on a single page — the GM’s seed inventory for the upcoming session. During play, the GM consults the truth list whenever the party investigates something and selects the most appropriate truth to reveal based on what they are searching and where.</w:t>
      </w:r>
    </w:p>
    <w:p>
      <w:r>
        <w:br w:type="page"/>
      </w:r>
    </w:p>
    <w:p>
      <w:pPr>
        <w:pStyle w:val="Heading1"/>
        <w:spacing w:after="140" w:before="300"/>
      </w:pPr>
      <w:r>
        <w:rPr>
          <w:rFonts w:ascii="Garamond" w:cs="Garamond" w:eastAsia="Garamond" w:hAnsi="Garamond"/>
          <w:b/>
          <w:bCs/>
          <w:color w:val="1A1A2E"/>
        </w:rPr>
        <w:t xml:space="preserve">EXPRESSION GUIDANCE: ATTENTION DIRECTION</w:t>
      </w:r>
    </w:p>
    <w:p>
      <w:pPr>
        <w:spacing w:after="50" w:line="276"/>
      </w:pPr>
      <w:r>
        <w:rPr>
          <w:rFonts w:ascii="Garamond" w:cs="Garamond" w:eastAsia="Garamond" w:hAnsi="Garamond"/>
          <w:b w:val="false"/>
          <w:bCs w:val="false"/>
          <w:i w:val="false"/>
          <w:iCs w:val="false"/>
          <w:color w:val="333333"/>
          <w:sz w:val="21"/>
          <w:szCs w:val="21"/>
        </w:rPr>
        <w:t xml:space="preserve">Vertebra 5’s strongest expression bond is Attention Direction — controlling which seed the audience perceives and in what order. Three media techniques govern this bond.</w:t>
      </w:r>
    </w:p>
    <w:p>
      <w:pPr>
        <w:pStyle w:val="Heading2"/>
        <w:spacing w:after="100" w:before="220"/>
      </w:pPr>
      <w:r>
        <w:rPr>
          <w:rFonts w:ascii="Garamond" w:cs="Garamond" w:eastAsia="Garamond" w:hAnsi="Garamond"/>
          <w:b/>
          <w:bCs/>
          <w:color w:val="2B2B4B"/>
        </w:rPr>
        <w:t xml:space="preserve">Film: The Camera</w:t>
      </w:r>
    </w:p>
    <w:p>
      <w:pPr>
        <w:spacing w:after="100" w:line="276"/>
      </w:pPr>
      <w:r>
        <w:rPr>
          <w:rFonts w:ascii="Garamond" w:cs="Garamond" w:eastAsia="Garamond" w:hAnsi="Garamond"/>
          <w:b w:val="false"/>
          <w:bCs w:val="false"/>
          <w:i w:val="false"/>
          <w:iCs w:val="false"/>
          <w:color w:val="333333"/>
          <w:sz w:val="21"/>
          <w:szCs w:val="21"/>
        </w:rPr>
        <w:t xml:space="preserve">Film directs attention through camera placement. Close-up means this detail matters. Wide shot means take in the whole scene. The cut to the reaction shot tells the audience how to feel about what they just saw.</w:t>
      </w:r>
    </w:p>
    <w:p>
      <w:pPr>
        <w:spacing w:after="100" w:line="276"/>
      </w:pPr>
      <w:r>
        <w:rPr>
          <w:rFonts w:ascii="Garamond" w:cs="Garamond" w:eastAsia="Garamond" w:hAnsi="Garamond"/>
          <w:b w:val="false"/>
          <w:bCs w:val="false"/>
          <w:i w:val="false"/>
          <w:iCs w:val="false"/>
          <w:color w:val="333333"/>
          <w:sz w:val="21"/>
          <w:szCs w:val="21"/>
        </w:rPr>
        <w:t xml:space="preserve">At the table, the GM’s description IS the camera. What the GM describes first is the close-up — the detail the party should notice. What the GM describes last is the establishing context. The order of description determines the order of attention. Leading with the blood on the wall (close-up) before describing the room (wide shot) creates a different experience than describing the room first and mentioning the blood last.</w:t>
      </w:r>
    </w:p>
    <w:p>
      <w:pPr>
        <w:spacing w:after="100" w:line="276"/>
      </w:pPr>
      <w:r>
        <w:rPr>
          <w:rFonts w:ascii="Garamond" w:cs="Garamond" w:eastAsia="Garamond" w:hAnsi="Garamond"/>
          <w:b w:val="false"/>
          <w:bCs w:val="false"/>
          <w:i w:val="false"/>
          <w:iCs w:val="false"/>
          <w:color w:val="333333"/>
          <w:sz w:val="21"/>
          <w:szCs w:val="21"/>
        </w:rPr>
        <w:t xml:space="preserve">The player who describes their character noticing something specific is also directing the camera. “Lacuna watches the fighter’s face when the prisoner begs.” That is a reaction shot. The table is now looking at the fighter’s player. The scene became about the fighter’s moral choice because the camera was pointed there.</w:t>
      </w:r>
    </w:p>
    <w:p>
      <w:pPr>
        <w:pStyle w:val="Heading2"/>
        <w:spacing w:after="100" w:before="220"/>
      </w:pPr>
      <w:r>
        <w:rPr>
          <w:rFonts w:ascii="Garamond" w:cs="Garamond" w:eastAsia="Garamond" w:hAnsi="Garamond"/>
          <w:b/>
          <w:bCs/>
          <w:color w:val="2B2B4B"/>
        </w:rPr>
        <w:t xml:space="preserve">Journalism: Show the Primary Source</w:t>
      </w:r>
    </w:p>
    <w:p>
      <w:pPr>
        <w:spacing w:after="100" w:line="276"/>
      </w:pPr>
      <w:r>
        <w:rPr>
          <w:rFonts w:ascii="Garamond" w:cs="Garamond" w:eastAsia="Garamond" w:hAnsi="Garamond"/>
          <w:b w:val="false"/>
          <w:bCs w:val="false"/>
          <w:i w:val="false"/>
          <w:iCs w:val="false"/>
          <w:color w:val="333333"/>
          <w:sz w:val="21"/>
          <w:szCs w:val="21"/>
        </w:rPr>
        <w:t xml:space="preserve">Present raw observational data rather than interpreted conclusions. The merchant touched his collar twice while saying the shipment was delayed. He looked toward the warehouse when he mentioned his supplier. His voice dropped on the word ‘bandits.’ Three pieces of behavioral evidence. The party draws the conclusion. The conclusion is more convincing because they reached it themselves.</w:t>
      </w:r>
    </w:p>
    <w:p>
      <w:pPr>
        <w:spacing w:after="100" w:line="276"/>
      </w:pPr>
      <w:r>
        <w:rPr>
          <w:rFonts w:ascii="Garamond" w:cs="Garamond" w:eastAsia="Garamond" w:hAnsi="Garamond"/>
          <w:b w:val="false"/>
          <w:bCs w:val="false"/>
          <w:i w:val="false"/>
          <w:iCs w:val="false"/>
          <w:color w:val="333333"/>
          <w:sz w:val="21"/>
          <w:szCs w:val="21"/>
        </w:rPr>
        <w:t xml:space="preserve">Seeds should be presented as primary sources — what the party can observe, not what it means. The GM’s job is pointing the camera. The party’s job is interpreting the image. When the party interprets, they engage. When the GM interprets for them, they consume. The participation IS the engagement. The evidence IS the call. The interpretation IS the response.</w:t>
      </w:r>
    </w:p>
    <w:p>
      <w:pPr>
        <w:pStyle w:val="Heading2"/>
        <w:spacing w:after="100" w:before="220"/>
      </w:pPr>
      <w:r>
        <w:rPr>
          <w:rFonts w:ascii="Garamond" w:cs="Garamond" w:eastAsia="Garamond" w:hAnsi="Garamond"/>
          <w:b/>
          <w:bCs/>
          <w:color w:val="2B2B4B"/>
        </w:rPr>
        <w:t xml:space="preserve">Comics: Density Controls Time</w:t>
      </w:r>
    </w:p>
    <w:p>
      <w:pPr>
        <w:spacing w:after="100" w:line="276"/>
      </w:pPr>
      <w:r>
        <w:rPr>
          <w:rFonts w:ascii="Garamond" w:cs="Garamond" w:eastAsia="Garamond" w:hAnsi="Garamond"/>
          <w:b w:val="false"/>
          <w:bCs w:val="false"/>
          <w:i w:val="false"/>
          <w:iCs w:val="false"/>
          <w:color w:val="333333"/>
          <w:sz w:val="21"/>
          <w:szCs w:val="21"/>
        </w:rPr>
        <w:t xml:space="preserve">Information density controls perceived pace. Sparse description accelerates time. Dense description decelerates it. A single vivid image STOPS time — the audience lingers on the moment.</w:t>
      </w:r>
    </w:p>
    <w:p>
      <w:pPr>
        <w:spacing w:after="100" w:line="276"/>
      </w:pPr>
      <w:r>
        <w:rPr>
          <w:rFonts w:ascii="Garamond" w:cs="Garamond" w:eastAsia="Garamond" w:hAnsi="Garamond"/>
          <w:b w:val="false"/>
          <w:bCs w:val="false"/>
          <w:i w:val="false"/>
          <w:iCs w:val="false"/>
          <w:color w:val="333333"/>
          <w:sz w:val="21"/>
          <w:szCs w:val="21"/>
        </w:rPr>
        <w:t xml:space="preserve">For fast scenes (chases, urgent situations, rapid transitions): sparse detail. “Four guards, two doors, one torch, go left.” The scene moves quickly because the information is minimal.</w:t>
      </w:r>
    </w:p>
    <w:p>
      <w:pPr>
        <w:spacing w:after="100" w:line="276"/>
      </w:pPr>
      <w:r>
        <w:rPr>
          <w:rFonts w:ascii="Garamond" w:cs="Garamond" w:eastAsia="Garamond" w:hAnsi="Garamond"/>
          <w:b w:val="false"/>
          <w:bCs w:val="false"/>
          <w:i w:val="false"/>
          <w:iCs w:val="false"/>
          <w:color w:val="333333"/>
          <w:sz w:val="21"/>
          <w:szCs w:val="21"/>
        </w:rPr>
        <w:t xml:space="preserve">For important scenes (revelations, threshold crossings, emotionally significant moments): one vivid image. “The room is entirely empty except for a single chair in the center, facing the wall.” Time stops. The table lingers. The emptiness is louder than any description of a crowded room.</w:t>
      </w:r>
    </w:p>
    <w:p>
      <w:pPr>
        <w:spacing w:after="100" w:line="276"/>
      </w:pPr>
      <w:r>
        <w:rPr>
          <w:rFonts w:ascii="Garamond" w:cs="Garamond" w:eastAsia="Garamond" w:hAnsi="Garamond"/>
          <w:b w:val="false"/>
          <w:bCs w:val="false"/>
          <w:i w:val="false"/>
          <w:iCs w:val="false"/>
          <w:color w:val="333333"/>
          <w:sz w:val="21"/>
          <w:szCs w:val="21"/>
        </w:rPr>
        <w:t xml:space="preserve">The density of description is a deliberate choice. The GM controls pacing at the seed-presentation level by choosing how much detail to include. This is the finest-grain pacing tool available — finer than beat selection (Document 4C) because it operates within individual beats rather than between them.</w:t>
      </w:r>
    </w:p>
    <w:p>
      <w:r>
        <w:br w:type="page"/>
      </w:r>
    </w:p>
    <w:p>
      <w:pPr>
        <w:pStyle w:val="Heading1"/>
        <w:spacing w:after="140" w:before="300"/>
      </w:pPr>
      <w:r>
        <w:rPr>
          <w:rFonts w:ascii="Garamond" w:cs="Garamond" w:eastAsia="Garamond" w:hAnsi="Garamond"/>
          <w:b/>
          <w:bCs/>
          <w:color w:val="1A1A2E"/>
        </w:rPr>
        <w:t xml:space="preserve">SEED TRACKING</w:t>
      </w:r>
    </w:p>
    <w:p>
      <w:pPr>
        <w:spacing w:after="50" w:line="276"/>
      </w:pPr>
      <w:r>
        <w:rPr>
          <w:rFonts w:ascii="Garamond" w:cs="Garamond" w:eastAsia="Garamond" w:hAnsi="Garamond"/>
          <w:b w:val="false"/>
          <w:bCs w:val="false"/>
          <w:i w:val="false"/>
          <w:iCs w:val="false"/>
          <w:color w:val="333333"/>
          <w:sz w:val="21"/>
          <w:szCs w:val="21"/>
        </w:rPr>
        <w:t xml:space="preserve">Outstanding seeds are tracked to ensure Chekhov compliance. The tracking is integrated into the existing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Truth List</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session’s seed inventory. Truths that were encountered and resolved during the session are crossed off. Truths that were not encountered remain on the list for future sessions. Truths that were encountered but not resolved become Chekhov obligations.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Contradictions Log</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On the NPC Assessment Card (Document 2B). Seeds related to specific NPCs are tracked here. When the merchant’s collar-touching is introduced, it enters the contradictions log. When it resolves, the resolution is noted.</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Ledger</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party’s collective memory artifact (Document 7B). Outstanding seeds noted by the party are tracked here from the player side. The GM’s truth list and the party’s ledger should be compared between sessions — seeds the party tracked but the GM forgot about are the most dangerous Chekhov violations.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Front Sheet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Each front’s clock potential and active clock symptoms are tracked here. When a clock’s symptom has been presented and resolved, the clock record updates. When a symptom has been presented but not resolved, it becomes an outstanding seed on the front sheet.</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Between sessions, review all four tracking locations. Identify outstanding seeds from previous sessions. Prioritize those that have been outstanding longest — the longer a seed goes unresolved, the greater the Chekhov obligation’s weight and the more satisfying the eventual payoff. Seeds outstanding for more than five sessions should either be resolved soon or deliberately integrated into a clock’s terminal state so their resolution is guaranteed.</w:t>
      </w:r>
    </w:p>
    <w:p>
      <w:pPr>
        <w:pBdr>
          <w:bottom w:val="single" w:color="CCCCCC" w:sz="3" w:space="1"/>
        </w:pBdr>
        <w:spacing w:after="80" w:before="80"/>
      </w:pPr>
      <w:r>
        <w:rPr>
          <w:sz w:val="2"/>
          <w:szCs w:val="2"/>
        </w:rPr>
        <w:t xml:space="preserve"/>
      </w:r>
    </w:p>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iCs/>
          <w:color w:val="888888"/>
          <w:sz w:val="21"/>
          <w:szCs w:val="21"/>
        </w:rPr>
        <w:t xml:space="preserve">Document 5B (Oracle Tables) provides the 1,200-combination gap-filling tool for generating seeds outside the active front network. Document 5C (Isotope-to-Symptom Expression Guide) provides the detailed reference for how each of the 104 isotopes expresses as observable effects. Together with this document, they constitute the complete Vertebra 5 architecture.</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Garamond" w:cs="Garamond" w:eastAsia="Garamond" w:hAnsi="Garamond"/>
      <w:b/>
      <w:bCs/>
      <w:color w:val="1A1A2E"/>
      <w:sz w:val="30"/>
      <w:szCs w:val="30"/>
    </w:rPr>
  </w:style>
  <w:style w:type="paragraph" w:styleId="Heading2">
    <w:name w:val="Heading 2"/>
    <w:basedOn w:val="Normal"/>
    <w:next w:val="Normal"/>
    <w:qFormat/>
    <w:pPr>
      <w:spacing w:after="140" w:before="260"/>
      <w:outlineLvl w:val="1"/>
    </w:pPr>
    <w:rPr>
      <w:rFonts w:ascii="Garamond" w:cs="Garamond" w:eastAsia="Garamond" w:hAnsi="Garamond"/>
      <w:b/>
      <w:bCs/>
      <w:color w:val="2B2B4B"/>
      <w:sz w:val="25"/>
      <w:szCs w:val="25"/>
    </w:rPr>
  </w:style>
  <w:style w:type="paragraph" w:styleId="Heading3">
    <w:name w:val="Heading 3"/>
    <w:basedOn w:val="Normal"/>
    <w:next w:val="Normal"/>
    <w:qFormat/>
    <w:pPr>
      <w:spacing w:after="100" w:before="200"/>
      <w:outlineLvl w:val="2"/>
    </w:pPr>
    <w:rPr>
      <w:rFonts w:ascii="Garamond" w:cs="Garamond" w:eastAsia="Garamond" w:hAnsi="Garamond"/>
      <w:b/>
      <w:bCs/>
      <w:color w:val="4444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2026-04-15T01:28:59.213Z</dcterms:created>
  <dcterms:modified xsi:type="dcterms:W3CDTF">2026-04-15T01:28:59.214Z</dcterms:modified>
</cp:coreProperties>
</file>

<file path=docProps/custom.xml><?xml version="1.0" encoding="utf-8"?>
<Properties xmlns="http://schemas.openxmlformats.org/officeDocument/2006/custom-properties" xmlns:vt="http://schemas.openxmlformats.org/officeDocument/2006/docPropsVTypes"/>
</file>