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CONSEQUENCE AND LEGACY</w:t>
      </w:r>
    </w:p>
    <w:p>
      <w:pPr>
        <w:spacing w:after="30"/>
        <w:jc w:val="center"/>
      </w:pPr>
      <w:r>
        <w:rPr>
          <w:rFonts w:ascii="Garamond" w:cs="Garamond" w:eastAsia="Garamond" w:hAnsi="Garamond"/>
          <w:color w:val="666666"/>
          <w:sz w:val="24"/>
          <w:szCs w:val="24"/>
        </w:rPr>
        <w:t xml:space="preserve">Where the Cycle Completes and Compounds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7A — Vertebra 7: Feedback Loop</w:t>
      </w:r>
    </w:p>
    <w:p>
      <w:pPr>
        <w:spacing w:after="500"/>
        <w:jc w:val="center"/>
      </w:pPr>
      <w:r>
        <w:rPr>
          <w:rFonts w:ascii="Garamond" w:cs="Garamond" w:eastAsia="Garamond" w:hAnsi="Garamond"/>
          <w:i/>
          <w:iCs/>
          <w:color w:val="999999"/>
          <w:sz w:val="18"/>
          <w:szCs w:val="18"/>
        </w:rPr>
        <w:t xml:space="preserve">The output of observation collapse becomes the input for the next cycle</w:t>
      </w:r>
    </w:p>
    <w:p>
      <w:r>
        <w:br w:type="page"/>
      </w:r>
    </w:p>
    <w:p>
      <w:pPr>
        <w:pStyle w:val="Heading1"/>
        <w:spacing w:after="140" w:before="300"/>
      </w:pPr>
      <w:r>
        <w:rPr>
          <w:rFonts w:ascii="Garamond" w:cs="Garamond" w:eastAsia="Garamond" w:hAnsi="Garamond"/>
          <w:b/>
          <w:bCs/>
          <w:color w:val="1A1A2E"/>
        </w:rPr>
        <w:t xml:space="preserve">WHAT THE FEEDBACK LOOP IS</w:t>
      </w:r>
    </w:p>
    <w:p>
      <w:pPr>
        <w:spacing w:after="100" w:line="276"/>
      </w:pPr>
      <w:r>
        <w:rPr>
          <w:rFonts w:ascii="Garamond" w:cs="Garamond" w:eastAsia="Garamond" w:hAnsi="Garamond"/>
          <w:b w:val="false"/>
          <w:bCs w:val="false"/>
          <w:i w:val="false"/>
          <w:iCs w:val="false"/>
          <w:color w:val="333333"/>
          <w:sz w:val="21"/>
          <w:szCs w:val="21"/>
        </w:rPr>
        <w:t xml:space="preserve">Vertebra 7 is the vertebra that makes the spine a cycle rather than a line. After observation collapse at Vertebra 6 produces consequences, those consequences propagate backward through the spine. Relationships shift. Clocks advance or retard. New pressure points emerge. The character’s accumulated record crystallizes into pattern. The modified state feeds back into Vertebra 1 (Schema), and the cycle begins again.</w:t>
      </w:r>
    </w:p>
    <w:p>
      <w:pPr>
        <w:spacing w:after="100" w:line="276"/>
      </w:pPr>
      <w:r>
        <w:rPr>
          <w:rFonts w:ascii="Garamond" w:cs="Garamond" w:eastAsia="Garamond" w:hAnsi="Garamond"/>
          <w:b w:val="false"/>
          <w:bCs w:val="false"/>
          <w:i w:val="false"/>
          <w:iCs w:val="false"/>
          <w:color w:val="333333"/>
          <w:sz w:val="21"/>
          <w:szCs w:val="21"/>
        </w:rPr>
        <w:t xml:space="preserve">Without the Feedback Loop, each adventure is isolated. Events happen, resolve, and are forgotten. With the Feedback Loop, events compound. Every cycle’s output shapes the next cycle’s input. The world after the adventure is different from the world before it. The character after the adventure is different from the character before it. The accumulation across cycles IS the campaign.</w:t>
      </w:r>
    </w:p>
    <w:p>
      <w:pPr>
        <w:spacing w:after="100" w:line="276"/>
      </w:pPr>
      <w:r>
        <w:rPr>
          <w:rFonts w:ascii="Garamond" w:cs="Garamond" w:eastAsia="Garamond" w:hAnsi="Garamond"/>
          <w:b w:val="false"/>
          <w:bCs w:val="false"/>
          <w:i w:val="false"/>
          <w:iCs w:val="false"/>
          <w:color w:val="333333"/>
          <w:sz w:val="21"/>
          <w:szCs w:val="21"/>
        </w:rPr>
        <w:t xml:space="preserve">This vertebra operates in two phases: the immediate cascade (consequences propagating through the network within the same session or between sessions) and the retrospective read (the pattern that emerges from accumulated cascades over time). The cascade is mechanical. The retrospective read is interpretive. Both are essential.</w:t>
      </w:r>
    </w:p>
    <w:p>
      <w:r>
        <w:br w:type="page"/>
      </w:r>
    </w:p>
    <w:p>
      <w:pPr>
        <w:pStyle w:val="Heading1"/>
        <w:spacing w:after="140" w:before="300"/>
      </w:pPr>
      <w:r>
        <w:rPr>
          <w:rFonts w:ascii="Garamond" w:cs="Garamond" w:eastAsia="Garamond" w:hAnsi="Garamond"/>
          <w:b/>
          <w:bCs/>
          <w:color w:val="1A1A2E"/>
        </w:rPr>
        <w:t xml:space="preserve">CONSEQUENCE CASCADES</w:t>
      </w:r>
    </w:p>
    <w:p>
      <w:pPr>
        <w:spacing w:after="50" w:line="276"/>
      </w:pPr>
      <w:r>
        <w:rPr>
          <w:rFonts w:ascii="Garamond" w:cs="Garamond" w:eastAsia="Garamond" w:hAnsi="Garamond"/>
          <w:b w:val="false"/>
          <w:bCs w:val="false"/>
          <w:i w:val="false"/>
          <w:iCs w:val="false"/>
          <w:color w:val="333333"/>
          <w:sz w:val="21"/>
          <w:szCs w:val="21"/>
        </w:rPr>
        <w:t xml:space="preserve">When an observation collapse at Vertebra 6 resolves, it produces consequences (Document 6A, collapse output table). Each consequence enters the relationship map (Document 3B) and propagates along edges according to the four propagation rules: consequences follow edges, trust governs accuracy, tension governs amplification, state governs direction.</w:t>
      </w:r>
    </w:p>
    <w:p>
      <w:pPr>
        <w:pStyle w:val="Heading2"/>
        <w:spacing w:after="100" w:before="220"/>
      </w:pPr>
      <w:r>
        <w:rPr>
          <w:rFonts w:ascii="Garamond" w:cs="Garamond" w:eastAsia="Garamond" w:hAnsi="Garamond"/>
          <w:b/>
          <w:bCs/>
          <w:color w:val="2B2B4B"/>
        </w:rPr>
        <w:t xml:space="preserve">The Cascade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Step</w:t>
            </w:r>
          </w:p>
        </w:tc>
        <w:tc>
          <w:tcPr>
            <w:tcW w:type="dxa" w:w="6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Procedure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Identify the direct consequence</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changed as a result of the collapse? A clock advanced or retarded. An NPC’s state changed. A relationship edge was modified. A resource was gained or lost. List each change.</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Trace the edges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direct consequence, check the relationship map. Which other fronts are connected to the affected front? Through what quality of edge (trust, debt, tension, state)?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Apply propagation rules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consequence traveling along an edge is filtered by the edge’s properties. High trust = accurate transmission. High tension = amplified impact. Ally state = supportive interpretation. Enemy state = hostile interpretation.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for secondary ticks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Does the propagated consequence trigger a tick on any connected front’s clock? If a rival front’s clock is event-triggered and the event just occurred, the clock advances. If an ally front’s clock tracks support received, it may advance positively.</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for threshold crossings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any secondary tick push a clock past its intervention threshold? If yes, a new bang is generated (Document 4A). The cascade has produced a forced-choice situation on a front the party was not directly engaging with.</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for state changes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any edge’s tension cross its threshold from the accumulated propagation? If yes, process the state change (Document 3B). The relationship has reorganized.</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Record new seeds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 cascade step that produces an observable change is a potential seed for the next session. Add to the truth list. These are the symptoms the party encounters as evidence that the world moved in response to their actions.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cascade procedure runs after every significant collapse event — typically at the end of a session or between sessions. Minor engagements (routine skill checks, trivial combats) do not require full cascade processing. Major engagements (clock threshold crossings, front resolutions, significant NPC state changes) require the full seven steps.</w:t>
      </w:r>
    </w:p>
    <w:p>
      <w:pPr>
        <w:spacing w:after="100" w:line="276"/>
      </w:pPr>
      <w:r>
        <w:rPr>
          <w:rFonts w:ascii="Garamond" w:cs="Garamond" w:eastAsia="Garamond" w:hAnsi="Garamond"/>
          <w:b w:val="false"/>
          <w:bCs w:val="false"/>
          <w:i w:val="false"/>
          <w:iCs w:val="false"/>
          <w:color w:val="333333"/>
          <w:sz w:val="21"/>
          <w:szCs w:val="21"/>
        </w:rPr>
        <w:t xml:space="preserve">The cascade is where emergent story lives. The party defeated the goblin chief (direct consequence). The goblin tribe fractures (secondary tick). The Redbrand front that was using the goblins as a buffer loses its shield (propagated consequence). The Redbrands accelerate their timeline (tertiary tick). A clock the party did not know about crosses its threshold because of an action three links away in the network. The party encounters the Redbrand escalation next session and does not initially understand that THEY caused it.</w:t>
      </w:r>
    </w:p>
    <w:p>
      <w:r>
        <w:br w:type="page"/>
      </w:r>
    </w:p>
    <w:p>
      <w:pPr>
        <w:pStyle w:val="Heading1"/>
        <w:spacing w:after="140" w:before="300"/>
      </w:pPr>
      <w:r>
        <w:rPr>
          <w:rFonts w:ascii="Garamond" w:cs="Garamond" w:eastAsia="Garamond" w:hAnsi="Garamond"/>
          <w:b/>
          <w:bCs/>
          <w:color w:val="1A1A2E"/>
        </w:rPr>
        <w:t xml:space="preserve">THE LEGACY SYSTEM</w:t>
      </w:r>
    </w:p>
    <w:p>
      <w:pPr>
        <w:spacing w:after="50" w:line="276"/>
      </w:pPr>
      <w:r>
        <w:rPr>
          <w:rFonts w:ascii="Garamond" w:cs="Garamond" w:eastAsia="Garamond" w:hAnsi="Garamond"/>
          <w:b w:val="false"/>
          <w:bCs w:val="false"/>
          <w:i w:val="false"/>
          <w:iCs w:val="false"/>
          <w:color w:val="333333"/>
          <w:sz w:val="21"/>
          <w:szCs w:val="21"/>
        </w:rPr>
        <w:t xml:space="preserve">The character-level feedback mechanism. The Legacy System reads accumulated history in reverse and crystallizes identity from the pattern that already exists.</w:t>
      </w:r>
    </w:p>
    <w:p>
      <w:pPr>
        <w:pStyle w:val="Heading2"/>
        <w:spacing w:after="100" w:before="220"/>
      </w:pPr>
      <w:r>
        <w:rPr>
          <w:rFonts w:ascii="Garamond" w:cs="Garamond" w:eastAsia="Garamond" w:hAnsi="Garamond"/>
          <w:b/>
          <w:bCs/>
          <w:color w:val="2B2B4B"/>
        </w:rPr>
        <w:t xml:space="preserve">The Backward-Facing Read</w:t>
      </w:r>
    </w:p>
    <w:p>
      <w:pPr>
        <w:spacing w:after="100" w:line="276"/>
      </w:pPr>
      <w:r>
        <w:rPr>
          <w:rFonts w:ascii="Garamond" w:cs="Garamond" w:eastAsia="Garamond" w:hAnsi="Garamond"/>
          <w:b w:val="false"/>
          <w:bCs w:val="false"/>
          <w:i w:val="false"/>
          <w:iCs w:val="false"/>
          <w:color w:val="333333"/>
          <w:sz w:val="21"/>
          <w:szCs w:val="21"/>
        </w:rPr>
        <w:t xml:space="preserve">The Legacy System does not track forward-facing achievements. It does not ask “what did you accomplish?” It asks “what pattern do your accumulated choices reveal about who you are?” The answer is read backward from the present, not forward from a starting point.</w:t>
      </w:r>
    </w:p>
    <w:p>
      <w:pPr>
        <w:spacing w:after="100" w:line="276"/>
      </w:pPr>
      <w:r>
        <w:rPr>
          <w:rFonts w:ascii="Garamond" w:cs="Garamond" w:eastAsia="Garamond" w:hAnsi="Garamond"/>
          <w:b w:val="false"/>
          <w:bCs w:val="false"/>
          <w:i w:val="false"/>
          <w:iCs w:val="false"/>
          <w:color w:val="333333"/>
          <w:sz w:val="21"/>
          <w:szCs w:val="21"/>
        </w:rPr>
        <w:t xml:space="preserve">After every significant cycle (typically every 3-5 sessions, or at the end of a campaign arc), the GM and player review the character’s accumulated actions. Not what they planned. Not what they intended. What they actually DID. The pattern of choices reveals values the character may not have consciously recognized.</w:t>
      </w:r>
    </w:p>
    <w:p>
      <w:pPr>
        <w:spacing w:after="100" w:line="276"/>
      </w:pPr>
      <w:r>
        <w:rPr>
          <w:rFonts w:ascii="Garamond" w:cs="Garamond" w:eastAsia="Garamond" w:hAnsi="Garamond"/>
          <w:b w:val="false"/>
          <w:bCs w:val="false"/>
          <w:i w:val="false"/>
          <w:iCs w:val="false"/>
          <w:color w:val="333333"/>
          <w:sz w:val="21"/>
          <w:szCs w:val="21"/>
        </w:rPr>
        <w:t xml:space="preserve">A character who consistently chose to protect strangers over pursuing objectives has a pattern. That pattern crystallizes into a Legacy trait — a permanent modifier that reflects who the character has become through accumulated action. The trait was not planned. It was not assigned at character creation. It EMERGED from the pattern of play. The Selûnae read fate backward. The Legacy System is the Selûnae principle expressed as character mechanics.</w:t>
      </w:r>
    </w:p>
    <w:p>
      <w:pPr>
        <w:pStyle w:val="Heading2"/>
        <w:spacing w:after="100" w:before="220"/>
      </w:pPr>
      <w:r>
        <w:rPr>
          <w:rFonts w:ascii="Garamond" w:cs="Garamond" w:eastAsia="Garamond" w:hAnsi="Garamond"/>
          <w:b/>
          <w:bCs/>
          <w:color w:val="2B2B4B"/>
        </w:rPr>
        <w:t xml:space="preserve">Legacy Trait Crystallization</w:t>
      </w:r>
    </w:p>
    <w:p>
      <w:pPr>
        <w:spacing w:after="40" w:line="276"/>
      </w:pPr>
      <w:r>
        <w:rPr>
          <w:rFonts w:ascii="Garamond" w:cs="Garamond" w:eastAsia="Garamond" w:hAnsi="Garamond"/>
          <w:b w:val="false"/>
          <w:bCs w:val="false"/>
          <w:i w:val="false"/>
          <w:iCs w:val="false"/>
          <w:color w:val="333333"/>
          <w:sz w:val="21"/>
          <w:szCs w:val="21"/>
        </w:rPr>
        <w:t xml:space="preserve">When the backward read reveals a consistent pattern across multiple cycles, the GM proposes a Legacy trait. The trait is discussed with the player. If both agree the pattern is genuine (not forced or coincidental), the trait is added to the character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a Legacy trait IS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permanent modifier reflecting accumulated pattern. It may provide a mechanical bonus in situations that align with the pattern, a mechanical penalty in situations that contradict it, or both. The trait is the character’s identity crystallized into a rule.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What a Legacy trait IS NOT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reward for “good play.” A punishment for “bad choices.” An externally imposed alignment restriction. Legacy traits are descriptive, not prescriptive. They describe who the character HAS BEEN, not who they SHOULD BE. The character can act against their Legacy. Doing so creates friction (the trait’s penalty applies) which is itself a story moment.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How Legacy traits interact with the Schema</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Legacy trait modifies how the Schema is read. A character with a Legacy trait of “Protector” has their Constantine (Duty) score read differently — the duty is now specified. Future pressure point extraction weights situations involving protection more heavily because the Legacy has identified it as load-bearing.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How Legacy traits generate FP</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crystallized Legacy trait may count as a pattern break if it contradicts the character’s original Schema. A character whose Schema predicted pragmatic self-interest but whose Legacy reveals consistent self-sacrifice has a pattern break. The break generates 1 FP per session — the contradiction between who they were designed to be and who they became IS narrative energy.</w:t>
            </w:r>
          </w:p>
        </w:tc>
      </w:tr>
    </w:tbl>
    <w:p>
      <w:r>
        <w:br w:type="page"/>
      </w:r>
    </w:p>
    <w:p>
      <w:pPr>
        <w:pStyle w:val="Heading1"/>
        <w:spacing w:after="140" w:before="300"/>
      </w:pPr>
      <w:r>
        <w:rPr>
          <w:rFonts w:ascii="Garamond" w:cs="Garamond" w:eastAsia="Garamond" w:hAnsi="Garamond"/>
          <w:b/>
          <w:bCs/>
          <w:color w:val="1A1A2E"/>
        </w:rPr>
        <w:t xml:space="preserve">THE COMPOUNDING WORLD</w:t>
      </w:r>
    </w:p>
    <w:p>
      <w:pPr>
        <w:spacing w:after="50" w:line="276"/>
      </w:pPr>
      <w:r>
        <w:rPr>
          <w:rFonts w:ascii="Garamond" w:cs="Garamond" w:eastAsia="Garamond" w:hAnsi="Garamond"/>
          <w:b w:val="false"/>
          <w:bCs w:val="false"/>
          <w:i w:val="false"/>
          <w:iCs w:val="false"/>
          <w:color w:val="333333"/>
          <w:sz w:val="21"/>
          <w:szCs w:val="21"/>
        </w:rPr>
        <w:t xml:space="preserve">Nothing resets. Every cycle’s consequences persist. The accumulation across cycles IS the campaign’s depth.</w:t>
      </w:r>
    </w:p>
    <w:p>
      <w:pPr>
        <w:pStyle w:val="Heading2"/>
        <w:spacing w:after="100" w:before="220"/>
      </w:pPr>
      <w:r>
        <w:rPr>
          <w:rFonts w:ascii="Garamond" w:cs="Garamond" w:eastAsia="Garamond" w:hAnsi="Garamond"/>
          <w:b/>
          <w:bCs/>
          <w:color w:val="2B2B4B"/>
        </w:rPr>
        <w:t xml:space="preserve">Mechanical 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Condition Track recovery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Between cycles, Condition Tracks recover toward baseline — but not always to baseline. Residual damage IS persistent consequence. A character entering the next cycle with unhealed Mental track damage carries pressure that shapes their engagement with new seeds. Partial recovery is the compounding weight of previous cycles.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XP and Mastery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Experience accumulated during the cycle produces advancement between cycles. Mastery increases. New talents unlock. Spell Sentence capabilities expand. The character entering the next cycle is mechanically different from the one who entered this cycle. The advancement IS the mechanical expression of the compounding world.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Achieved ESL</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character’s Effective Spell Level tracks their magical capability growth. Each cycle’s magical operations contribute to ESL progression. The progression is continuous, not stepped — the character becomes incrementally more capable with each cycle.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Relationship edge accumulation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map gains edges across cycles. Early-campaign maps are sparse. Late-campaign maps are dense. The density IS the character’s political integration. A party with a dense map has leverage, obligations, alliances, and rivalries. A party with a sparse map is isolated.</w:t>
            </w:r>
          </w:p>
        </w:tc>
      </w:tr>
    </w:tbl>
    <w:p>
      <w:pPr>
        <w:pStyle w:val="Heading2"/>
        <w:spacing w:after="100" w:before="220"/>
      </w:pPr>
      <w:r>
        <w:rPr>
          <w:rFonts w:ascii="Garamond" w:cs="Garamond" w:eastAsia="Garamond" w:hAnsi="Garamond"/>
          <w:b/>
          <w:bCs/>
          <w:color w:val="2B2B4B"/>
        </w:rPr>
        <w:t xml:space="preserve">Narrative Compounding</w:t>
      </w:r>
    </w:p>
    <w:p>
      <w:pPr>
        <w:spacing w:after="100" w:line="276"/>
      </w:pPr>
      <w:r>
        <w:rPr>
          <w:rFonts w:ascii="Garamond" w:cs="Garamond" w:eastAsia="Garamond" w:hAnsi="Garamond"/>
          <w:b w:val="false"/>
          <w:bCs w:val="false"/>
          <w:i w:val="false"/>
          <w:iCs w:val="false"/>
          <w:color w:val="333333"/>
          <w:sz w:val="21"/>
          <w:szCs w:val="21"/>
        </w:rPr>
        <w:t xml:space="preserve">The ledger grows. Session 1’s notes are sparse. Session 30’s notes reference events, NPCs, promises, and consequences spanning the entire campaign. The ledger’s density IS the campaign’s accumulated weight.</w:t>
      </w:r>
    </w:p>
    <w:p>
      <w:pPr>
        <w:spacing w:after="100" w:line="276"/>
      </w:pPr>
      <w:r>
        <w:rPr>
          <w:rFonts w:ascii="Garamond" w:cs="Garamond" w:eastAsia="Garamond" w:hAnsi="Garamond"/>
          <w:b w:val="false"/>
          <w:bCs w:val="false"/>
          <w:i w:val="false"/>
          <w:iCs w:val="false"/>
          <w:color w:val="333333"/>
          <w:sz w:val="21"/>
          <w:szCs w:val="21"/>
        </w:rPr>
        <w:t xml:space="preserve">When the party returns to a location they visited twenty sessions ago, the GM checks what has changed. The faction turns have been running. The clocks have been ticking. The Default Timeline has advanced. The location is different because the world moved. The party’s earlier actions in this location produced cascades that compounded across twenty sessions of intervening play. Encountering those compounded consequences IS the campaign’s payoff — the proof that the world remembers.</w:t>
      </w:r>
    </w:p>
    <w:p>
      <w:r>
        <w:br w:type="page"/>
      </w:r>
    </w:p>
    <w:p>
      <w:pPr>
        <w:pStyle w:val="Heading1"/>
        <w:spacing w:after="140" w:before="300"/>
      </w:pPr>
      <w:r>
        <w:rPr>
          <w:rFonts w:ascii="Garamond" w:cs="Garamond" w:eastAsia="Garamond" w:hAnsi="Garamond"/>
          <w:b/>
          <w:bCs/>
          <w:color w:val="1A1A2E"/>
        </w:rPr>
        <w:t xml:space="preserve">CHEKHOV OBLIGATION TRACKING</w:t>
      </w:r>
    </w:p>
    <w:p>
      <w:pPr>
        <w:spacing w:after="50" w:line="276"/>
      </w:pPr>
      <w:r>
        <w:rPr>
          <w:rFonts w:ascii="Garamond" w:cs="Garamond" w:eastAsia="Garamond" w:hAnsi="Garamond"/>
          <w:b w:val="false"/>
          <w:bCs w:val="false"/>
          <w:i w:val="false"/>
          <w:iCs w:val="false"/>
          <w:color w:val="333333"/>
          <w:sz w:val="21"/>
          <w:szCs w:val="21"/>
        </w:rPr>
        <w:t xml:space="preserve">Outstanding seeds from previous cycles are tracked at this vertebra. Every introduced element that has not yet resolved is a Chekhov obligation — a promise to the audience that this detail will matter.</w:t>
      </w:r>
    </w:p>
    <w:p>
      <w:pPr>
        <w:spacing w:after="100" w:line="276"/>
      </w:pPr>
      <w:r>
        <w:rPr>
          <w:rFonts w:ascii="Garamond" w:cs="Garamond" w:eastAsia="Garamond" w:hAnsi="Garamond"/>
          <w:b/>
          <w:bCs/>
          <w:color w:val="1A1A2E"/>
          <w:sz w:val="21"/>
          <w:szCs w:val="21"/>
        </w:rPr>
        <w:t xml:space="preserve">Between sessions: </w:t>
      </w:r>
      <w:r>
        <w:rPr>
          <w:rFonts w:ascii="Garamond" w:cs="Garamond" w:eastAsia="Garamond" w:hAnsi="Garamond"/>
          <w:b w:val="false"/>
          <w:bCs w:val="false"/>
          <w:i w:val="false"/>
          <w:iCs w:val="false"/>
          <w:color w:val="333333"/>
          <w:sz w:val="21"/>
          <w:szCs w:val="21"/>
        </w:rPr>
        <w:t xml:space="preserve">Review the truth list from each previous session. Which truths were encountered but not resolved? These are active obligations. Which truths were not encountered at all? These are available for future placement — they remain in superposition.</w:t>
      </w:r>
    </w:p>
    <w:p>
      <w:pPr>
        <w:spacing w:after="100" w:line="276"/>
      </w:pPr>
      <w:r>
        <w:rPr>
          <w:rFonts w:ascii="Garamond" w:cs="Garamond" w:eastAsia="Garamond" w:hAnsi="Garamond"/>
          <w:b/>
          <w:bCs/>
          <w:color w:val="1A1A2E"/>
          <w:sz w:val="21"/>
          <w:szCs w:val="21"/>
        </w:rPr>
        <w:t xml:space="preserve">Between arcs: </w:t>
      </w:r>
      <w:r>
        <w:rPr>
          <w:rFonts w:ascii="Garamond" w:cs="Garamond" w:eastAsia="Garamond" w:hAnsi="Garamond"/>
          <w:b w:val="false"/>
          <w:bCs w:val="false"/>
          <w:i w:val="false"/>
          <w:iCs w:val="false"/>
          <w:color w:val="333333"/>
          <w:sz w:val="21"/>
          <w:szCs w:val="21"/>
        </w:rPr>
        <w:t xml:space="preserve">Review all active obligations. Prioritize those outstanding longest — the audience’s memory of the introduced element makes the eventual payoff more satisfying the longer it waits (up to a threshold of approximately 8-10 sessions, after which the audience forgets and the payoff loses impact).</w:t>
      </w:r>
    </w:p>
    <w:p>
      <w:pPr>
        <w:spacing w:after="100" w:line="276"/>
      </w:pPr>
      <w:r>
        <w:rPr>
          <w:rFonts w:ascii="Garamond" w:cs="Garamond" w:eastAsia="Garamond" w:hAnsi="Garamond"/>
          <w:b/>
          <w:bCs/>
          <w:color w:val="1A1A2E"/>
          <w:sz w:val="21"/>
          <w:szCs w:val="21"/>
        </w:rPr>
        <w:t xml:space="preserve">Resolution or retirement: </w:t>
      </w:r>
      <w:r>
        <w:rPr>
          <w:rFonts w:ascii="Garamond" w:cs="Garamond" w:eastAsia="Garamond" w:hAnsi="Garamond"/>
          <w:b w:val="false"/>
          <w:bCs w:val="false"/>
          <w:i w:val="false"/>
          <w:iCs w:val="false"/>
          <w:color w:val="333333"/>
          <w:sz w:val="21"/>
          <w:szCs w:val="21"/>
        </w:rPr>
        <w:t xml:space="preserve">Seeds outstanding beyond 8-10 sessions should either be resolved in the next arc or integrated into a clock’s terminal state so their resolution is structurally guaranteed. The GM can also decide that the unresolved seed WAS the payoff — some introduced elements are red herrings that teach the audience that not every detail leads somewhere. But this should be deliberate, not accidental.</w:t>
      </w:r>
    </w:p>
    <w:p>
      <w:r>
        <w:br w:type="page"/>
      </w:r>
    </w:p>
    <w:p>
      <w:pPr>
        <w:pStyle w:val="Heading1"/>
        <w:spacing w:after="140" w:before="300"/>
      </w:pPr>
      <w:r>
        <w:rPr>
          <w:rFonts w:ascii="Garamond" w:cs="Garamond" w:eastAsia="Garamond" w:hAnsi="Garamond"/>
          <w:b/>
          <w:bCs/>
          <w:color w:val="1A1A2E"/>
        </w:rPr>
        <w:t xml:space="preserve">POSITIONAL DIVINITY CYCLING</w:t>
      </w:r>
    </w:p>
    <w:p>
      <w:pPr>
        <w:spacing w:after="50" w:line="276"/>
      </w:pPr>
      <w:r>
        <w:rPr>
          <w:rFonts w:ascii="Garamond" w:cs="Garamond" w:eastAsia="Garamond" w:hAnsi="Garamond"/>
          <w:b w:val="false"/>
          <w:bCs w:val="false"/>
          <w:i w:val="false"/>
          <w:iCs w:val="false"/>
          <w:color w:val="333333"/>
          <w:sz w:val="21"/>
          <w:szCs w:val="21"/>
        </w:rPr>
        <w:t xml:space="preserve">At the civilizational scale, the Feedback Loop includes the cycling of Saints and Legends within the positional divinity system.</w:t>
      </w:r>
    </w:p>
    <w:p>
      <w:pPr>
        <w:spacing w:after="100" w:line="276"/>
      </w:pPr>
      <w:r>
        <w:rPr>
          <w:rFonts w:ascii="Garamond" w:cs="Garamond" w:eastAsia="Garamond" w:hAnsi="Garamond"/>
          <w:b w:val="false"/>
          <w:bCs w:val="false"/>
          <w:i w:val="false"/>
          <w:iCs w:val="false"/>
          <w:color w:val="333333"/>
          <w:sz w:val="21"/>
          <w:szCs w:val="21"/>
        </w:rPr>
        <w:t xml:space="preserve">Divine aspects that resonated during this generation’s cycles are reinforced. The mortal narratives that supported them (the stories of Saints and Legends) gain institutional weight through Mortis Ævum’s theological curation. Aspects that did not resonate are allowed to fade. The divine portfolio adjusts to match the population’s lived experience.</w:t>
      </w:r>
    </w:p>
    <w:p>
      <w:pPr>
        <w:spacing w:after="100" w:line="276"/>
      </w:pPr>
      <w:r>
        <w:rPr>
          <w:rFonts w:ascii="Garamond" w:cs="Garamond" w:eastAsia="Garamond" w:hAnsi="Garamond"/>
          <w:b w:val="false"/>
          <w:bCs w:val="false"/>
          <w:i w:val="false"/>
          <w:iCs w:val="false"/>
          <w:color w:val="333333"/>
          <w:sz w:val="21"/>
          <w:szCs w:val="21"/>
        </w:rPr>
        <w:t xml:space="preserve">This is the Feedback Loop operating at the Zoetrope’s temporal scale. A single cycle (one session) does not shift divine relevance. Accumulated cycles across a generation (20-30 years in-game) produce measurable drift. The GM tracks this drift qualitatively rather than mechanically: which divine aspects came up most frequently during play? Which gods’ portfolios were most relevant to the campaign’s themes? Those aspects are reinforced in the setting’s institutional landscape.</w:t>
      </w:r>
    </w:p>
    <w:p>
      <w:pPr>
        <w:spacing w:after="100" w:line="276"/>
      </w:pPr>
      <w:r>
        <w:rPr>
          <w:rFonts w:ascii="Garamond" w:cs="Garamond" w:eastAsia="Garamond" w:hAnsi="Garamond"/>
          <w:b w:val="false"/>
          <w:bCs w:val="false"/>
          <w:i w:val="false"/>
          <w:iCs w:val="false"/>
          <w:color w:val="333333"/>
          <w:sz w:val="21"/>
          <w:szCs w:val="21"/>
        </w:rPr>
        <w:t xml:space="preserve">The party does not control divine cycling. But their choices — which gods’ values they enacted through their actions, which divine aspects their Beliefs aligned with — contribute to the aggregate signal that determines which aspects persist and which fade. The party’s influence on the divine landscape is the Selûnae principle at its largest scale: the pattern of accumulated mortal choices, read backward, determines which faces of the gods remain relevant.</w:t>
      </w:r>
    </w:p>
    <w:p>
      <w:r>
        <w:br w:type="page"/>
      </w:r>
    </w:p>
    <w:p>
      <w:pPr>
        <w:pStyle w:val="Heading1"/>
        <w:spacing w:after="140" w:before="300"/>
      </w:pPr>
      <w:r>
        <w:rPr>
          <w:rFonts w:ascii="Garamond" w:cs="Garamond" w:eastAsia="Garamond" w:hAnsi="Garamond"/>
          <w:b/>
          <w:bCs/>
          <w:color w:val="1A1A2E"/>
        </w:rPr>
        <w:t xml:space="preserve">THE RETROSPECTIVE READ</w:t>
      </w:r>
    </w:p>
    <w:p>
      <w:pPr>
        <w:spacing w:after="50" w:line="276"/>
      </w:pPr>
      <w:r>
        <w:rPr>
          <w:rFonts w:ascii="Garamond" w:cs="Garamond" w:eastAsia="Garamond" w:hAnsi="Garamond"/>
          <w:b w:val="false"/>
          <w:bCs w:val="false"/>
          <w:i w:val="false"/>
          <w:iCs w:val="false"/>
          <w:color w:val="333333"/>
          <w:sz w:val="21"/>
          <w:szCs w:val="21"/>
        </w:rPr>
        <w:t xml:space="preserve">The second phase of the Feedback Loop. After the cascade processes the immediate consequences, the retrospective read asks: what does it all MEAN?</w:t>
      </w:r>
    </w:p>
    <w:p>
      <w:pPr>
        <w:spacing w:after="100" w:line="276"/>
      </w:pPr>
      <w:r>
        <w:rPr>
          <w:rFonts w:ascii="Garamond" w:cs="Garamond" w:eastAsia="Garamond" w:hAnsi="Garamond"/>
          <w:b w:val="false"/>
          <w:bCs w:val="false"/>
          <w:i w:val="false"/>
          <w:iCs w:val="false"/>
          <w:color w:val="333333"/>
          <w:sz w:val="21"/>
          <w:szCs w:val="21"/>
        </w:rPr>
        <w:t xml:space="preserve">The retrospective read is the Retrospective Lens from Document 0. It is available only after the cycle completes. In the moment, events were choices and consequences stacking. The retrospective read imposes meaning on the accumulated stack. The campaign’s theme was not planned. It emerged from the weight of decisions and was named by the table afterward.</w:t>
      </w:r>
    </w:p>
    <w:p>
      <w:pPr>
        <w:pStyle w:val="Heading2"/>
        <w:spacing w:after="100" w:before="220"/>
      </w:pPr>
      <w:r>
        <w:rPr>
          <w:rFonts w:ascii="Garamond" w:cs="Garamond" w:eastAsia="Garamond" w:hAnsi="Garamond"/>
          <w:b/>
          <w:bCs/>
          <w:color w:val="2B2B4B"/>
        </w:rPr>
        <w:t xml:space="preserve">When to Perform the Retrospective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After a major arc</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a clock completes its terminal state, when a front resolves, or when a campaign phase ends. The arc’s events are reviewed for pattern. What theme emerged? What did the characters’ choices reveal about their values? What did the setting’s response reveal about its nature?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Legacy crystallization moments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the GM proposes a Legacy trait, the backward read is the evidence. The pattern must be visible in the accumulated record, not inferred from a single event.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campaign end</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final retrospective read is the campaign’s meaning. The table looks at everything that happened and asks: what was this story about? The answer is never what anyone planned. It is what the accumulated choices, consequences, cascades, and compounding produced.</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retrospective read is not the GM’s interpretation imposed on the table. It is a collaborative act. The table discusses what they experienced. Each participant’s reading is shaped by their own schema (Bartlett) — they notice the patterns that their experience prepared them to recognize. Different participants may read different themes from the same campaign. Both readings are valid. The retrospective read is the campfire’s third survival function (group binding) expressed through shared interpretation of shared experience.</w:t>
      </w:r>
    </w:p>
    <w:p>
      <w:r>
        <w:br w:type="page"/>
      </w:r>
    </w:p>
    <w:p>
      <w:pPr>
        <w:pStyle w:val="Heading1"/>
        <w:spacing w:after="140" w:before="300"/>
      </w:pPr>
      <w:r>
        <w:rPr>
          <w:rFonts w:ascii="Garamond" w:cs="Garamond" w:eastAsia="Garamond" w:hAnsi="Garamond"/>
          <w:b/>
          <w:bCs/>
          <w:color w:val="1A1A2E"/>
        </w:rPr>
        <w:t xml:space="preserve">EXPRESSION GUIDANCE</w:t>
      </w:r>
    </w:p>
    <w:p>
      <w:pPr>
        <w:spacing w:after="50" w:line="276"/>
      </w:pPr>
      <w:r>
        <w:rPr>
          <w:rFonts w:ascii="Garamond" w:cs="Garamond" w:eastAsia="Garamond" w:hAnsi="Garamond"/>
          <w:b w:val="false"/>
          <w:bCs w:val="false"/>
          <w:i w:val="false"/>
          <w:iCs w:val="false"/>
          <w:color w:val="333333"/>
          <w:sz w:val="21"/>
          <w:szCs w:val="21"/>
        </w:rPr>
        <w:t xml:space="preserve">Vertebra 7 has two strong expression bonds.</w:t>
      </w:r>
    </w:p>
    <w:p>
      <w:pPr>
        <w:pStyle w:val="Heading2"/>
        <w:spacing w:after="100" w:before="220"/>
      </w:pPr>
      <w:r>
        <w:rPr>
          <w:rFonts w:ascii="Garamond" w:cs="Garamond" w:eastAsia="Garamond" w:hAnsi="Garamond"/>
          <w:b/>
          <w:bCs/>
          <w:color w:val="2B2B4B"/>
        </w:rPr>
        <w:t xml:space="preserve">Serial Packaging</w:t>
      </w:r>
    </w:p>
    <w:p>
      <w:pPr>
        <w:spacing w:after="100" w:line="276"/>
      </w:pPr>
      <w:r>
        <w:rPr>
          <w:rFonts w:ascii="Garamond" w:cs="Garamond" w:eastAsia="Garamond" w:hAnsi="Garamond"/>
          <w:b w:val="false"/>
          <w:bCs w:val="false"/>
          <w:i w:val="false"/>
          <w:iCs w:val="false"/>
          <w:color w:val="333333"/>
          <w:sz w:val="21"/>
          <w:szCs w:val="21"/>
        </w:rPr>
        <w:t xml:space="preserve">Where to cut the continuous cycle into discrete consumable units. The Feedback Loop IS the cycle boundary — the point where one iteration ends and the next begins. Serial packaging decisions determine where on the cycle the boundary falls, which shapes inter-session anticipation and next-session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Cliffhanger ending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Cut the boundary at the Clocks vertebra, just past a threshold crossing. The crisis has arrived. The consequences are unknown. Maximum inter-session anticipation. The table spends the week wondering.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Resolution ending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Cut the boundary at the Feedback Loop’s completion. Consequences processed. New status quo established. Minimal inter-session tension. Best when the next session begins a new arc.</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Revelation ending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Cut at the Symptoms vertebra of the NEXT cycle. The final piece of information arrives that recontextualizes everything, but the party cannot act until next session. The Chekhov callback landing in the last five minutes.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Cold open next session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Cut at the Adventures vertebra, mid-collapse. The next session starts inside a situation already in progress. No preamble. Action first, context emerges during the Sequel.</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Persistence Encoding</w:t>
      </w:r>
    </w:p>
    <w:p>
      <w:pPr>
        <w:spacing w:after="100" w:line="276"/>
      </w:pPr>
      <w:r>
        <w:rPr>
          <w:rFonts w:ascii="Garamond" w:cs="Garamond" w:eastAsia="Garamond" w:hAnsi="Garamond"/>
          <w:b w:val="false"/>
          <w:bCs w:val="false"/>
          <w:i w:val="false"/>
          <w:iCs w:val="false"/>
          <w:color w:val="333333"/>
          <w:sz w:val="21"/>
          <w:szCs w:val="21"/>
        </w:rPr>
        <w:t xml:space="preserve">The Feedback Loop’s second strong bond. How the cycle’s outputs are anchored in collective memory so they persist across iterations. The ledger is the physical manifestation. The recap is the ritual invocation. The callbacks to previous sessions (“remember when the blacksmith’s brother went missing in session 3?”) are the mnemonic structure that binds cycles together.</w:t>
      </w:r>
    </w:p>
    <w:p>
      <w:pPr>
        <w:spacing w:after="100" w:line="276"/>
      </w:pPr>
      <w:r>
        <w:rPr>
          <w:rFonts w:ascii="Garamond" w:cs="Garamond" w:eastAsia="Garamond" w:hAnsi="Garamond"/>
          <w:b w:val="false"/>
          <w:bCs w:val="false"/>
          <w:i w:val="false"/>
          <w:iCs w:val="false"/>
          <w:color w:val="333333"/>
          <w:sz w:val="21"/>
          <w:szCs w:val="21"/>
        </w:rPr>
        <w:t xml:space="preserve">Persistence encoding is what transforms a sequence of sessions into a campaign. Without it, each session is an isolated event. With it, each session is a chapter in a continuous story whose meaning compounds with every addition. The encoding IS the campfire’s first survival function (information encoding through experience) operating across sessions rather than within them.</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Document 7B (Collective Memory and Retrospective Tools) provides the practical instruments for persistence encoding: the ledger system, cultural trauma mechanics, participatory correction, and the Selûnae Principle applied to campaign-scale interpretation.</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2026-04-15T01:50:36.092Z</dcterms:created>
  <dcterms:modified xsi:type="dcterms:W3CDTF">2026-04-15T01:50:36.092Z</dcterms:modified>
</cp:coreProperties>
</file>

<file path=docProps/custom.xml><?xml version="1.0" encoding="utf-8"?>
<Properties xmlns="http://schemas.openxmlformats.org/officeDocument/2006/custom-properties" xmlns:vt="http://schemas.openxmlformats.org/officeDocument/2006/docPropsVTypes"/>
</file>