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800"/>
        <w:jc w:val="center"/>
      </w:pPr>
      <w:r>
        <w:rPr>
          <w:rFonts w:ascii="Garamond" w:cs="Garamond" w:eastAsia="Garamond" w:hAnsi="Garamond"/>
          <w:b/>
          <w:bCs/>
          <w:color w:val="1A1A2E"/>
          <w:sz w:val="44"/>
          <w:szCs w:val="44"/>
        </w:rPr>
        <w:t xml:space="preserve">CATALYSTS AND ACTIVATION</w:t>
      </w:r>
    </w:p>
    <w:p>
      <w:pPr>
        <w:spacing w:after="30"/>
        <w:jc w:val="center"/>
      </w:pPr>
      <w:r>
        <w:rPr>
          <w:rFonts w:ascii="Garamond" w:cs="Garamond" w:eastAsia="Garamond" w:hAnsi="Garamond"/>
          <w:color w:val="666666"/>
          <w:sz w:val="24"/>
          <w:szCs w:val="24"/>
        </w:rPr>
        <w:t xml:space="preserve">Initiating and Sustaining the Spine’s Reaction</w:t>
      </w:r>
    </w:p>
    <w:p>
      <w:pPr>
        <w:pBdr>
          <w:bottom w:val="single" w:color="CCCCCC" w:sz="3" w:space="1"/>
        </w:pBdr>
        <w:spacing w:after="80" w:before="80"/>
      </w:pPr>
      <w:r>
        <w:rPr>
          <w:sz w:val="2"/>
          <w:szCs w:val="2"/>
        </w:rPr>
        <w:t xml:space="preserve"/>
      </w:r>
    </w:p>
    <w:p>
      <w:pPr>
        <w:spacing w:after="20"/>
        <w:jc w:val="center"/>
      </w:pPr>
      <w:r>
        <w:rPr>
          <w:rFonts w:ascii="Garamond" w:cs="Garamond" w:eastAsia="Garamond" w:hAnsi="Garamond"/>
          <w:color w:val="888888"/>
          <w:sz w:val="20"/>
          <w:szCs w:val="20"/>
        </w:rPr>
        <w:t xml:space="preserve">Document C1 — Phase 5: Meta Layer</w:t>
      </w:r>
    </w:p>
    <w:p>
      <w:pPr>
        <w:spacing w:after="500"/>
        <w:jc w:val="center"/>
      </w:pPr>
      <w:r>
        <w:rPr>
          <w:rFonts w:ascii="Garamond" w:cs="Garamond" w:eastAsia="Garamond" w:hAnsi="Garamond"/>
          <w:i/>
          <w:iCs/>
          <w:color w:val="999999"/>
          <w:sz w:val="18"/>
          <w:szCs w:val="18"/>
        </w:rPr>
        <w:t xml:space="preserve">How to light the campfire, step back, and keep it burning</w:t>
      </w:r>
    </w:p>
    <w:p>
      <w:r>
        <w:br w:type="page"/>
      </w:r>
    </w:p>
    <w:p>
      <w:pPr>
        <w:pStyle w:val="Heading1"/>
        <w:spacing w:after="140" w:before="300"/>
      </w:pPr>
      <w:r>
        <w:rPr>
          <w:rFonts w:ascii="Garamond" w:cs="Garamond" w:eastAsia="Garamond" w:hAnsi="Garamond"/>
          <w:b/>
          <w:bCs/>
          <w:color w:val="1A1A2E"/>
        </w:rPr>
        <w:t xml:space="preserve">WHAT CATALYSTS ARE</w:t>
      </w:r>
    </w:p>
    <w:p>
      <w:pPr>
        <w:spacing w:after="100" w:line="276"/>
      </w:pPr>
      <w:r>
        <w:rPr>
          <w:rFonts w:ascii="Garamond" w:cs="Garamond" w:eastAsia="Garamond" w:hAnsi="Garamond"/>
          <w:b w:val="false"/>
          <w:bCs w:val="false"/>
          <w:i w:val="false"/>
          <w:iCs w:val="false"/>
          <w:color w:val="333333"/>
          <w:sz w:val="21"/>
          <w:szCs w:val="21"/>
        </w:rPr>
        <w:t xml:space="preserve">In chemistry, a catalyst initiates a reaction without being consumed by it. The reaction runs on its own fuel once started. The catalyst made it possible but is not part of the product.</w:t>
      </w:r>
    </w:p>
    <w:p>
      <w:pPr>
        <w:spacing w:after="100" w:line="276"/>
      </w:pPr>
      <w:r>
        <w:rPr>
          <w:rFonts w:ascii="Garamond" w:cs="Garamond" w:eastAsia="Garamond" w:hAnsi="Garamond"/>
          <w:b w:val="false"/>
          <w:bCs w:val="false"/>
          <w:i w:val="false"/>
          <w:iCs w:val="false"/>
          <w:color w:val="333333"/>
          <w:sz w:val="21"/>
          <w:szCs w:val="21"/>
        </w:rPr>
        <w:t xml:space="preserve">The spine’s catalysts operate the same way. They are mechanisms that get the engine running, establish the conditions for self-sustaining operation, and then recede. The campfire-lighter is not the fire. The fire belongs to everyone who tends it. The lighter’s job is to ignite the fuel, establish the draft, and step back before their presence becomes the thing the participants are attending to.</w:t>
      </w:r>
    </w:p>
    <w:p>
      <w:pPr>
        <w:spacing w:after="100" w:line="276"/>
      </w:pPr>
      <w:r>
        <w:rPr>
          <w:rFonts w:ascii="Garamond" w:cs="Garamond" w:eastAsia="Garamond" w:hAnsi="Garamond"/>
          <w:b w:val="false"/>
          <w:bCs w:val="false"/>
          <w:i w:val="false"/>
          <w:iCs w:val="false"/>
          <w:color w:val="333333"/>
          <w:sz w:val="21"/>
          <w:szCs w:val="21"/>
        </w:rPr>
        <w:t xml:space="preserve">This document is for the operator — the person who runs the campfire. The GM, the community builder, the novelist, the facilitator. The person who knows the spine exists and uses it deliberately. The participants do not need this document. They experience the spine’s output without seeing its architecture. That invisibility is the catalyst’s essential property.</w:t>
      </w:r>
    </w:p>
    <w:p>
      <w:r>
        <w:br w:type="page"/>
      </w:r>
    </w:p>
    <w:p>
      <w:pPr>
        <w:pStyle w:val="Heading1"/>
        <w:spacing w:after="140" w:before="300"/>
      </w:pPr>
      <w:r>
        <w:rPr>
          <w:rFonts w:ascii="Garamond" w:cs="Garamond" w:eastAsia="Garamond" w:hAnsi="Garamond"/>
          <w:b/>
          <w:bCs/>
          <w:color w:val="1A1A2E"/>
        </w:rPr>
        <w:t xml:space="preserve">THE FOUR-PHASE ACTIVATION PLAN</w:t>
      </w:r>
    </w:p>
    <w:p>
      <w:pPr>
        <w:spacing w:after="50" w:line="276"/>
      </w:pPr>
      <w:r>
        <w:rPr>
          <w:rFonts w:ascii="Garamond" w:cs="Garamond" w:eastAsia="Garamond" w:hAnsi="Garamond"/>
          <w:b w:val="false"/>
          <w:bCs w:val="false"/>
          <w:i w:val="false"/>
          <w:iCs w:val="false"/>
          <w:color w:val="333333"/>
          <w:sz w:val="21"/>
          <w:szCs w:val="21"/>
        </w:rPr>
        <w:t xml:space="preserve">The temporal deployment schedule for bringing the spine’s vertebrae online. Not all vertebrae activate simultaneously. The system comes alive in phases, each building on the previous.</w:t>
      </w:r>
    </w:p>
    <w:p>
      <w:pPr>
        <w:pStyle w:val="Heading2"/>
        <w:spacing w:after="100" w:before="220"/>
      </w:pPr>
      <w:r>
        <w:rPr>
          <w:rFonts w:ascii="Garamond" w:cs="Garamond" w:eastAsia="Garamond" w:hAnsi="Garamond"/>
          <w:b/>
          <w:bCs/>
          <w:color w:val="2B2B4B"/>
        </w:rPr>
        <w:t xml:space="preserve">Phase 1: SERE (Observe Before Acting)</w:t>
      </w:r>
    </w:p>
    <w:p>
      <w:pPr>
        <w:spacing w:after="40" w:line="276"/>
      </w:pPr>
      <w:r>
        <w:rPr>
          <w:rFonts w:ascii="Garamond" w:cs="Garamond" w:eastAsia="Garamond" w:hAnsi="Garamond"/>
          <w:b w:val="false"/>
          <w:bCs w:val="false"/>
          <w:i/>
          <w:iCs/>
          <w:color w:val="888888"/>
          <w:sz w:val="21"/>
          <w:szCs w:val="21"/>
        </w:rPr>
        <w:t xml:space="preserve">Survival, Evasion, Resistance, Escape — adapted from military field craft to social intelligence.</w:t>
      </w:r>
    </w:p>
    <w:p>
      <w:pPr>
        <w:spacing w:after="100" w:line="276"/>
      </w:pPr>
      <w:r>
        <w:rPr>
          <w:rFonts w:ascii="Garamond" w:cs="Garamond" w:eastAsia="Garamond" w:hAnsi="Garamond"/>
          <w:b w:val="false"/>
          <w:bCs w:val="false"/>
          <w:i w:val="false"/>
          <w:iCs w:val="false"/>
          <w:color w:val="333333"/>
          <w:sz w:val="21"/>
          <w:szCs w:val="21"/>
        </w:rPr>
        <w:t xml:space="preserve">The operator enters the environment and does nothing except observe. At a table, this means the first 1-3 sessions. At a community launch, this means the first weeks. In a novel’s planning phase, this means reading the setting’s existing material without imposing structure.</w:t>
      </w:r>
    </w:p>
    <w:p>
      <w:pPr>
        <w:spacing w:after="100" w:line="276"/>
      </w:pPr>
      <w:r>
        <w:rPr>
          <w:rFonts w:ascii="Garamond" w:cs="Garamond" w:eastAsia="Garamond" w:hAnsi="Garamond"/>
          <w:b w:val="false"/>
          <w:bCs w:val="false"/>
          <w:i w:val="false"/>
          <w:iCs w:val="false"/>
          <w:color w:val="333333"/>
          <w:sz w:val="21"/>
          <w:szCs w:val="21"/>
        </w:rPr>
        <w:t xml:space="preserve">Only Vertebra 1 (Schema) is active during Phase 1. The operator profiles the system — the players, the DM, the table’s creative agenda (GNS), the individual engagement patterns (player types). No fronts are built. No clocks are set. No seeds are placed. The operator is gathering intelligence, not running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Observe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Profile every participant. What engages them? When do they lean forward? When do they check their phone? What kind of moments do they remember afterward?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Do not direct</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Resist the impulse to improve things immediately. The observation must be clean — uncontaminated by the operator’s interference. Phase 1 data is the baseline against which all future changes are measured.</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Establish cover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If the operator is a player (co-DM model), establish the character’s routine behaviors. The ledger. The scouting. The questions. These become the operator’s instruments but they must be established as character behavior first, not as operational tools.</w:t>
            </w:r>
          </w:p>
        </w:tc>
      </w:tr>
    </w:tbl>
    <w:p>
      <w:pPr>
        <w:pStyle w:val="Heading2"/>
        <w:spacing w:after="100" w:before="220"/>
      </w:pPr>
      <w:r>
        <w:rPr>
          <w:rFonts w:ascii="Garamond" w:cs="Garamond" w:eastAsia="Garamond" w:hAnsi="Garamond"/>
          <w:b/>
          <w:bCs/>
          <w:color w:val="2B2B4B"/>
        </w:rPr>
        <w:t xml:space="preserve">Phase 2: Tradecraft (Begin Profiling)</w:t>
      </w:r>
    </w:p>
    <w:p>
      <w:pPr>
        <w:spacing w:after="40" w:line="276"/>
      </w:pPr>
      <w:r>
        <w:rPr>
          <w:rFonts w:ascii="Garamond" w:cs="Garamond" w:eastAsia="Garamond" w:hAnsi="Garamond"/>
          <w:b w:val="false"/>
          <w:bCs w:val="false"/>
          <w:i w:val="false"/>
          <w:iCs w:val="false"/>
          <w:color w:val="333333"/>
          <w:sz w:val="21"/>
          <w:szCs w:val="21"/>
        </w:rPr>
        <w:t xml:space="preserve">Vertebrae 1-2 active. Schema profiling produces pressure point extraction.</w:t>
      </w:r>
    </w:p>
    <w:p>
      <w:pPr>
        <w:spacing w:after="100" w:line="276"/>
      </w:pPr>
      <w:r>
        <w:rPr>
          <w:rFonts w:ascii="Garamond" w:cs="Garamond" w:eastAsia="Garamond" w:hAnsi="Garamond"/>
          <w:b w:val="false"/>
          <w:bCs w:val="false"/>
          <w:i w:val="false"/>
          <w:iCs w:val="false"/>
          <w:color w:val="333333"/>
          <w:sz w:val="21"/>
          <w:szCs w:val="21"/>
        </w:rPr>
        <w:t xml:space="preserve">The operator begins running the Ten Questions (Document 2A) during play. Not visibly — internally. Each encounter produces Assessment Card data. Each NPC’s want, fear, and contradictions are noted. Each player’s type is confirmed through accumulated observation.</w:t>
      </w:r>
    </w:p>
    <w:p>
      <w:pPr>
        <w:spacing w:after="100" w:line="276"/>
      </w:pPr>
      <w:r>
        <w:rPr>
          <w:rFonts w:ascii="Garamond" w:cs="Garamond" w:eastAsia="Garamond" w:hAnsi="Garamond"/>
          <w:b w:val="false"/>
          <w:bCs w:val="false"/>
          <w:i w:val="false"/>
          <w:iCs w:val="false"/>
          <w:color w:val="333333"/>
          <w:sz w:val="21"/>
          <w:szCs w:val="21"/>
        </w:rPr>
        <w:t xml:space="preserve">The operator begins asking questions that prompt the DM or facilitator to provide information they are sitting on. “Kismet scouts ahead. What does she see?” is not a tactical action — it is a structured prompt that invites the facilitator to describe content they prepared but have not yet delivered. The operator is teaching the facilitator to deliver content by creating structured opportunities for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Profile actively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Move from passive observation to structured information gathering. The Assessment Cards begin filling. The player type profiles are confirmed.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Establish routines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operator’s information-gathering behaviors become expected. The table expects the ledger recap. They expect the scouting report. They expect the investigative questions. The routines are now background — invisible infrastructure.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Begin seeding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Small seeds only. Questions that prompt the facilitator to elaborate. Observations that invite the table to investigate. The operator is not yet placing truths — they are creating the conditions under which truths will be received naturally.</w:t>
            </w:r>
          </w:p>
        </w:tc>
      </w:tr>
    </w:tbl>
    <w:p>
      <w:pPr>
        <w:pStyle w:val="Heading2"/>
        <w:spacing w:after="100" w:before="220"/>
      </w:pPr>
      <w:r>
        <w:rPr>
          <w:rFonts w:ascii="Garamond" w:cs="Garamond" w:eastAsia="Garamond" w:hAnsi="Garamond"/>
          <w:b/>
          <w:bCs/>
          <w:color w:val="2B2B4B"/>
        </w:rPr>
        <w:t xml:space="preserve">Phase 3: SADRAT (Full Operations)</w:t>
      </w:r>
    </w:p>
    <w:p>
      <w:pPr>
        <w:spacing w:after="40" w:line="276"/>
      </w:pPr>
      <w:r>
        <w:rPr>
          <w:rFonts w:ascii="Garamond" w:cs="Garamond" w:eastAsia="Garamond" w:hAnsi="Garamond"/>
          <w:b w:val="false"/>
          <w:bCs w:val="false"/>
          <w:i w:val="false"/>
          <w:iCs w:val="false"/>
          <w:color w:val="333333"/>
          <w:sz w:val="21"/>
          <w:szCs w:val="21"/>
        </w:rPr>
        <w:t xml:space="preserve">Vertebrae 1-5 active. The full spine up to Adventures is operational.</w:t>
      </w:r>
    </w:p>
    <w:p>
      <w:pPr>
        <w:spacing w:after="100" w:line="276"/>
      </w:pPr>
      <w:r>
        <w:rPr>
          <w:rFonts w:ascii="Garamond" w:cs="Garamond" w:eastAsia="Garamond" w:hAnsi="Garamond"/>
          <w:b w:val="false"/>
          <w:bCs w:val="false"/>
          <w:i w:val="false"/>
          <w:iCs w:val="false"/>
          <w:color w:val="333333"/>
          <w:sz w:val="21"/>
          <w:szCs w:val="21"/>
        </w:rPr>
        <w:t xml:space="preserve">The operator begins actively seeding. Fronts are identified (even if only the operator tracks them). Clocks are mentally tracked. Symptoms are surfaced through the operator’s character actions. The spine is producing output that the participants encounter as natural play.</w:t>
      </w:r>
    </w:p>
    <w:p>
      <w:pPr>
        <w:spacing w:after="100" w:line="276"/>
      </w:pPr>
      <w:r>
        <w:rPr>
          <w:rFonts w:ascii="Garamond" w:cs="Garamond" w:eastAsia="Garamond" w:hAnsi="Garamond"/>
          <w:b w:val="false"/>
          <w:bCs w:val="false"/>
          <w:i w:val="false"/>
          <w:iCs w:val="false"/>
          <w:color w:val="333333"/>
          <w:sz w:val="21"/>
          <w:szCs w:val="21"/>
        </w:rPr>
        <w:t xml:space="preserve">SADRAT — the relationship catalyst — drives this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Spotting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Identify who in the environment is actively engaged. Which participants are contributing? Which are consuming? Which are disengaged? The engagement pattern IS the targeting data for the operator’s next action.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Assessing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What does each engaged participant care about? What do they contribute? What is their domain? The assessment refines the player type profile into a specific engagement signature.</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Developing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Build the relationship through consistent engagement that rewards participation. When a participant contributes, reinforce it. “That moment where the rogue bluffed the guard captain was incredible.” Name what worked. They repeat what was reinforced.</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Recruiting</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Invite deeper participation. Not explicitly — through structure. Create spotlight moments for each participant. Ask questions that only they can answer. Give them domain ownership. The invitation is the gap in the structure that their contribution fills.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Agent Handling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Maintain the relationship through ongoing engagement. The cycle does not end because the community IS the product. Each session is a maintenance cycle. Each community interaction reinforces the participation pattern. The handling IS the tending of the fire.</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SADRAT is not manipulation. It is hospitality. The operator identifies who is present, learns what they need, provides opportunities for contribution, invites deeper engagement, and maintains the relationship across time. This is what a good host does at a dinner party. The campfire analogy is literal — the host lights the fire, arranges the seating, prompts the conversation, and tends the coals so everyone else can enjoy the warmth.</w:t>
      </w:r>
    </w:p>
    <w:p>
      <w:pPr>
        <w:pStyle w:val="Heading2"/>
        <w:spacing w:after="100" w:before="220"/>
      </w:pPr>
      <w:r>
        <w:rPr>
          <w:rFonts w:ascii="Garamond" w:cs="Garamond" w:eastAsia="Garamond" w:hAnsi="Garamond"/>
          <w:b/>
          <w:bCs/>
          <w:color w:val="2B2B4B"/>
        </w:rPr>
        <w:t xml:space="preserve">Phase 4: Red Team / Gray Man (Full Cycle with Oversight)</w:t>
      </w:r>
    </w:p>
    <w:p>
      <w:pPr>
        <w:spacing w:after="40" w:line="276"/>
      </w:pPr>
      <w:r>
        <w:rPr>
          <w:rFonts w:ascii="Garamond" w:cs="Garamond" w:eastAsia="Garamond" w:hAnsi="Garamond"/>
          <w:b w:val="false"/>
          <w:bCs w:val="false"/>
          <w:i w:val="false"/>
          <w:iCs w:val="false"/>
          <w:color w:val="333333"/>
          <w:sz w:val="21"/>
          <w:szCs w:val="21"/>
        </w:rPr>
        <w:t xml:space="preserve">All seven vertebrae active. The spine cycles autonomously. The operator shifts from active operation to regulatory oversight.</w:t>
      </w:r>
    </w:p>
    <w:p>
      <w:pPr>
        <w:spacing w:after="100" w:line="276"/>
      </w:pPr>
      <w:r>
        <w:rPr>
          <w:rFonts w:ascii="Garamond" w:cs="Garamond" w:eastAsia="Garamond" w:hAnsi="Garamond"/>
          <w:b w:val="false"/>
          <w:bCs w:val="false"/>
          <w:i w:val="false"/>
          <w:iCs w:val="false"/>
          <w:color w:val="333333"/>
          <w:sz w:val="21"/>
          <w:szCs w:val="21"/>
        </w:rPr>
        <w:t xml:space="preserve">The spine is self-sustaining. Participants are co-creating without prompting. The DM or facilitator is running fronts, advancing clocks, producing symptoms. The table is investigating, engaging, producing consequences. The feedback loop compounds. The campfire tends itself.</w:t>
      </w:r>
    </w:p>
    <w:p>
      <w:pPr>
        <w:spacing w:after="100" w:line="276"/>
      </w:pPr>
      <w:r>
        <w:rPr>
          <w:rFonts w:ascii="Garamond" w:cs="Garamond" w:eastAsia="Garamond" w:hAnsi="Garamond"/>
          <w:b w:val="false"/>
          <w:bCs w:val="false"/>
          <w:i w:val="false"/>
          <w:iCs w:val="false"/>
          <w:color w:val="333333"/>
          <w:sz w:val="21"/>
          <w:szCs w:val="21"/>
        </w:rPr>
        <w:t xml:space="preserve">The operator’s role shifts: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Gray Man</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Step back. Do less. The operator’s contributions become proportionally smaller as the table’s contributions grow. The fire is burning. Adding more fuel is counterproductive. The operator’s visibility decreases until they are one participant among equals.</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Red Team self-check</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Am I still directing rather than participating? Am I holding onto control the table should have? Can the table sustain the session without my prompting? If the answer to the last question is no, the operator has not yet reached Phase 4. Return to Phase 3.</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Regulatory monitoring</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Watch for the conditions that degrade the spine. Transportation breaks (Document R1). Collins conditions failing. Information economy imbalances. Pacing monotony. The operator’s Phase 4 function is the regulatory systems expressed through a participant’s natural behavior.</w:t>
            </w:r>
          </w:p>
        </w:tc>
      </w:tr>
    </w:tbl>
    <w:p>
      <w:r>
        <w:br w:type="page"/>
      </w:r>
    </w:p>
    <w:p>
      <w:pPr>
        <w:pStyle w:val="Heading1"/>
        <w:spacing w:after="140" w:before="300"/>
      </w:pPr>
      <w:r>
        <w:rPr>
          <w:rFonts w:ascii="Garamond" w:cs="Garamond" w:eastAsia="Garamond" w:hAnsi="Garamond"/>
          <w:b/>
          <w:bCs/>
          <w:color w:val="1A1A2E"/>
        </w:rPr>
        <w:t xml:space="preserve">THE GRAY MAN PRINCIPLE</w:t>
      </w:r>
    </w:p>
    <w:p>
      <w:pPr>
        <w:spacing w:after="50" w:line="276"/>
      </w:pPr>
      <w:r>
        <w:rPr>
          <w:rFonts w:ascii="Garamond" w:cs="Garamond" w:eastAsia="Garamond" w:hAnsi="Garamond"/>
          <w:b w:val="false"/>
          <w:bCs w:val="false"/>
          <w:i w:val="false"/>
          <w:iCs w:val="false"/>
          <w:color w:val="333333"/>
          <w:sz w:val="21"/>
          <w:szCs w:val="21"/>
        </w:rPr>
        <w:t xml:space="preserve">The person operating the spine must remain invisible for the spine to function as a participation framework. If the operator becomes visible, the participants stop co-creating and start consuming. The campfire becomes a lecture. The participatory architecture collapses into broadcast.</w:t>
      </w:r>
    </w:p>
    <w:p>
      <w:pPr>
        <w:pStyle w:val="Heading2"/>
        <w:spacing w:after="100" w:before="220"/>
      </w:pPr>
      <w:r>
        <w:rPr>
          <w:rFonts w:ascii="Garamond" w:cs="Garamond" w:eastAsia="Garamond" w:hAnsi="Garamond"/>
          <w:b/>
          <w:bCs/>
          <w:color w:val="2B2B4B"/>
        </w:rPr>
        <w:t xml:space="preserve">What Visibility Looks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fixer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operator solves every problem. The table waits for the operator to unstick situations rather than engaging themselves. The operator’s competence has become a dependency.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director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operator’s suggestions are always followed. The table has stopped generating options and started executing the operator’s options. The co-creative dynamic has become hierarchical.</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star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operator’s character or contributions dominate every session. Other participants’ moments are overshadowed. The operator is performing rather than facilitating.</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teacher</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operator explains techniques, names frameworks, or corrects play in terms that reveal the system’s architecture. The participants see the scaffolding. Transportation breaks.</w:t>
            </w:r>
          </w:p>
        </w:tc>
      </w:tr>
    </w:tbl>
    <w:p>
      <w:pPr>
        <w:spacing w:after="100" w:line="276"/>
      </w:pPr>
      <w:r>
        <w:rPr>
          <w:rFonts w:ascii="Garamond" w:cs="Garamond" w:eastAsia="Garamond" w:hAnsi="Garamond"/>
          <w:b w:val="false"/>
          <w:bCs w:val="false"/>
          <w:i w:val="false"/>
          <w:iCs w:val="false"/>
          <w:color w:val="333333"/>
          <w:sz w:val="21"/>
          <w:szCs w:val="21"/>
        </w:rPr>
        <w:t xml:space="preserve"/>
      </w:r>
    </w:p>
    <w:p>
      <w:pPr>
        <w:pStyle w:val="Heading2"/>
        <w:spacing w:after="100" w:before="220"/>
      </w:pPr>
      <w:r>
        <w:rPr>
          <w:rFonts w:ascii="Garamond" w:cs="Garamond" w:eastAsia="Garamond" w:hAnsi="Garamond"/>
          <w:b/>
          <w:bCs/>
          <w:color w:val="2B2B4B"/>
        </w:rPr>
        <w:t xml:space="preserve">How to Remain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Frame as character</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Every operational action is expressed as a character action. Recapping is reviewing the ledger. Prompting is investigating. Teaching is complimenting. The character IS the cover.</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Ask, do not tell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Questions empower the facilitator to confirm and elaborate. Directions take control away. “Didn’t the merchant say the mine was dangerous?” is a question. “We should go to the mine” is a direction.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Create space, then retreat</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Ask the FIRST question in a new situation, then stop. Let silence sit. Someone fills it. When they do, reinforce: “Good question.” Two words. The operator initiated the rhythm and stepped back.</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Celebrate others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Name what other participants did well. “That moment where the fighter held the corridor was incredible.” The celebration directs the table’s attention to other participants’ contributions. The operator fades. The contributors shine.</w:t>
            </w:r>
          </w:p>
        </w:tc>
      </w:tr>
    </w:tbl>
    <w:p>
      <w:r>
        <w:br w:type="page"/>
      </w:r>
    </w:p>
    <w:p>
      <w:pPr>
        <w:pStyle w:val="Heading1"/>
        <w:spacing w:after="140" w:before="300"/>
      </w:pPr>
      <w:r>
        <w:rPr>
          <w:rFonts w:ascii="Garamond" w:cs="Garamond" w:eastAsia="Garamond" w:hAnsi="Garamond"/>
          <w:b/>
          <w:bCs/>
          <w:color w:val="1A1A2E"/>
        </w:rPr>
        <w:t xml:space="preserve">MODULARITY</w:t>
      </w:r>
    </w:p>
    <w:p>
      <w:pPr>
        <w:spacing w:after="50" w:line="276"/>
      </w:pPr>
      <w:r>
        <w:rPr>
          <w:rFonts w:ascii="Garamond" w:cs="Garamond" w:eastAsia="Garamond" w:hAnsi="Garamond"/>
          <w:b w:val="false"/>
          <w:bCs w:val="false"/>
          <w:i w:val="false"/>
          <w:iCs w:val="false"/>
          <w:color w:val="333333"/>
          <w:sz w:val="21"/>
          <w:szCs w:val="21"/>
        </w:rPr>
        <w:t xml:space="preserve">The recombination catalyst. The principle that enables the same spine to operate at different scales in different media.</w:t>
      </w:r>
    </w:p>
    <w:p>
      <w:pPr>
        <w:spacing w:after="100" w:line="276"/>
      </w:pPr>
      <w:r>
        <w:rPr>
          <w:rFonts w:ascii="Garamond" w:cs="Garamond" w:eastAsia="Garamond" w:hAnsi="Garamond"/>
          <w:b w:val="false"/>
          <w:bCs w:val="false"/>
          <w:i w:val="false"/>
          <w:iCs w:val="false"/>
          <w:color w:val="333333"/>
          <w:sz w:val="21"/>
          <w:szCs w:val="21"/>
        </w:rPr>
        <w:t xml:space="preserve">Oral tradition’s stories are built from interchangeable episodes. The teller selects, reorders, and emphasizes based on the audience. The modules are scale-independent — a story module works whether the audience is five people around a fire or five thousand at a festival. The content is the same. The delivery adapts.</w:t>
      </w:r>
    </w:p>
    <w:p>
      <w:pPr>
        <w:spacing w:after="100" w:line="276"/>
      </w:pPr>
      <w:r>
        <w:rPr>
          <w:rFonts w:ascii="Garamond" w:cs="Garamond" w:eastAsia="Garamond" w:hAnsi="Garamond"/>
          <w:b w:val="false"/>
          <w:bCs w:val="false"/>
          <w:i w:val="false"/>
          <w:iCs w:val="false"/>
          <w:color w:val="333333"/>
          <w:sz w:val="21"/>
          <w:szCs w:val="21"/>
        </w:rPr>
        <w:t xml:space="preserve">The spine’s modules are its vertebrae. Each vertebra’s content (the specific Schemas, fronts, clocks, seeds) is scale-dependent. Each vertebra’s PROCESS (profiling, extraction, organization, tracking, placement, collapse, feedback) is scale-independent. The same seven-step process runs at the table, in the novel, in the community, and in the marketing campaign. The content changes. The process is portable.</w:t>
      </w:r>
    </w:p>
    <w:p>
      <w:pPr>
        <w:pStyle w:val="Heading2"/>
        <w:spacing w:after="100" w:before="220"/>
      </w:pPr>
      <w:r>
        <w:rPr>
          <w:rFonts w:ascii="Garamond" w:cs="Garamond" w:eastAsia="Garamond" w:hAnsi="Garamond"/>
          <w:b/>
          <w:bCs/>
          <w:color w:val="2B2B4B"/>
        </w:rPr>
        <w:t xml:space="preserve">Scale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TTRPG table</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The primary deployment. Each session is one spine cycle. The GM operates the engine through the session generator. The players participate through character actions. The feedback loop compounds across sessions into a campaign.</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novel</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chapter is one spine cycle. The author operates the engine through the writing process. The reader participates through schema co-completion. The feedback loop compounds across chapters into a narrative arc. The reader does not see the spine. They experience the story it produces.</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community</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engagement cycle (stream, forum thread, content release) is one spine cycle. The community builder operates the engine through SADRAT. The audience participates through engagement. The feedback loop compounds across cycles into community identity.</w:t>
            </w:r>
          </w:p>
        </w:tc>
      </w:tr>
      <w:t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marketing campaign</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campaign phase is one spine cycle. The marketer operates through the campfire principle — creating frameworks that invite participation rather than broadcasting messages. The audience participates because participation is the natural default, not the exception.</w:t>
            </w:r>
          </w:p>
        </w:tc>
      </w:tr>
      <w:tr>
        <w:tc>
          <w:tcPr>
            <w:tcW w:type="dxa" w:w="24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The individual creative process</w:t>
            </w:r>
          </w:p>
        </w:tc>
        <w:tc>
          <w:tcPr>
            <w:tcW w:type="dxa" w:w="69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Each work session is one spine cycle. The creator profiles their own project (Schema), identifies where the tensions are (Pressure Points), organizes the work into actionable streams (Fronts), tracks progress and deadlines (Clocks), produces observable output (Symptoms), engages with the work through actual creation (Adventures), and processes what emerged to inform the next session (Feedback Loop). The spine IS the creative process.</w:t>
            </w:r>
          </w:p>
        </w:tc>
      </w:tr>
    </w:tbl>
    <w:p>
      <w:pPr>
        <w:spacing w:after="100" w:line="276"/>
      </w:pPr>
      <w:r>
        <w:rPr>
          <w:rFonts w:ascii="Garamond" w:cs="Garamond" w:eastAsia="Garamond" w:hAnsi="Garamond"/>
          <w:b w:val="false"/>
          <w:bCs w:val="false"/>
          <w:i w:val="false"/>
          <w:iCs w:val="false"/>
          <w:color w:val="333333"/>
          <w:sz w:val="21"/>
          <w:szCs w:val="21"/>
        </w:rPr>
        <w:t xml:space="preserve"/>
      </w:r>
    </w:p>
    <w:p>
      <w:pPr>
        <w:spacing w:after="100" w:line="276"/>
      </w:pPr>
      <w:r>
        <w:rPr>
          <w:rFonts w:ascii="Garamond" w:cs="Garamond" w:eastAsia="Garamond" w:hAnsi="Garamond"/>
          <w:b w:val="false"/>
          <w:bCs w:val="false"/>
          <w:i w:val="false"/>
          <w:iCs w:val="false"/>
          <w:color w:val="333333"/>
          <w:sz w:val="21"/>
          <w:szCs w:val="21"/>
        </w:rPr>
        <w:t xml:space="preserve">The modularity catalyst enables this cross-scale deployment by ensuring that no vertebra’s process is locked to a specific content type. The Schema profiles characters at the table and audiences in the community using the same instrument. The Fronts organize NPC operations and marketing initiatives using the same template. The Feedback Loop compounds campaign sessions and novel chapters using the same mechanism. The content is different. The process is identical. The spine is universal.</w:t>
      </w:r>
    </w:p>
    <w:p>
      <w:r>
        <w:br w:type="page"/>
      </w:r>
    </w:p>
    <w:p>
      <w:pPr>
        <w:pStyle w:val="Heading1"/>
        <w:spacing w:after="140" w:before="300"/>
      </w:pPr>
      <w:r>
        <w:rPr>
          <w:rFonts w:ascii="Garamond" w:cs="Garamond" w:eastAsia="Garamond" w:hAnsi="Garamond"/>
          <w:b/>
          <w:bCs/>
          <w:color w:val="1A1A2E"/>
        </w:rPr>
        <w:t xml:space="preserve">THE ACTIVATION SEQUENCE ACROSS MEDIA</w:t>
      </w:r>
    </w:p>
    <w:p>
      <w:pPr>
        <w:spacing w:after="50" w:line="276"/>
      </w:pPr>
      <w:r>
        <w:rPr>
          <w:rFonts w:ascii="Garamond" w:cs="Garamond" w:eastAsia="Garamond" w:hAnsi="Garamond"/>
          <w:b w:val="false"/>
          <w:bCs w:val="false"/>
          <w:i w:val="false"/>
          <w:iCs w:val="false"/>
          <w:color w:val="333333"/>
          <w:sz w:val="21"/>
          <w:szCs w:val="21"/>
        </w:rPr>
        <w:t xml:space="preserve">The Four-Phase Plan adapted for each deployment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40"/>
        <w:gridCol w:w="2040"/>
        <w:gridCol w:w="2040"/>
        <w:gridCol w:w="2040"/>
      </w:tblGrid>
      <w:tr>
        <w:tc>
          <w:tcPr>
            <w:tcW w:type="dxa" w:w="12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Phase</w:t>
            </w:r>
          </w:p>
        </w:tc>
        <w:tc>
          <w:tcPr>
            <w:tcW w:type="dxa" w:w="20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TTRPG Table</w:t>
            </w:r>
          </w:p>
        </w:tc>
        <w:tc>
          <w:tcPr>
            <w:tcW w:type="dxa" w:w="20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Novel</w:t>
            </w:r>
          </w:p>
        </w:tc>
        <w:tc>
          <w:tcPr>
            <w:tcW w:type="dxa" w:w="20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Community</w:t>
            </w:r>
          </w:p>
        </w:tc>
        <w:tc>
          <w:tcPr>
            <w:tcW w:type="dxa" w:w="204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Creative Process</w:t>
            </w:r>
          </w:p>
        </w:tc>
      </w:tr>
      <w:tr>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1. SERE</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Sessions 1-3. Observe the table. Profile players and DM. Establish character routines.</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Research phase. Read the setting’s existing material. Profile the story’s landscape without imposing structure.</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Launch weeks. Observe who engages. Profile audience segments. Establish presence without directing.</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First sessions with the project. Explore without committing. Profile the work’s natural shape.</w:t>
            </w:r>
          </w:p>
        </w:tc>
      </w:tr>
      <w:tr>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2. Tradecraft</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Sessions 3-6. Begin extraction. Fill Assessment Cards. Establish scouting/ledger as expected behavior.</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Outlining phase. Extract pressure points from the setting. Build character Schemas. Establish the narrative’s structural routines.</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Early engagement. Profile individual contributors. Establish regular content rhythms.</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Structure phase. Identify pressure points. Organize work streams. Establish production routines.</w:t>
            </w:r>
          </w:p>
        </w:tc>
      </w:tr>
      <w:tr>
        <w:tc>
          <w:tcPr>
            <w:tcW w:type="dxa" w:w="12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3. SADRAT</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Sessions 6+. Full operations. Active seeding. Spotlight creation. Participation reinforcement.</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Drafting phase. Full spine running. Chapters produce seeds. Characters collapse superpositions. Consequences compound.</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Growth phase. Active community development. Spotlight contributors. Invite deeper participation.</w:t>
            </w:r>
          </w:p>
        </w:tc>
        <w:tc>
          <w:tcPr>
            <w:tcW w:type="dxa" w:w="204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Production phase. Full creative output. Iterate across spine cycles. Compound learning.</w:t>
            </w:r>
          </w:p>
        </w:tc>
      </w:tr>
      <w:tr>
        <w:tc>
          <w:tcPr>
            <w:tcW w:type="dxa" w:w="12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bCs/>
                <w:i w:val="false"/>
                <w:iCs w:val="false"/>
                <w:color w:val="333333"/>
                <w:sz w:val="18"/>
                <w:szCs w:val="18"/>
              </w:rPr>
              <w:t xml:space="preserve">4. Gray Man</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Sessions 15+. Step back. The table self-generates. Regulatory monitoring only.</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Revision phase. The manuscript runs on its own. The author serves the story rather than directing it.</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Maturity phase. The community self-generates content. The builder tends, does not direct.</w:t>
            </w:r>
          </w:p>
        </w:tc>
        <w:tc>
          <w:tcPr>
            <w:tcW w:type="dxa" w:w="204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Flow state. The project has its own momentum. The creator serves the work.</w:t>
            </w:r>
          </w:p>
        </w:tc>
      </w:tr>
    </w:tbl>
    <w:p>
      <w:r>
        <w:br w:type="page"/>
      </w:r>
    </w:p>
    <w:p>
      <w:pPr>
        <w:pStyle w:val="Heading1"/>
        <w:spacing w:after="140" w:before="300"/>
      </w:pPr>
      <w:r>
        <w:rPr>
          <w:rFonts w:ascii="Garamond" w:cs="Garamond" w:eastAsia="Garamond" w:hAnsi="Garamond"/>
          <w:b/>
          <w:bCs/>
          <w:color w:val="1A1A2E"/>
        </w:rPr>
        <w:t xml:space="preserve">THE SELF-CHECK</w:t>
      </w:r>
    </w:p>
    <w:p>
      <w:pPr>
        <w:spacing w:after="50" w:line="276"/>
      </w:pPr>
      <w:r>
        <w:rPr>
          <w:rFonts w:ascii="Garamond" w:cs="Garamond" w:eastAsia="Garamond" w:hAnsi="Garamond"/>
          <w:b w:val="false"/>
          <w:bCs w:val="false"/>
          <w:i w:val="false"/>
          <w:iCs w:val="false"/>
          <w:color w:val="333333"/>
          <w:sz w:val="21"/>
          <w:szCs w:val="21"/>
        </w:rPr>
        <w:t xml:space="preserve">The operator’s diagnostic for evaluating their own operation. Run periodically — after every major campaign arc, every community growth milestone, every novel draft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w:t>
            </w:r>
          </w:p>
        </w:tc>
        <w:tc>
          <w:tcPr>
            <w:tcW w:type="dxa" w:w="8760"/>
            <w:tcBorders>
              <w:top w:val="single" w:color="BBBBBB" w:sz="1"/>
              <w:left w:val="single" w:color="BBBBBB" w:sz="1"/>
              <w:bottom w:val="single" w:color="BBBBBB" w:sz="1"/>
              <w:right w:val="single" w:color="BBBBBB" w:sz="1"/>
            </w:tcBorders>
            <w:shd w:fill="1A1A2E" w:val="clear"/>
            <w:tcMar>
              <w:top w:type="dxa" w:w="50"/>
              <w:left w:type="dxa" w:w="90"/>
              <w:bottom w:type="dxa" w:w="50"/>
              <w:right w:type="dxa" w:w="90"/>
            </w:tcMar>
          </w:tcPr>
          <w:p>
            <w:r>
              <w:rPr>
                <w:rFonts w:ascii="Garamond" w:cs="Garamond" w:eastAsia="Garamond" w:hAnsi="Garamond"/>
                <w:b/>
                <w:bCs/>
                <w:color w:val="E0E0E0"/>
                <w:sz w:val="18"/>
                <w:szCs w:val="18"/>
              </w:rPr>
              <w:t xml:space="preserve">Question</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“Am I still asking questions or have I started giving answers?” Questions empower. Answers direct. If you are answering more than asking, you have become the director.</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“Can the system sustain itself without me for one cycle?” If the table cannot run a session without your prompting, the community cannot produce content without your initiation, or the novel cannot sustain a chapter without your forced plot direction — you have not yet reached Phase 4.</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“Who contributed something I did not plan?” If every contribution was anticipated, you are over-directing. The spine’s value IS the unexpected output. If nothing surprises you, the participation is simulated, not genuine.</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“Do the participants attribute the experience to themselves or to me?” The campfire’s product belongs to the group. If the participants credit you rather than the collective experience, your visibility is too high. The fire should feel like it belongs to everyone.</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“Have I Red Teamed my own operation this cycle?” If not, do it now. Adopt the adversary’s perspective: “If someone were trying to manipulate this group through structural influence, what would the warning signs be?” Now check whether you are exhibiting those signs.</w:t>
            </w:r>
          </w:p>
        </w:tc>
      </w:tr>
      <w:tr>
        <w:tc>
          <w:tcPr>
            <w:tcW w:type="dxa" w:w="60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“Is the Smoothing Effect doing its job, or am I doing it for it?” If you are manually suppressing dramatic change because it threatens the campaign’s direction, you are railroading through regulatory override rather than through plot. Let the Smoothing Effect work. If the participants punch through it with FP, the change was earned.</w:t>
            </w:r>
          </w:p>
        </w:tc>
      </w:tr>
      <w:tr>
        <w:tc>
          <w:tcPr>
            <w:tcW w:type="dxa" w:w="60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w:t>
            </w:r>
          </w:p>
        </w:tc>
        <w:tc>
          <w:tcPr>
            <w:tcW w:type="dxa" w:w="8760"/>
            <w:tcBorders>
              <w:top w:val="single" w:color="BBBBBB" w:sz="1"/>
              <w:left w:val="single" w:color="BBBBBB" w:sz="1"/>
              <w:bottom w:val="single" w:color="BBBBBB" w:sz="1"/>
              <w:right w:val="single" w:color="BBBBBB" w:sz="1"/>
            </w:tcBorders>
            <w:shd w:fill="F0F0F8" w:val="clear"/>
            <w:tcMar>
              <w:top w:type="dxa" w:w="50"/>
              <w:left w:type="dxa" w:w="90"/>
              <w:bottom w:type="dxa" w:w="50"/>
              <w:right w:type="dxa" w:w="90"/>
            </w:tcMar>
          </w:tcPr>
          <w:p>
            <w:pPr>
              <w:spacing w:after="20"/>
            </w:pPr>
            <w:r>
              <w:rPr>
                <w:rFonts w:ascii="Garamond" w:cs="Garamond" w:eastAsia="Garamond" w:hAnsi="Garamond"/>
                <w:b w:val="false"/>
                <w:bCs w:val="false"/>
                <w:i w:val="false"/>
                <w:iCs w:val="false"/>
                <w:color w:val="333333"/>
                <w:sz w:val="18"/>
                <w:szCs w:val="18"/>
              </w:rPr>
              <w:t xml:space="preserve">“Am I still enjoying this?” The operator is a participant. If operating the spine has become obligation rather than engagement, the operator’s own personal clock is trending toward their failure state. The co-DM burning out, the community builder losing passion, the novelist grinding through a draft — each is the operator’s persistent test producing slag. Tend your own fire first.</w:t>
            </w:r>
          </w:p>
        </w:tc>
      </w:tr>
    </w:tbl>
    <w:p>
      <w:pPr>
        <w:spacing w:after="100" w:line="276"/>
      </w:pPr>
      <w:r>
        <w:rPr>
          <w:rFonts w:ascii="Garamond" w:cs="Garamond" w:eastAsia="Garamond" w:hAnsi="Garamond"/>
          <w:b w:val="false"/>
          <w:bCs w:val="false"/>
          <w:i w:val="false"/>
          <w:iCs w:val="false"/>
          <w:color w:val="333333"/>
          <w:sz w:val="21"/>
          <w:szCs w:val="21"/>
        </w:rPr>
        <w:t xml:space="preserve"/>
      </w:r>
    </w:p>
    <w:p>
      <w:pPr>
        <w:pBdr>
          <w:bottom w:val="single" w:color="CCCCCC" w:sz="3" w:space="1"/>
        </w:pBdr>
        <w:spacing w:after="80" w:before="80"/>
      </w:pPr>
      <w:r>
        <w:rPr>
          <w:sz w:val="2"/>
          <w:szCs w:val="2"/>
        </w:rPr>
        <w:t xml:space="preserve"/>
      </w:r>
    </w:p>
    <w:p>
      <w:pPr>
        <w:spacing w:after="100" w:line="276"/>
      </w:pPr>
      <w:r>
        <w:rPr>
          <w:rFonts w:ascii="Garamond" w:cs="Garamond" w:eastAsia="Garamond" w:hAnsi="Garamond"/>
          <w:b w:val="false"/>
          <w:bCs w:val="false"/>
          <w:i/>
          <w:iCs/>
          <w:color w:val="888888"/>
          <w:sz w:val="21"/>
          <w:szCs w:val="21"/>
        </w:rPr>
        <w:t xml:space="preserve">This completes Phase 5 alongside Document R1 (Regulatory Systems). The final version of Document 0 (Operating Philosophy) will be rewritten after all documents are complete, incorporating insights and corrections that emerged during the build process. Phase 6 covers Document 6B (Worked Examples — full spine cycles through all three lenses) — the proof of concept that validates the complete architecture.</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Garamond" w:cs="Garamond" w:eastAsia="Garamond" w:hAnsi="Garamond"/>
      <w:b/>
      <w:bCs/>
      <w:color w:val="1A1A2E"/>
      <w:sz w:val="30"/>
      <w:szCs w:val="30"/>
    </w:rPr>
  </w:style>
  <w:style w:type="paragraph" w:styleId="Heading2">
    <w:name w:val="Heading 2"/>
    <w:basedOn w:val="Normal"/>
    <w:next w:val="Normal"/>
    <w:qFormat/>
    <w:pPr>
      <w:spacing w:after="140" w:before="260"/>
      <w:outlineLvl w:val="1"/>
    </w:pPr>
    <w:rPr>
      <w:rFonts w:ascii="Garamond" w:cs="Garamond" w:eastAsia="Garamond" w:hAnsi="Garamond"/>
      <w:b/>
      <w:bCs/>
      <w:color w:val="2B2B4B"/>
      <w:sz w:val="25"/>
      <w:szCs w:val="25"/>
    </w:rPr>
  </w:style>
  <w:style w:type="paragraph" w:styleId="Heading3">
    <w:name w:val="Heading 3"/>
    <w:basedOn w:val="Normal"/>
    <w:next w:val="Normal"/>
    <w:qFormat/>
    <w:pPr>
      <w:spacing w:after="100" w:before="200"/>
      <w:outlineLvl w:val="2"/>
    </w:pPr>
    <w:rPr>
      <w:rFonts w:ascii="Garamond" w:cs="Garamond" w:eastAsia="Garamond" w:hAnsi="Garamond"/>
      <w:b/>
      <w:bCs/>
      <w:color w:val="4444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2026-04-15T02:01:58.385Z</dcterms:created>
  <dcterms:modified xsi:type="dcterms:W3CDTF">2026-04-15T02:01:58.386Z</dcterms:modified>
</cp:coreProperties>
</file>

<file path=docProps/custom.xml><?xml version="1.0" encoding="utf-8"?>
<Properties xmlns="http://schemas.openxmlformats.org/officeDocument/2006/custom-properties" xmlns:vt="http://schemas.openxmlformats.org/officeDocument/2006/docPropsVTypes"/>
</file>